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收录课题核心成果十七项，按「课题总览—数据基础与方法—现状与趋势—深度专项—专题分析—结论建议」六篇组织；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件；业务数据涉及纳统小区、电梯、修缮、失信、底部抬升、征收、拆房、测绘等九类。</w:t>
      </w:r>
    </w:p>
    <w:p>
      <w:pPr>
        <w:spacing w:after="60" w:line="324" w:lineRule="auto"/>
        <w:ind w:firstLine="440"/>
      </w:pPr>
      <w:r>
        <w:rPr>
          <w:rFonts w:ascii="宋体" w:hAnsi="宋体" w:eastAsia="宋体"/>
          <w:sz w:val="22"/>
        </w:rPr>
        <w:t>三、统计口径。2026 年统计期统一为 1-8 月，同比一律为同期口径（2026 年 1-8 月 vs 2025 年 1-8 月）；2025 年全年同比保留（2025 年 vs 2024 年），两者标签严格区分。投诉密度统一按「件/千户」计。纳统小区口径以区房管局纳统名单为唯一基准。详细口径见附录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图）。附录清单为全量数据摘录，完整版以随附的 Excel 附件为准。</w:t>
      </w:r>
    </w:p>
    <w:p>
      <w:pPr>
        <w:spacing w:after="60" w:line="324" w:lineRule="auto"/>
        <w:ind w:firstLine="440"/>
      </w:pPr>
      <w:r>
        <w:rPr>
          <w:rFonts w:ascii="宋体" w:hAnsi="宋体" w:eastAsia="宋体"/>
          <w:sz w:val="22"/>
        </w:rPr>
        <w:t>五、随附交付物。本汇编配套 4 份 Excel 全量清单附件：高风险小区评分全量清单、投诉去重建议清单、热线与纳统小区全量匹配表、纳统匹配候选与未匹配清单。</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月对比；2025 年全年同比（2025 年与 2024 年对比）作为独立标签保留，两者不得混用。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两层关联体系： ① 小区级（通过小区ID+名称匹配）：电梯、修缮、失信、底部抬升、热线投诉；②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 95.9% (257/268)</w:t>
      </w:r>
    </w:p>
    <w:p>
      <w:pPr>
        <w:spacing w:after="60" w:line="324" w:lineRule="auto"/>
      </w:pPr>
      <w:r>
        <w:rPr>
          <w:rFonts w:ascii="宋体" w:hAnsi="宋体" w:eastAsia="宋体"/>
          <w:sz w:val="21"/>
        </w:rPr>
        <w:t>底部抬升小区 98.8% (83/84)</w:t>
      </w:r>
    </w:p>
    <w:p>
      <w:pPr>
        <w:spacing w:after="60" w:line="324" w:lineRule="auto"/>
      </w:pPr>
      <w:r>
        <w:rPr>
          <w:rFonts w:ascii="宋体" w:hAnsi="宋体" w:eastAsia="宋体"/>
          <w:sz w:val="21"/>
        </w:rPr>
        <w:t>失信计分 100% (18/18)</w:t>
      </w:r>
    </w:p>
    <w:p>
      <w:pPr>
        <w:spacing w:after="60" w:line="324" w:lineRule="auto"/>
      </w:pPr>
      <w:r>
        <w:rPr>
          <w:rFonts w:ascii="宋体" w:hAnsi="宋体" w:eastAsia="宋体"/>
          <w:sz w:val="21"/>
        </w:rPr>
        <w:t>修缮项目 84.3% (285/338)</w:t>
      </w:r>
    </w:p>
    <w:p>
      <w:pPr>
        <w:spacing w:after="60" w:line="324" w:lineRule="auto"/>
      </w:pPr>
      <w:r>
        <w:rPr>
          <w:rFonts w:ascii="宋体" w:hAnsi="宋体" w:eastAsia="宋体"/>
          <w:sz w:val="21"/>
        </w:rPr>
        <w:t>热线投诉（覆盖率） 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质量总结： 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统计范围： 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下一步建议： 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　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　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①答复质量评估无数据支撑；②重复投诉分析缺乏对比基准；③无法做答复模板化检测。　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　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 "投诉去重识别模型"，通过四重识别策略，对2026年1-8月共13,726条有效工单进行系统性去重分析，识别出4,908条重复投诉工单，重复投诉占比 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 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 字段相同） 且 内容描述（内容描述 字段） 完全一致 （字符级精确匹配）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分组，组内对 内容描述 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 ① "催单" / "催办" / "重新交办" / "相同事项" ② 「反复」与催办动作搭配： 反复 + 来电/催/投诉/反映/举报/交办（同句、间隔≤6字） ③ 系统标记 "重复来电" （话务平台直接打在本单上的标签）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 内容描述 文本进行关键词检索，命中任一判据即判定为催办/重发类重复投诉。 注：「反复」 不自成判据 —— 它大量出现在「杜绝反复积水」「现象反复发生」这类普通描述中，单独匹配会误判；仅在携带催办动作时计入。系统标记「重复来电」须 剥离引用块后 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 相同） 且 同一十四类分类（十四类 相同） 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 ② 预处理：分词后去除停用词（"的"、"了"、"在"等） ③ 向量化：TF-IDF算法将文本转化为词频-逆文档频率向量 ④ 相似度计算：余弦相似度（Cosine Similarity） 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 重复率整体高于年初，说明首次办理质量仍是治理短板 ——重复投诉量（4,908件）占全量的三分之一以上。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 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8月预警： 2026年8月单月投诉2,242件，同比2025年8月（2,180件） 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口径说明 · 街镇明细合计 13,719条 + 归属为空 7条 = 全区 13,726条 · 同比统一采用同期口径（1-8月 vs 1-8月），不使用全年基数 · 同比须区分两个口径： 全区 = 13,726 vs 15,798（含「归属为空」，2025年同期归属为空 109条） → -13.1%； 13个街镇合计 = 13,719 vs 15,689 → -12.6%。正文中的「全区同比」一律取前者；贡献度分母取后者（见第四节） · 投诉密度 = 2026年1-8月投诉量 ÷ 户数 × 1000（件/千户）；户数为该街镇「2026年1-8月有投诉小区」按 纳统小区归并后 的总户数，取自《纳统小区 (2026 更新版)》档案 total_households 字段（993个纳统小区；同一小区的别名/曾用名只计一次；工单主数据与 SQLite 库均无户数字段） · 2026年 9-12 月数据未产生，图表以空值呈现 · 重复投诉率：同小区内容完全重复 ∪ 催办关键词 ∪ 同小区同类≥3次 ∪ 文本相似≥0.6，按街镇 1-8 月累计计算 ·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 ·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-10.8%</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上海栗郡实业有限公司</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-26.5%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上海爱建物业管理有限公司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+119.0%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+462.5%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核心判断： 徐汇 1–8 月累计同比 -13.1% （全市第 13/17，低于全市平均 -15.4%），但月度环比已连续 4个月上涨， 8 月单月同比转正 +2.84%、日均已达 72件。若 9–12 月维持 8 月高位，全年降幅将收窄至约 -5.6%、排名跌至第 16/17。 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 红 表示同比上升（警示）， 绿 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街镇观察： ① 田林（+14.3%）、漕河泾（+3.4%） 是仅有的两个同比上升街镇，田林尤甚，需重点介入；② 长桥（-32.1%）、枫林路（-25.6%）、康健（-24.4%） 降幅领先，治理成效突出；③ 密度上 湖南路（48.9）、天平路（37.6） 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全市走势： 徐汇月度工单从 1 月 1,485件攀升至 8 月 2,242件 （+51%），密度从 3.12 翻倍至 5.29件/千户；同比降幅从 1 月 -16.4% 持续收窄， 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 （市局），其中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参照：2025 年 9–12 月实际 7,820件 （月均 1,955、日均 64.1）；2026 年 8 月单月 2,242件 （日均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关键阈值： ① 维持当前位次（全年 -13.1%，全市第13）：9–12 月 ≤ 6,796件，月均 ≤1,700、日均 ≤ 56件。 ② 达全市平均（-15.4%，进前9）：9–12 月 ≤ 6,255件，月均 ≤1,564、日均 ≤ 51件。 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说明：若 9–10 月延续 8 月高位，要靠 11–12 月补回缺口需日均低至 30–38件， 现实中几乎不可达成。结论： 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行动建议： 1. 立即设日均红线 56件 （维持位次线），争取 51件（进前 9 线）；8 月已达 72件，须回落 ≥16件/日。 2. 重点压降反弹街镇：田林（+14.3%）、漕河泾（+3.4%）为同比上升区，是拖累全局的主因，建议单列专项。 3. 夏季高峰前置干预：7–8 月为历史高峰且 2026 反弹强，9 月起对停车管理、群租、物业安保等高频类目开展集中整治。 4. 密度治理聚焦湖南路、天平路 （老城区密度超均值 1.5倍），结合加装电梯、老旧小区改造推进根源治理。 5. 9 月数据入库后 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 纳统小区 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 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 100 分起扣：满分 100 分，各维度按风险程度 扣分 （扣分额＝该维度风险程度 × 权重）， 得分越低代表风险越高 （红色预警为最低分档），避免"高分即高风险"的反直觉。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 "当下态势"，为近期督导提供靶向目标。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近期高风险预警： 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督导建议： 将近期恶化Top10小区纳入专项督导名单，特别是 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数据时间范围说明： 本报告分析基准为 2024年1月—2026年8月 的12345热线全量投诉数据（共66,812件）。 • "平均投诉量" = 2024+2025+2026（1-8月）三年累计平均值，反映小区整体投诉强度 • "2025同比" = 2025年全年相对2024年全年的同比变化率，反映治理趋势 •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统计范围与口径： • 统计范围＝ 《纳统小区 (2026 更新版)》名单内的 993个纳统小区，不在名单中的小区不做统计；小区名按主名／别名／曾用名归并到纳统小区 • 关联字段（户数、电梯、修缮、车位、底部抬升、物业费、业委会等）已按 2026 更新版档案 重跑匹配链路并复算：电梯 257/268（95.9%）、修缮 285/338（84.3%）、底部抬升 83/84（98.8%） • 投诉数据按 热线数据表口径 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分析方法： 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 0.782。但归一化为"每千户投诉量"后，呈现明显的 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超大型小区每千户投诉量比小型小区低35%。原因在于：① 大小区物业资源更充足，管理团队更专业；② 规模效应摊薄管理成本；③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 房龄越大投诉强度越高 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 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双维发现： ① 总量维度： 1元以下小区投诉总量最高（78.4件），3-5元最低（52.2件），呈U型。 ② 每千户维度： 1元以下最高（222.5件），3-5元最低（118.0件），同样呈U型但差异更大（高低差88.6% vs 50.2%），说明低收费小区不仅总量高，单位投诉强度也最高。 ③ 5元以上回升： 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双维发现： ① 总量维度： 电梯越多投诉总量越高——20台以上小区均值210.9件，是无电梯的4.7倍，因为电梯多的小区通常规模更大（户数更多）。 ② 每千户维度： 结论反转——无电梯小区每千户投诉176.0件为最高，20台以上小区仅130.1件为最低（低26.1%），说明有电梯的大型小区单位治理效率更好。 ③ 趋势维度： 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核心发现： ① 无电梯≠无电梯投诉： 738个无电梯小区中295个（40%）仍有电梯相关投诉，主要是 加装诉求 （1,672件，占电梯投诉38.7%）——多层住宅居民强烈要求加装电梯是最大矛盾。 ② 电梯越多，投诉占比越高： 20台以上小区电梯投诉占总投诉15.6%，远高于无电梯小区的5.4%——大型高层小区的电梯维保是核心痛点。 ③ "故障"与"加装"并重： 故障/停运（39.1%）和加装诉求（38.7%）几乎并列第一，说明存量电梯维保和增量电梯加装是两条并行的治理线。 ④ 异常案例： 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 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底部抬升小区三年累计平均投诉量是普通小区的 2.4倍（136.0 vs 56.7件）， 每千户投诉量同样更高 （32.7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发现： 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 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 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 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 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 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 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 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 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 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 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 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 "当下态势"。口径：小区范围＝《纳统小区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核心发现： 2026 年 1-8 月投诉总量同比下降 13.1%，但 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近期管理建议： 三年累计数据中表现好的部分群体在 2026 年近期出现 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 纳统小区 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 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 55.6%的小区治理效果显著 （2026年1-8月较2025年同期下降超10%）， 28.5%的小区投诉恶化 （上升超10%，其中 58个为“2025年改善但2026年反弹”）， 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 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 （2025年同期 406件， +21.4%）。该类别在十四类中属 逆势上升 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125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上海轻工物业管理有限公司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上海华晅投资管理有限公司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7</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上海抚远物业管理有限公司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上海益镇物业管理有限公司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9</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上海锐翔上房物业管理有限公司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上海汇虹物业管理有限公司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上海万科物业服务有限公司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保利城市建设服务有限公司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绿城物业服务集团有限公司上海分公司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上海中誉物业管理有限公司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+0.0%</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上海中誉物业管理有限公司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趋势反转预警： 以下小区在三年数据中表现良好（2025同比改善），但在2026年1-8月出现 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近期治理建议： 2026年1-8月整体降幅-15.7%，但 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核心发现： 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 pp = 百分点（percentage point），指两个百分数 直接相减 的差值，而非百分比的百分比。 例：2025年底部抬升同比 -5.5%、全区 -19.9%，差距 =（-5.5）-（-19.9）＝ +14.4pp， 表示底部抬升降幅比全区 少 14.4个百分点（治理滞后）； 2026年1-8月为（-16.9）-（-13.1）＝ -3.8pp，表示降幅比全区 多 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趋势解读： ① 2024年投诉量"前低后高"，11月达峰值546件；② 2025年治理介入后呈"中间高两端低"，3-4月仍高位；③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结论： 2026年1-8月二类矛盾（35个小区、1,324件、占56.2%）受益于旧改与维修资金推进，同比降幅达-30.5%，已由"硬骨头"转为改善主力；三类矛盾（22个小区、819件）同比+20.3%，是 唯一上升 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关键判断： 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 全量热线工单口径 （底部抬升84个重点小区，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核心发现： 2026年1-8月底部抬升小区投诉 2,354件， 同比2025年1-8月（2,832件） 下降16.9%， 降幅大于普通小区（-9.1%）， 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 底部抬升＝党建引领物业治理重点小区名单 84个，其中 78个 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近期管理建议： 底部抬升小区整体治理成效优于普通小区 （-16.9% vs -9.1%）， 但 华欣家园（+7.9%）、新湖云庭（+228.6%）、尚海湾二期（+89.1%）、华东花苑（+29.5%） 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 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 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 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 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 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一、分类施策精准攻坚 一类矛盾：强化物业履约考核，推广"红黑榜" 二类矛盾：对接旧改计划，加快维修资金续筹 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二、街道间经验复制推广 总结凌云路、漕河泾、康健新村的成功经验 对虹梅路、龙华等反弹街道开展专项督导 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三、重点问题专项突破 停车管理：推广"潮汐共享+智能管理"模式 邻里纠纷：引入社区调解+心理服务资源 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四、建立长效跟踪机制 每月监测底部小区投诉量变化 季度评估治理成效，动态调整名单 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核心矛盾解读： 底部抬升小区的物业费与维修资金矛盾呈现三条主线： ① 调价程序不透明 ——茶花园等小区物业未召开业主大会即擅自调价，触发集体维权； ② 维修资金"有钱用不了" ——华东花苑等老旧小区急需维修但2/3表决门槛过高，资金沉淀与房屋老化并存； ③ 物业费与服务不匹配 ——尚湾区二期等高端小区物业费高但服务缩水，引发"值不值"争议。 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 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 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 持续恶化（+4.4%），是5个专题中唯一同比正增长类别。 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 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 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 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总体判断： 业委会纠纷类投诉中约 28%具有组织化特征 （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 89.9%集中在2024年10-12月 （峰值11月单月119件），为新旧业委会交接和物业选续聘节点。投诉内容高度集中在"业委会暗箱操作""维修基金千万去向不明""物业合同违规签订"等，大量工单使用相似表述。初步判断为 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 峰值出现在2026年7月（15件），呈持续上升趋势。核心矛盾为业委会运作纠纷和物业选续聘争议。该小区2025年投诉量曾大幅下降（改善小区），2026年出现反弹，与本次组织化投诉直接相关。 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 隐患真实存在、影响面广 （如老旧小区楼道堆物普遍），而非人为组织动员。两类投诉的本质区别：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 逐年下降 态势。2024年为基期（月均2,456件），2025年月均降至1,968件（-19.9%），2026年1-8月月均1,716件（较2025年同期-13.1%）。8月单月同比+2.8%，今年首次转正，需警惕反弹风险。 投诉量呈现明显的 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jc w:val="left"/>
            </w:pPr>
            <w:r/>
            <w:r>
              <w:rPr>
                <w:rFonts w:ascii="宋体" w:hAnsi="宋体" w:eastAsia="宋体"/>
                <w:b w:val="0"/>
                <w:sz w:val="20"/>
              </w:rPr>
              <w:t>核心结论 ① 2026年1-8月月均投诉量较基期下降30.1%，物业投诉治理取得显著成效；② 季节性特征明显，需在每年Q3提前部署应对高峰；③ 2026年降幅收窄，建议加大底部抬升小区治理、老旧小区修缮、业委会组建等治本措施，巩固治理成果；④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件，较 2024 年的 29,468 件下降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本项目交付成果分为三类：① 本成果汇编（正文）；② 随附电子附件 4 份；③ 过程成果报告 34 份（月度 19 份、年度 15 份）。全部文件存放于交付物目录，以下逐项列出。另有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