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480" w:after="480" w:line="288" w:lineRule="auto"/>
        <w:ind w:left="0"/>
        <w:jc w:val="center"/>
        <w:rPr>
          <w:rFonts w:ascii="Arial" w:hAnsi="Arial" w:eastAsia="等线" w:cs="Arial"/>
          <w:b/>
          <w:sz w:val="52"/>
        </w:rPr>
      </w:pPr>
      <w:r>
        <w:rPr>
          <w:rFonts w:ascii="Arial" w:hAnsi="Arial" w:eastAsia="等线" w:cs="Arial"/>
          <w:b/>
          <w:sz w:val="52"/>
        </w:rPr>
        <w:t>徐汇区住宅小区</w:t>
      </w:r>
    </w:p>
    <w:p>
      <w:pPr>
        <w:spacing w:before="480" w:after="480" w:line="288" w:lineRule="auto"/>
        <w:ind w:left="0"/>
        <w:jc w:val="center"/>
      </w:pPr>
      <w:bookmarkStart w:id="36" w:name="_GoBack"/>
      <w:bookmarkEnd w:id="36"/>
      <w:r>
        <w:rPr>
          <w:rFonts w:ascii="Arial" w:hAnsi="Arial" w:eastAsia="等线" w:cs="Arial"/>
          <w:b/>
          <w:sz w:val="52"/>
        </w:rPr>
        <w:t>2025年度物业管理分析报告</w:t>
      </w:r>
    </w:p>
    <w:p>
      <w:pPr>
        <w:spacing w:before="380" w:after="140" w:line="288" w:lineRule="auto"/>
        <w:ind w:left="0"/>
        <w:jc w:val="left"/>
        <w:outlineLvl w:val="0"/>
      </w:pPr>
      <w:bookmarkStart w:id="0" w:name="heading_0"/>
      <w:r>
        <w:rPr>
          <w:rFonts w:ascii="Arial" w:hAnsi="Arial" w:eastAsia="等线" w:cs="Arial"/>
          <w:b/>
          <w:sz w:val="36"/>
        </w:rPr>
        <w:t>引言</w:t>
      </w:r>
      <w:bookmarkEnd w:id="0"/>
    </w:p>
    <w:p>
      <w:pPr>
        <w:spacing w:before="120" w:after="120" w:line="288" w:lineRule="auto"/>
        <w:ind w:left="0"/>
        <w:jc w:val="left"/>
        <w:rPr>
          <w:rFonts w:hint="eastAsia" w:ascii="宋体" w:hAnsi="宋体" w:eastAsia="宋体" w:cs="宋体"/>
          <w:sz w:val="28"/>
          <w:szCs w:val="28"/>
        </w:rPr>
      </w:pPr>
      <w:r>
        <w:rPr>
          <w:rFonts w:hint="eastAsia" w:ascii="宋体" w:hAnsi="宋体" w:eastAsia="宋体" w:cs="宋体"/>
          <w:sz w:val="28"/>
          <w:szCs w:val="28"/>
        </w:rPr>
        <w:t>2025年，徐汇区聚焦住宅小区物业管理12345政务服务便民14类热线工单反映的高频问题，持续深化居委会、业委会、物业服务企业"三驾马车"协同治理机制，推动物业管理工作从"被动接诉处置"向"源头预防、主动治理"转型。</w:t>
      </w:r>
    </w:p>
    <w:p>
      <w:pPr>
        <w:spacing w:before="120" w:after="120" w:line="288" w:lineRule="auto"/>
        <w:ind w:left="0"/>
        <w:jc w:val="left"/>
        <w:rPr>
          <w:rFonts w:hint="eastAsia" w:ascii="宋体" w:hAnsi="宋体" w:eastAsia="宋体" w:cs="宋体"/>
          <w:sz w:val="28"/>
          <w:szCs w:val="28"/>
        </w:rPr>
      </w:pPr>
      <w:r>
        <w:rPr>
          <w:rFonts w:hint="eastAsia" w:ascii="宋体" w:hAnsi="宋体" w:eastAsia="宋体" w:cs="宋体"/>
          <w:sz w:val="28"/>
          <w:szCs w:val="28"/>
        </w:rPr>
        <w:t>2025年，徐汇区住宅小区物业投诉全量工单共计29798条，较2024年同比下降16.4%；其中14类核心诉求工单量23618条，较2024年同比下降18.2%，治理成效显著。全区985个小区中共涉及931个小区，占比94.5%，高发小区以老旧小区、混合型小区为主。全区共涉及262家物业公司，其中上海高建物业、衡复物业、徐房物业工单量居前三，合计占核心诉求总量的29.9%，且均实现显著同比下降。</w:t>
      </w:r>
    </w:p>
    <w:p>
      <w:pPr>
        <w:spacing w:before="380" w:after="140" w:line="288" w:lineRule="auto"/>
        <w:ind w:left="0"/>
        <w:jc w:val="left"/>
        <w:outlineLvl w:val="0"/>
      </w:pPr>
      <w:bookmarkStart w:id="1" w:name="heading_1"/>
      <w:r>
        <w:rPr>
          <w:rFonts w:ascii="Arial" w:hAnsi="Arial" w:eastAsia="等线" w:cs="Arial"/>
          <w:b/>
          <w:sz w:val="36"/>
        </w:rPr>
        <w:t>一、12345诉求情况分析</w:t>
      </w:r>
      <w:bookmarkEnd w:id="1"/>
    </w:p>
    <w:p>
      <w:pPr>
        <w:spacing w:before="320" w:after="120" w:line="288" w:lineRule="auto"/>
        <w:ind w:left="0"/>
        <w:jc w:val="left"/>
        <w:outlineLvl w:val="1"/>
      </w:pPr>
      <w:bookmarkStart w:id="2" w:name="heading_2"/>
      <w:r>
        <w:rPr>
          <w:rFonts w:ascii="Arial" w:hAnsi="Arial" w:eastAsia="等线" w:cs="Arial"/>
          <w:b/>
          <w:sz w:val="32"/>
        </w:rPr>
        <w:t>1.1 总量趋势分析</w:t>
      </w:r>
      <w:bookmarkEnd w:id="2"/>
    </w:p>
    <w:p>
      <w:pPr>
        <w:spacing w:before="300" w:after="120" w:line="288" w:lineRule="auto"/>
        <w:ind w:left="0"/>
        <w:jc w:val="left"/>
        <w:outlineLvl w:val="2"/>
      </w:pPr>
      <w:bookmarkStart w:id="3" w:name="heading_3"/>
      <w:r>
        <w:rPr>
          <w:rFonts w:ascii="Arial" w:hAnsi="Arial" w:eastAsia="等线" w:cs="Arial"/>
          <w:b/>
          <w:sz w:val="30"/>
        </w:rPr>
        <w:t>1.1.1 工单总量及核心诉求变化</w:t>
      </w:r>
      <w:bookmarkEnd w:id="3"/>
    </w:p>
    <w:p>
      <w:pPr>
        <w:spacing w:before="120" w:after="120" w:line="288" w:lineRule="auto"/>
        <w:ind w:left="0"/>
        <w:jc w:val="left"/>
        <w:rPr>
          <w:rFonts w:hint="eastAsia" w:ascii="宋体" w:hAnsi="宋体" w:eastAsia="宋体" w:cs="宋体"/>
          <w:sz w:val="28"/>
          <w:szCs w:val="28"/>
        </w:rPr>
      </w:pPr>
      <w:r>
        <w:rPr>
          <w:rFonts w:hint="eastAsia" w:ascii="宋体" w:hAnsi="宋体" w:eastAsia="宋体" w:cs="宋体"/>
          <w:sz w:val="28"/>
          <w:szCs w:val="28"/>
        </w:rPr>
        <w:t>2025年，徐汇区住宅小区12345物业投诉全量工单29798条，同比下降16.4%；14类核心诉求工单23618条，同比下降18.2%，核心诉求治理成效优于全量工单平均水平，反映区域物业管理服务质量与源头治理能力持续提升。</w:t>
      </w:r>
    </w:p>
    <w:p>
      <w:pPr>
        <w:spacing w:before="120" w:after="120" w:line="288" w:lineRule="auto"/>
        <w:ind w:left="0"/>
        <w:jc w:val="left"/>
        <w:rPr>
          <w:rFonts w:hint="eastAsia" w:ascii="宋体" w:hAnsi="宋体" w:eastAsia="宋体" w:cs="宋体"/>
          <w:sz w:val="28"/>
          <w:szCs w:val="28"/>
          <w:lang w:eastAsia="zh-CN"/>
        </w:rPr>
      </w:pPr>
      <w:r>
        <w:rPr>
          <w:rFonts w:hint="eastAsia" w:ascii="宋体" w:hAnsi="宋体" w:eastAsia="宋体" w:cs="宋体"/>
          <w:sz w:val="28"/>
          <w:szCs w:val="28"/>
          <w:lang w:eastAsia="zh-CN"/>
        </w:rPr>
        <w:drawing>
          <wp:inline distT="0" distB="0" distL="114300" distR="114300">
            <wp:extent cx="5270500" cy="3855085"/>
            <wp:effectExtent l="0" t="0" r="12700" b="5715"/>
            <wp:docPr id="12" name="图片 12"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1"/>
                    <pic:cNvPicPr>
                      <a:picLocks noChangeAspect="1"/>
                    </pic:cNvPicPr>
                  </pic:nvPicPr>
                  <pic:blipFill>
                    <a:blip r:embed="rId8"/>
                    <a:stretch>
                      <a:fillRect/>
                    </a:stretch>
                  </pic:blipFill>
                  <pic:spPr>
                    <a:xfrm>
                      <a:off x="0" y="0"/>
                      <a:ext cx="5270500" cy="3855085"/>
                    </a:xfrm>
                    <a:prstGeom prst="rect">
                      <a:avLst/>
                    </a:prstGeom>
                  </pic:spPr>
                </pic:pic>
              </a:graphicData>
            </a:graphic>
          </wp:inline>
        </w:drawing>
      </w:r>
    </w:p>
    <w:p>
      <w:pPr>
        <w:spacing w:before="120" w:after="120" w:line="360" w:lineRule="auto"/>
        <w:ind w:left="0"/>
        <w:jc w:val="left"/>
        <w:rPr>
          <w:rFonts w:hint="eastAsia" w:ascii="宋体" w:hAnsi="宋体" w:eastAsia="宋体" w:cs="宋体"/>
          <w:sz w:val="21"/>
          <w:szCs w:val="21"/>
        </w:rPr>
      </w:pPr>
      <w:r>
        <w:rPr>
          <w:rFonts w:hint="eastAsia" w:ascii="宋体" w:hAnsi="宋体" w:eastAsia="宋体" w:cs="宋体"/>
          <w:sz w:val="24"/>
          <w:szCs w:val="24"/>
        </w:rPr>
        <w:t>注：数据来源为2024-2025年徐汇区物业投诉工单数据，2025年全量工单与核心诉求工单同比降幅分别为16.4%、</w:t>
      </w:r>
      <w:r>
        <w:rPr>
          <w:rFonts w:hint="eastAsia" w:ascii="宋体" w:hAnsi="宋体" w:cs="宋体"/>
          <w:sz w:val="24"/>
          <w:szCs w:val="24"/>
          <w:lang w:val="en-US" w:eastAsia="zh-CN"/>
        </w:rPr>
        <w:t>18.2</w:t>
      </w:r>
      <w:r>
        <w:rPr>
          <w:rFonts w:hint="eastAsia" w:ascii="宋体" w:hAnsi="宋体" w:eastAsia="宋体" w:cs="宋体"/>
          <w:sz w:val="24"/>
          <w:szCs w:val="24"/>
        </w:rPr>
        <w:t>%，核心诉求治理成效更为突出，表明针对高频痛点的专项治理工作取得扎实成效。</w:t>
      </w:r>
    </w:p>
    <w:p>
      <w:pPr>
        <w:spacing w:before="120" w:after="120" w:line="288" w:lineRule="auto"/>
        <w:ind w:left="0"/>
        <w:jc w:val="left"/>
        <w:rPr>
          <w:rFonts w:hint="eastAsia" w:ascii="宋体" w:hAnsi="宋体" w:eastAsia="宋体" w:cs="宋体"/>
          <w:sz w:val="28"/>
          <w:szCs w:val="28"/>
        </w:rPr>
      </w:pPr>
    </w:p>
    <w:p>
      <w:pPr>
        <w:spacing w:before="300" w:after="120" w:line="288" w:lineRule="auto"/>
        <w:ind w:left="0"/>
        <w:jc w:val="left"/>
        <w:outlineLvl w:val="2"/>
      </w:pPr>
      <w:bookmarkStart w:id="4" w:name="heading_4"/>
      <w:r>
        <w:rPr>
          <w:rFonts w:ascii="Arial" w:hAnsi="Arial" w:eastAsia="等线" w:cs="Arial"/>
          <w:b/>
          <w:sz w:val="30"/>
        </w:rPr>
        <w:t>1.1.2 工单年度波动特征对比</w:t>
      </w:r>
      <w:bookmarkEnd w:id="4"/>
    </w:p>
    <w:tbl>
      <w:tblPr>
        <w:tblW w:w="7936" w:type="dxa"/>
        <w:tblInd w:w="8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0" w:type="dxa"/>
          <w:left w:w="108" w:type="dxa"/>
          <w:bottom w:w="0" w:type="dxa"/>
          <w:right w:w="108" w:type="dxa"/>
        </w:tblCellMar>
      </w:tblPr>
      <w:tblGrid>
        <w:gridCol w:w="1131"/>
        <w:gridCol w:w="2436"/>
        <w:gridCol w:w="1853"/>
        <w:gridCol w:w="2516"/>
      </w:tblGrid>
      <w:tr>
        <w:trPr>
          <w:trHeight w:val="336" w:hRule="atLeast"/>
        </w:trPr>
        <w:tc>
          <w:tcPr>
            <w:tcW w:w="1131" w:type="dxa"/>
            <w:tcBorders>
              <w:top w:val="single" w:color="auto" w:sz="4" w:space="0"/>
              <w:left w:val="single" w:color="auto" w:sz="4" w:space="0"/>
              <w:bottom w:val="single" w:color="auto" w:sz="4" w:space="0"/>
              <w:right w:val="single" w:color="auto" w:sz="4" w:space="0"/>
            </w:tcBorders>
            <w:shd w:val="clear"/>
            <w:noWrap/>
            <w:vAlign w:val="top"/>
          </w:tcPr>
          <w:p>
            <w:pPr>
              <w:keepNext w:val="0"/>
              <w:keepLines w:val="0"/>
              <w:widowControl/>
              <w:suppressLineNumbers w:val="0"/>
              <w:ind w:left="0" w:leftChars="0" w:firstLine="0" w:firstLineChars="0"/>
              <w:jc w:val="center"/>
              <w:textAlignment w:val="top"/>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bdr w:val="none" w:color="auto" w:sz="0" w:space="0"/>
                <w:lang w:val="en-US" w:eastAsia="zh-CN" w:bidi="ar"/>
              </w:rPr>
              <w:t>月份</w:t>
            </w:r>
          </w:p>
        </w:tc>
        <w:tc>
          <w:tcPr>
            <w:tcW w:w="2436" w:type="dxa"/>
            <w:tcBorders>
              <w:top w:val="single" w:color="auto" w:sz="4" w:space="0"/>
              <w:left w:val="single" w:color="auto" w:sz="4" w:space="0"/>
              <w:bottom w:val="single" w:color="auto" w:sz="4" w:space="0"/>
              <w:right w:val="single" w:color="auto" w:sz="4" w:space="0"/>
            </w:tcBorders>
            <w:shd w:val="clear"/>
            <w:noWrap/>
            <w:vAlign w:val="top"/>
          </w:tcPr>
          <w:p>
            <w:pPr>
              <w:keepNext w:val="0"/>
              <w:keepLines w:val="0"/>
              <w:widowControl/>
              <w:suppressLineNumbers w:val="0"/>
              <w:ind w:left="0" w:leftChars="0" w:firstLine="0" w:firstLineChars="0"/>
              <w:jc w:val="center"/>
              <w:textAlignment w:val="top"/>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bdr w:val="none" w:color="auto" w:sz="0" w:space="0"/>
                <w:lang w:val="en-US" w:eastAsia="zh-CN" w:bidi="ar"/>
              </w:rPr>
              <w:t>2024年工单数</w:t>
            </w:r>
          </w:p>
        </w:tc>
        <w:tc>
          <w:tcPr>
            <w:tcW w:w="1853" w:type="dxa"/>
            <w:tcBorders>
              <w:top w:val="single" w:color="auto" w:sz="4" w:space="0"/>
              <w:left w:val="single" w:color="auto" w:sz="4" w:space="0"/>
              <w:bottom w:val="single" w:color="auto" w:sz="4" w:space="0"/>
              <w:right w:val="single" w:color="auto" w:sz="4" w:space="0"/>
            </w:tcBorders>
            <w:shd w:val="clear"/>
            <w:noWrap/>
            <w:vAlign w:val="top"/>
          </w:tcPr>
          <w:p>
            <w:pPr>
              <w:keepNext w:val="0"/>
              <w:keepLines w:val="0"/>
              <w:widowControl/>
              <w:suppressLineNumbers w:val="0"/>
              <w:ind w:left="0" w:leftChars="0" w:firstLine="0" w:firstLineChars="0"/>
              <w:jc w:val="center"/>
              <w:textAlignment w:val="top"/>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bdr w:val="none" w:color="auto" w:sz="0" w:space="0"/>
                <w:lang w:val="en-US" w:eastAsia="zh-CN" w:bidi="ar"/>
              </w:rPr>
              <w:t>2025年工单数</w:t>
            </w:r>
          </w:p>
        </w:tc>
        <w:tc>
          <w:tcPr>
            <w:tcW w:w="2516" w:type="dxa"/>
            <w:tcBorders>
              <w:top w:val="single" w:color="auto" w:sz="4" w:space="0"/>
              <w:left w:val="single" w:color="auto" w:sz="4" w:space="0"/>
              <w:bottom w:val="single" w:color="auto" w:sz="4" w:space="0"/>
              <w:right w:val="single" w:color="auto" w:sz="4" w:space="0"/>
            </w:tcBorders>
            <w:shd w:val="clear"/>
            <w:noWrap/>
            <w:vAlign w:val="top"/>
          </w:tcPr>
          <w:p>
            <w:pPr>
              <w:keepNext w:val="0"/>
              <w:keepLines w:val="0"/>
              <w:widowControl/>
              <w:suppressLineNumbers w:val="0"/>
              <w:ind w:left="0" w:leftChars="0" w:firstLine="0" w:firstLineChars="0"/>
              <w:jc w:val="center"/>
              <w:textAlignment w:val="top"/>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bdr w:val="none" w:color="auto" w:sz="0" w:space="0"/>
                <w:lang w:val="en-US" w:eastAsia="zh-CN" w:bidi="ar"/>
              </w:rPr>
              <w:t>同比变化率(%)</w:t>
            </w:r>
          </w:p>
        </w:tc>
      </w:tr>
      <w:tr>
        <w:trPr>
          <w:trHeight w:val="336" w:hRule="atLeast"/>
        </w:trPr>
        <w:tc>
          <w:tcPr>
            <w:tcW w:w="1131" w:type="dxa"/>
            <w:tcBorders>
              <w:top w:val="single" w:color="auto" w:sz="4" w:space="0"/>
              <w:left w:val="single" w:color="auto" w:sz="4" w:space="0"/>
              <w:bottom w:val="single" w:color="auto" w:sz="4" w:space="0"/>
              <w:right w:val="single" w:color="auto" w:sz="4" w:space="0"/>
            </w:tcBorders>
            <w:shd w:val="clear"/>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1月</w:t>
            </w:r>
          </w:p>
        </w:tc>
        <w:tc>
          <w:tcPr>
            <w:tcW w:w="2436" w:type="dxa"/>
            <w:tcBorders>
              <w:top w:val="single" w:color="auto" w:sz="4" w:space="0"/>
              <w:left w:val="single" w:color="auto" w:sz="4" w:space="0"/>
              <w:bottom w:val="single" w:color="auto" w:sz="4" w:space="0"/>
              <w:right w:val="single" w:color="auto" w:sz="4" w:space="0"/>
            </w:tcBorders>
            <w:shd w:val="clear"/>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2521</w:t>
            </w:r>
          </w:p>
        </w:tc>
        <w:tc>
          <w:tcPr>
            <w:tcW w:w="1853" w:type="dxa"/>
            <w:tcBorders>
              <w:top w:val="single" w:color="auto" w:sz="4" w:space="0"/>
              <w:left w:val="single" w:color="auto" w:sz="4" w:space="0"/>
              <w:bottom w:val="single" w:color="auto" w:sz="4" w:space="0"/>
              <w:right w:val="single" w:color="auto" w:sz="4" w:space="0"/>
            </w:tcBorders>
            <w:shd w:val="clear"/>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2172</w:t>
            </w:r>
          </w:p>
        </w:tc>
        <w:tc>
          <w:tcPr>
            <w:tcW w:w="2516" w:type="dxa"/>
            <w:tcBorders>
              <w:top w:val="single" w:color="auto" w:sz="4" w:space="0"/>
              <w:left w:val="single" w:color="auto" w:sz="4" w:space="0"/>
              <w:bottom w:val="single" w:color="auto" w:sz="4" w:space="0"/>
              <w:right w:val="single" w:color="auto" w:sz="4" w:space="0"/>
            </w:tcBorders>
            <w:shd w:val="clear"/>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-13.8%</w:t>
            </w:r>
          </w:p>
        </w:tc>
      </w:tr>
      <w:tr>
        <w:trPr>
          <w:trHeight w:val="336" w:hRule="atLeast"/>
        </w:trPr>
        <w:tc>
          <w:tcPr>
            <w:tcW w:w="1131" w:type="dxa"/>
            <w:tcBorders>
              <w:top w:val="single" w:color="auto" w:sz="4" w:space="0"/>
              <w:left w:val="single" w:color="auto" w:sz="4" w:space="0"/>
              <w:bottom w:val="single" w:color="auto" w:sz="4" w:space="0"/>
              <w:right w:val="single" w:color="auto" w:sz="4" w:space="0"/>
            </w:tcBorders>
            <w:shd w:val="clear"/>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2月</w:t>
            </w:r>
          </w:p>
        </w:tc>
        <w:tc>
          <w:tcPr>
            <w:tcW w:w="2436" w:type="dxa"/>
            <w:tcBorders>
              <w:top w:val="single" w:color="auto" w:sz="4" w:space="0"/>
              <w:left w:val="single" w:color="auto" w:sz="4" w:space="0"/>
              <w:bottom w:val="single" w:color="auto" w:sz="4" w:space="0"/>
              <w:right w:val="single" w:color="auto" w:sz="4" w:space="0"/>
            </w:tcBorders>
            <w:shd w:val="clear"/>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1583</w:t>
            </w:r>
          </w:p>
        </w:tc>
        <w:tc>
          <w:tcPr>
            <w:tcW w:w="1853" w:type="dxa"/>
            <w:tcBorders>
              <w:top w:val="single" w:color="auto" w:sz="4" w:space="0"/>
              <w:left w:val="single" w:color="auto" w:sz="4" w:space="0"/>
              <w:bottom w:val="single" w:color="auto" w:sz="4" w:space="0"/>
              <w:right w:val="single" w:color="auto" w:sz="4" w:space="0"/>
            </w:tcBorders>
            <w:shd w:val="clear"/>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1767</w:t>
            </w:r>
          </w:p>
        </w:tc>
        <w:tc>
          <w:tcPr>
            <w:tcW w:w="2516" w:type="dxa"/>
            <w:tcBorders>
              <w:top w:val="single" w:color="auto" w:sz="4" w:space="0"/>
              <w:left w:val="single" w:color="auto" w:sz="4" w:space="0"/>
              <w:bottom w:val="single" w:color="auto" w:sz="4" w:space="0"/>
              <w:right w:val="single" w:color="auto" w:sz="4" w:space="0"/>
            </w:tcBorders>
            <w:shd w:val="clear"/>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+11.6%</w:t>
            </w:r>
          </w:p>
        </w:tc>
      </w:tr>
      <w:tr>
        <w:trPr>
          <w:trHeight w:val="336" w:hRule="atLeast"/>
        </w:trPr>
        <w:tc>
          <w:tcPr>
            <w:tcW w:w="1131" w:type="dxa"/>
            <w:tcBorders>
              <w:top w:val="single" w:color="auto" w:sz="4" w:space="0"/>
              <w:left w:val="single" w:color="auto" w:sz="4" w:space="0"/>
              <w:bottom w:val="single" w:color="auto" w:sz="4" w:space="0"/>
              <w:right w:val="single" w:color="auto" w:sz="4" w:space="0"/>
            </w:tcBorders>
            <w:shd w:val="clear"/>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3月</w:t>
            </w:r>
          </w:p>
        </w:tc>
        <w:tc>
          <w:tcPr>
            <w:tcW w:w="2436" w:type="dxa"/>
            <w:tcBorders>
              <w:top w:val="single" w:color="auto" w:sz="4" w:space="0"/>
              <w:left w:val="single" w:color="auto" w:sz="4" w:space="0"/>
              <w:bottom w:val="single" w:color="auto" w:sz="4" w:space="0"/>
              <w:right w:val="single" w:color="auto" w:sz="4" w:space="0"/>
            </w:tcBorders>
            <w:shd w:val="clear"/>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2879</w:t>
            </w:r>
          </w:p>
        </w:tc>
        <w:tc>
          <w:tcPr>
            <w:tcW w:w="1853" w:type="dxa"/>
            <w:tcBorders>
              <w:top w:val="single" w:color="auto" w:sz="4" w:space="0"/>
              <w:left w:val="single" w:color="auto" w:sz="4" w:space="0"/>
              <w:bottom w:val="single" w:color="auto" w:sz="4" w:space="0"/>
              <w:right w:val="single" w:color="auto" w:sz="4" w:space="0"/>
            </w:tcBorders>
            <w:shd w:val="clear"/>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2722</w:t>
            </w:r>
          </w:p>
        </w:tc>
        <w:tc>
          <w:tcPr>
            <w:tcW w:w="2516" w:type="dxa"/>
            <w:tcBorders>
              <w:top w:val="single" w:color="auto" w:sz="4" w:space="0"/>
              <w:left w:val="single" w:color="auto" w:sz="4" w:space="0"/>
              <w:bottom w:val="single" w:color="auto" w:sz="4" w:space="0"/>
              <w:right w:val="single" w:color="auto" w:sz="4" w:space="0"/>
            </w:tcBorders>
            <w:shd w:val="clear"/>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-5.5%</w:t>
            </w:r>
          </w:p>
        </w:tc>
      </w:tr>
      <w:tr>
        <w:trPr>
          <w:trHeight w:val="336" w:hRule="atLeast"/>
        </w:trPr>
        <w:tc>
          <w:tcPr>
            <w:tcW w:w="1131" w:type="dxa"/>
            <w:tcBorders>
              <w:top w:val="single" w:color="auto" w:sz="4" w:space="0"/>
              <w:left w:val="single" w:color="auto" w:sz="4" w:space="0"/>
              <w:bottom w:val="single" w:color="auto" w:sz="4" w:space="0"/>
              <w:right w:val="single" w:color="auto" w:sz="4" w:space="0"/>
            </w:tcBorders>
            <w:shd w:val="clear"/>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4月</w:t>
            </w:r>
          </w:p>
        </w:tc>
        <w:tc>
          <w:tcPr>
            <w:tcW w:w="2436" w:type="dxa"/>
            <w:tcBorders>
              <w:top w:val="single" w:color="auto" w:sz="4" w:space="0"/>
              <w:left w:val="single" w:color="auto" w:sz="4" w:space="0"/>
              <w:bottom w:val="single" w:color="auto" w:sz="4" w:space="0"/>
              <w:right w:val="single" w:color="auto" w:sz="4" w:space="0"/>
            </w:tcBorders>
            <w:shd w:val="clear"/>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2879</w:t>
            </w:r>
          </w:p>
        </w:tc>
        <w:tc>
          <w:tcPr>
            <w:tcW w:w="1853" w:type="dxa"/>
            <w:tcBorders>
              <w:top w:val="single" w:color="auto" w:sz="4" w:space="0"/>
              <w:left w:val="single" w:color="auto" w:sz="4" w:space="0"/>
              <w:bottom w:val="single" w:color="auto" w:sz="4" w:space="0"/>
              <w:right w:val="single" w:color="auto" w:sz="4" w:space="0"/>
            </w:tcBorders>
            <w:shd w:val="clear"/>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2687</w:t>
            </w:r>
          </w:p>
        </w:tc>
        <w:tc>
          <w:tcPr>
            <w:tcW w:w="2516" w:type="dxa"/>
            <w:tcBorders>
              <w:top w:val="single" w:color="auto" w:sz="4" w:space="0"/>
              <w:left w:val="single" w:color="auto" w:sz="4" w:space="0"/>
              <w:bottom w:val="single" w:color="auto" w:sz="4" w:space="0"/>
              <w:right w:val="single" w:color="auto" w:sz="4" w:space="0"/>
            </w:tcBorders>
            <w:shd w:val="clear"/>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-6.7%</w:t>
            </w:r>
          </w:p>
        </w:tc>
      </w:tr>
      <w:tr>
        <w:trPr>
          <w:trHeight w:val="336" w:hRule="atLeast"/>
        </w:trPr>
        <w:tc>
          <w:tcPr>
            <w:tcW w:w="1131" w:type="dxa"/>
            <w:tcBorders>
              <w:top w:val="single" w:color="auto" w:sz="4" w:space="0"/>
              <w:left w:val="single" w:color="auto" w:sz="4" w:space="0"/>
              <w:bottom w:val="single" w:color="auto" w:sz="4" w:space="0"/>
              <w:right w:val="single" w:color="auto" w:sz="4" w:space="0"/>
            </w:tcBorders>
            <w:shd w:val="clear"/>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5月</w:t>
            </w:r>
          </w:p>
        </w:tc>
        <w:tc>
          <w:tcPr>
            <w:tcW w:w="2436" w:type="dxa"/>
            <w:tcBorders>
              <w:top w:val="single" w:color="auto" w:sz="4" w:space="0"/>
              <w:left w:val="single" w:color="auto" w:sz="4" w:space="0"/>
              <w:bottom w:val="single" w:color="auto" w:sz="4" w:space="0"/>
              <w:right w:val="single" w:color="auto" w:sz="4" w:space="0"/>
            </w:tcBorders>
            <w:shd w:val="clear"/>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2938</w:t>
            </w:r>
          </w:p>
        </w:tc>
        <w:tc>
          <w:tcPr>
            <w:tcW w:w="1853" w:type="dxa"/>
            <w:tcBorders>
              <w:top w:val="single" w:color="auto" w:sz="4" w:space="0"/>
              <w:left w:val="single" w:color="auto" w:sz="4" w:space="0"/>
              <w:bottom w:val="single" w:color="auto" w:sz="4" w:space="0"/>
              <w:right w:val="single" w:color="auto" w:sz="4" w:space="0"/>
            </w:tcBorders>
            <w:shd w:val="clear"/>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2470</w:t>
            </w:r>
          </w:p>
        </w:tc>
        <w:tc>
          <w:tcPr>
            <w:tcW w:w="2516" w:type="dxa"/>
            <w:tcBorders>
              <w:top w:val="single" w:color="auto" w:sz="4" w:space="0"/>
              <w:left w:val="single" w:color="auto" w:sz="4" w:space="0"/>
              <w:bottom w:val="single" w:color="auto" w:sz="4" w:space="0"/>
              <w:right w:val="single" w:color="auto" w:sz="4" w:space="0"/>
            </w:tcBorders>
            <w:shd w:val="clear"/>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-15.9%</w:t>
            </w:r>
          </w:p>
        </w:tc>
      </w:tr>
      <w:tr>
        <w:trPr>
          <w:trHeight w:val="336" w:hRule="atLeast"/>
        </w:trPr>
        <w:tc>
          <w:tcPr>
            <w:tcW w:w="1131" w:type="dxa"/>
            <w:tcBorders>
              <w:top w:val="single" w:color="auto" w:sz="4" w:space="0"/>
              <w:left w:val="single" w:color="auto" w:sz="4" w:space="0"/>
              <w:bottom w:val="single" w:color="auto" w:sz="4" w:space="0"/>
              <w:right w:val="single" w:color="auto" w:sz="4" w:space="0"/>
            </w:tcBorders>
            <w:shd w:val="clear"/>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6月</w:t>
            </w:r>
          </w:p>
        </w:tc>
        <w:tc>
          <w:tcPr>
            <w:tcW w:w="2436" w:type="dxa"/>
            <w:tcBorders>
              <w:top w:val="single" w:color="auto" w:sz="4" w:space="0"/>
              <w:left w:val="single" w:color="auto" w:sz="4" w:space="0"/>
              <w:bottom w:val="single" w:color="auto" w:sz="4" w:space="0"/>
              <w:right w:val="single" w:color="auto" w:sz="4" w:space="0"/>
            </w:tcBorders>
            <w:shd w:val="clear"/>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3144</w:t>
            </w:r>
          </w:p>
        </w:tc>
        <w:tc>
          <w:tcPr>
            <w:tcW w:w="1853" w:type="dxa"/>
            <w:tcBorders>
              <w:top w:val="single" w:color="auto" w:sz="4" w:space="0"/>
              <w:left w:val="single" w:color="auto" w:sz="4" w:space="0"/>
              <w:bottom w:val="single" w:color="auto" w:sz="4" w:space="0"/>
              <w:right w:val="single" w:color="auto" w:sz="4" w:space="0"/>
            </w:tcBorders>
            <w:shd w:val="clear"/>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2538</w:t>
            </w:r>
          </w:p>
        </w:tc>
        <w:tc>
          <w:tcPr>
            <w:tcW w:w="2516" w:type="dxa"/>
            <w:tcBorders>
              <w:top w:val="single" w:color="auto" w:sz="4" w:space="0"/>
              <w:left w:val="single" w:color="auto" w:sz="4" w:space="0"/>
              <w:bottom w:val="single" w:color="auto" w:sz="4" w:space="0"/>
              <w:right w:val="single" w:color="auto" w:sz="4" w:space="0"/>
            </w:tcBorders>
            <w:shd w:val="clear"/>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-19.3%</w:t>
            </w:r>
          </w:p>
        </w:tc>
      </w:tr>
      <w:tr>
        <w:trPr>
          <w:trHeight w:val="336" w:hRule="atLeast"/>
        </w:trPr>
        <w:tc>
          <w:tcPr>
            <w:tcW w:w="1131" w:type="dxa"/>
            <w:tcBorders>
              <w:top w:val="single" w:color="auto" w:sz="4" w:space="0"/>
              <w:left w:val="single" w:color="auto" w:sz="4" w:space="0"/>
              <w:bottom w:val="single" w:color="auto" w:sz="4" w:space="0"/>
              <w:right w:val="single" w:color="auto" w:sz="4" w:space="0"/>
            </w:tcBorders>
            <w:shd w:val="clear"/>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7月</w:t>
            </w:r>
          </w:p>
        </w:tc>
        <w:tc>
          <w:tcPr>
            <w:tcW w:w="2436" w:type="dxa"/>
            <w:tcBorders>
              <w:top w:val="single" w:color="auto" w:sz="4" w:space="0"/>
              <w:left w:val="single" w:color="auto" w:sz="4" w:space="0"/>
              <w:bottom w:val="single" w:color="auto" w:sz="4" w:space="0"/>
              <w:right w:val="single" w:color="auto" w:sz="4" w:space="0"/>
            </w:tcBorders>
            <w:shd w:val="clear"/>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3226</w:t>
            </w:r>
          </w:p>
        </w:tc>
        <w:tc>
          <w:tcPr>
            <w:tcW w:w="1853" w:type="dxa"/>
            <w:tcBorders>
              <w:top w:val="single" w:color="auto" w:sz="4" w:space="0"/>
              <w:left w:val="single" w:color="auto" w:sz="4" w:space="0"/>
              <w:bottom w:val="single" w:color="auto" w:sz="4" w:space="0"/>
              <w:right w:val="single" w:color="auto" w:sz="4" w:space="0"/>
            </w:tcBorders>
            <w:shd w:val="clear"/>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2662</w:t>
            </w:r>
          </w:p>
        </w:tc>
        <w:tc>
          <w:tcPr>
            <w:tcW w:w="2516" w:type="dxa"/>
            <w:tcBorders>
              <w:top w:val="single" w:color="auto" w:sz="4" w:space="0"/>
              <w:left w:val="single" w:color="auto" w:sz="4" w:space="0"/>
              <w:bottom w:val="single" w:color="auto" w:sz="4" w:space="0"/>
              <w:right w:val="single" w:color="auto" w:sz="4" w:space="0"/>
            </w:tcBorders>
            <w:shd w:val="clear"/>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-17.5%</w:t>
            </w:r>
          </w:p>
        </w:tc>
      </w:tr>
      <w:tr>
        <w:trPr>
          <w:trHeight w:val="336" w:hRule="atLeast"/>
        </w:trPr>
        <w:tc>
          <w:tcPr>
            <w:tcW w:w="1131" w:type="dxa"/>
            <w:tcBorders>
              <w:top w:val="single" w:color="auto" w:sz="4" w:space="0"/>
              <w:left w:val="single" w:color="auto" w:sz="4" w:space="0"/>
              <w:bottom w:val="single" w:color="auto" w:sz="4" w:space="0"/>
              <w:right w:val="single" w:color="auto" w:sz="4" w:space="0"/>
            </w:tcBorders>
            <w:shd w:val="clear"/>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8月</w:t>
            </w:r>
          </w:p>
        </w:tc>
        <w:tc>
          <w:tcPr>
            <w:tcW w:w="2436" w:type="dxa"/>
            <w:tcBorders>
              <w:top w:val="single" w:color="auto" w:sz="4" w:space="0"/>
              <w:left w:val="single" w:color="auto" w:sz="4" w:space="0"/>
              <w:bottom w:val="single" w:color="auto" w:sz="4" w:space="0"/>
              <w:right w:val="single" w:color="auto" w:sz="4" w:space="0"/>
            </w:tcBorders>
            <w:shd w:val="clear"/>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3009</w:t>
            </w:r>
          </w:p>
        </w:tc>
        <w:tc>
          <w:tcPr>
            <w:tcW w:w="1853" w:type="dxa"/>
            <w:tcBorders>
              <w:top w:val="single" w:color="auto" w:sz="4" w:space="0"/>
              <w:left w:val="single" w:color="auto" w:sz="4" w:space="0"/>
              <w:bottom w:val="single" w:color="auto" w:sz="4" w:space="0"/>
              <w:right w:val="single" w:color="auto" w:sz="4" w:space="0"/>
            </w:tcBorders>
            <w:shd w:val="clear"/>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2659</w:t>
            </w:r>
          </w:p>
        </w:tc>
        <w:tc>
          <w:tcPr>
            <w:tcW w:w="2516" w:type="dxa"/>
            <w:tcBorders>
              <w:top w:val="single" w:color="auto" w:sz="4" w:space="0"/>
              <w:left w:val="single" w:color="auto" w:sz="4" w:space="0"/>
              <w:bottom w:val="single" w:color="auto" w:sz="4" w:space="0"/>
              <w:right w:val="single" w:color="auto" w:sz="4" w:space="0"/>
            </w:tcBorders>
            <w:shd w:val="clear"/>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-11.6%</w:t>
            </w:r>
          </w:p>
        </w:tc>
      </w:tr>
      <w:tr>
        <w:trPr>
          <w:trHeight w:val="336" w:hRule="atLeast"/>
        </w:trPr>
        <w:tc>
          <w:tcPr>
            <w:tcW w:w="1131" w:type="dxa"/>
            <w:tcBorders>
              <w:top w:val="single" w:color="auto" w:sz="4" w:space="0"/>
              <w:left w:val="single" w:color="auto" w:sz="4" w:space="0"/>
              <w:bottom w:val="single" w:color="auto" w:sz="4" w:space="0"/>
              <w:right w:val="single" w:color="auto" w:sz="4" w:space="0"/>
            </w:tcBorders>
            <w:shd w:val="clear"/>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9月</w:t>
            </w:r>
          </w:p>
        </w:tc>
        <w:tc>
          <w:tcPr>
            <w:tcW w:w="2436" w:type="dxa"/>
            <w:tcBorders>
              <w:top w:val="single" w:color="auto" w:sz="4" w:space="0"/>
              <w:left w:val="single" w:color="auto" w:sz="4" w:space="0"/>
              <w:bottom w:val="single" w:color="auto" w:sz="4" w:space="0"/>
              <w:right w:val="single" w:color="auto" w:sz="4" w:space="0"/>
            </w:tcBorders>
            <w:shd w:val="clear"/>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3707</w:t>
            </w:r>
          </w:p>
        </w:tc>
        <w:tc>
          <w:tcPr>
            <w:tcW w:w="1853" w:type="dxa"/>
            <w:tcBorders>
              <w:top w:val="single" w:color="auto" w:sz="4" w:space="0"/>
              <w:left w:val="single" w:color="auto" w:sz="4" w:space="0"/>
              <w:bottom w:val="single" w:color="auto" w:sz="4" w:space="0"/>
              <w:right w:val="single" w:color="auto" w:sz="4" w:space="0"/>
            </w:tcBorders>
            <w:shd w:val="clear"/>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2688</w:t>
            </w:r>
          </w:p>
        </w:tc>
        <w:tc>
          <w:tcPr>
            <w:tcW w:w="2516" w:type="dxa"/>
            <w:tcBorders>
              <w:top w:val="single" w:color="auto" w:sz="4" w:space="0"/>
              <w:left w:val="single" w:color="auto" w:sz="4" w:space="0"/>
              <w:bottom w:val="single" w:color="auto" w:sz="4" w:space="0"/>
              <w:right w:val="single" w:color="auto" w:sz="4" w:space="0"/>
            </w:tcBorders>
            <w:shd w:val="clear"/>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-27.5%</w:t>
            </w:r>
          </w:p>
        </w:tc>
      </w:tr>
      <w:tr>
        <w:trPr>
          <w:trHeight w:val="336" w:hRule="atLeast"/>
        </w:trPr>
        <w:tc>
          <w:tcPr>
            <w:tcW w:w="1131" w:type="dxa"/>
            <w:tcBorders>
              <w:top w:val="single" w:color="auto" w:sz="4" w:space="0"/>
              <w:left w:val="single" w:color="auto" w:sz="4" w:space="0"/>
              <w:bottom w:val="single" w:color="auto" w:sz="4" w:space="0"/>
              <w:right w:val="single" w:color="auto" w:sz="4" w:space="0"/>
            </w:tcBorders>
            <w:shd w:val="clear"/>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10月</w:t>
            </w:r>
          </w:p>
        </w:tc>
        <w:tc>
          <w:tcPr>
            <w:tcW w:w="2436" w:type="dxa"/>
            <w:tcBorders>
              <w:top w:val="single" w:color="auto" w:sz="4" w:space="0"/>
              <w:left w:val="single" w:color="auto" w:sz="4" w:space="0"/>
              <w:bottom w:val="single" w:color="auto" w:sz="4" w:space="0"/>
              <w:right w:val="single" w:color="auto" w:sz="4" w:space="0"/>
            </w:tcBorders>
            <w:shd w:val="clear"/>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3038</w:t>
            </w:r>
          </w:p>
        </w:tc>
        <w:tc>
          <w:tcPr>
            <w:tcW w:w="1853" w:type="dxa"/>
            <w:tcBorders>
              <w:top w:val="single" w:color="auto" w:sz="4" w:space="0"/>
              <w:left w:val="single" w:color="auto" w:sz="4" w:space="0"/>
              <w:bottom w:val="single" w:color="auto" w:sz="4" w:space="0"/>
              <w:right w:val="single" w:color="auto" w:sz="4" w:space="0"/>
            </w:tcBorders>
            <w:shd w:val="clear"/>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2312</w:t>
            </w:r>
          </w:p>
        </w:tc>
        <w:tc>
          <w:tcPr>
            <w:tcW w:w="2516" w:type="dxa"/>
            <w:tcBorders>
              <w:top w:val="single" w:color="auto" w:sz="4" w:space="0"/>
              <w:left w:val="single" w:color="auto" w:sz="4" w:space="0"/>
              <w:bottom w:val="single" w:color="auto" w:sz="4" w:space="0"/>
              <w:right w:val="single" w:color="auto" w:sz="4" w:space="0"/>
            </w:tcBorders>
            <w:shd w:val="clear"/>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-23.9%</w:t>
            </w:r>
          </w:p>
        </w:tc>
      </w:tr>
      <w:tr>
        <w:trPr>
          <w:trHeight w:val="336" w:hRule="atLeast"/>
        </w:trPr>
        <w:tc>
          <w:tcPr>
            <w:tcW w:w="1131" w:type="dxa"/>
            <w:tcBorders>
              <w:top w:val="single" w:color="auto" w:sz="4" w:space="0"/>
              <w:left w:val="single" w:color="auto" w:sz="4" w:space="0"/>
              <w:bottom w:val="single" w:color="auto" w:sz="4" w:space="0"/>
              <w:right w:val="single" w:color="auto" w:sz="4" w:space="0"/>
            </w:tcBorders>
            <w:shd w:val="clear"/>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11月</w:t>
            </w:r>
          </w:p>
        </w:tc>
        <w:tc>
          <w:tcPr>
            <w:tcW w:w="2436" w:type="dxa"/>
            <w:tcBorders>
              <w:top w:val="single" w:color="auto" w:sz="4" w:space="0"/>
              <w:left w:val="single" w:color="auto" w:sz="4" w:space="0"/>
              <w:bottom w:val="single" w:color="auto" w:sz="4" w:space="0"/>
              <w:right w:val="single" w:color="auto" w:sz="4" w:space="0"/>
            </w:tcBorders>
            <w:shd w:val="clear"/>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3596</w:t>
            </w:r>
          </w:p>
        </w:tc>
        <w:tc>
          <w:tcPr>
            <w:tcW w:w="1853" w:type="dxa"/>
            <w:tcBorders>
              <w:top w:val="single" w:color="auto" w:sz="4" w:space="0"/>
              <w:left w:val="single" w:color="auto" w:sz="4" w:space="0"/>
              <w:bottom w:val="single" w:color="auto" w:sz="4" w:space="0"/>
              <w:right w:val="single" w:color="auto" w:sz="4" w:space="0"/>
            </w:tcBorders>
            <w:shd w:val="clear"/>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2445</w:t>
            </w:r>
          </w:p>
        </w:tc>
        <w:tc>
          <w:tcPr>
            <w:tcW w:w="2516" w:type="dxa"/>
            <w:tcBorders>
              <w:top w:val="single" w:color="auto" w:sz="4" w:space="0"/>
              <w:left w:val="single" w:color="auto" w:sz="4" w:space="0"/>
              <w:bottom w:val="single" w:color="auto" w:sz="4" w:space="0"/>
              <w:right w:val="single" w:color="auto" w:sz="4" w:space="0"/>
            </w:tcBorders>
            <w:shd w:val="clear"/>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-32.0%</w:t>
            </w:r>
          </w:p>
        </w:tc>
      </w:tr>
      <w:tr>
        <w:trPr>
          <w:trHeight w:val="336" w:hRule="atLeast"/>
        </w:trPr>
        <w:tc>
          <w:tcPr>
            <w:tcW w:w="1131" w:type="dxa"/>
            <w:tcBorders>
              <w:top w:val="single" w:color="auto" w:sz="4" w:space="0"/>
              <w:left w:val="single" w:color="auto" w:sz="4" w:space="0"/>
              <w:bottom w:val="single" w:color="auto" w:sz="4" w:space="0"/>
              <w:right w:val="single" w:color="auto" w:sz="4" w:space="0"/>
            </w:tcBorders>
            <w:shd w:val="clear"/>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12月</w:t>
            </w:r>
          </w:p>
        </w:tc>
        <w:tc>
          <w:tcPr>
            <w:tcW w:w="2436" w:type="dxa"/>
            <w:tcBorders>
              <w:top w:val="single" w:color="auto" w:sz="4" w:space="0"/>
              <w:left w:val="single" w:color="auto" w:sz="4" w:space="0"/>
              <w:bottom w:val="single" w:color="auto" w:sz="4" w:space="0"/>
              <w:right w:val="single" w:color="auto" w:sz="4" w:space="0"/>
            </w:tcBorders>
            <w:shd w:val="clear"/>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3126</w:t>
            </w:r>
          </w:p>
        </w:tc>
        <w:tc>
          <w:tcPr>
            <w:tcW w:w="1853" w:type="dxa"/>
            <w:tcBorders>
              <w:top w:val="single" w:color="auto" w:sz="4" w:space="0"/>
              <w:left w:val="single" w:color="auto" w:sz="4" w:space="0"/>
              <w:bottom w:val="single" w:color="auto" w:sz="4" w:space="0"/>
              <w:right w:val="single" w:color="auto" w:sz="4" w:space="0"/>
            </w:tcBorders>
            <w:shd w:val="clear"/>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2676</w:t>
            </w:r>
          </w:p>
        </w:tc>
        <w:tc>
          <w:tcPr>
            <w:tcW w:w="2516" w:type="dxa"/>
            <w:tcBorders>
              <w:top w:val="single" w:color="auto" w:sz="4" w:space="0"/>
              <w:left w:val="single" w:color="auto" w:sz="4" w:space="0"/>
              <w:bottom w:val="single" w:color="auto" w:sz="4" w:space="0"/>
              <w:right w:val="single" w:color="auto" w:sz="4" w:space="0"/>
            </w:tcBorders>
            <w:shd w:val="clear"/>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-14.4%</w:t>
            </w:r>
          </w:p>
        </w:tc>
      </w:tr>
    </w:tbl>
    <w:p>
      <w:pPr>
        <w:spacing w:before="120" w:after="120" w:line="288" w:lineRule="auto"/>
        <w:ind w:left="0"/>
        <w:jc w:val="left"/>
        <w:rPr>
          <w:rFonts w:hint="eastAsia" w:ascii="宋体" w:hAnsi="宋体" w:eastAsia="宋体" w:cs="宋体"/>
          <w:sz w:val="28"/>
          <w:szCs w:val="28"/>
        </w:rPr>
      </w:pPr>
      <w:r>
        <w:rPr>
          <w:rFonts w:hint="eastAsia" w:ascii="宋体" w:hAnsi="宋体" w:eastAsia="宋体" w:cs="宋体"/>
          <w:b/>
          <w:bCs/>
          <w:sz w:val="28"/>
          <w:szCs w:val="28"/>
        </w:rPr>
        <w:t>从年度波动特征来看，工单运行整体更趋平稳且下行趋势明显：</w:t>
      </w:r>
      <w:r>
        <w:rPr>
          <w:rFonts w:hint="eastAsia" w:ascii="宋体" w:hAnsi="宋体" w:eastAsia="宋体" w:cs="宋体"/>
          <w:sz w:val="28"/>
          <w:szCs w:val="28"/>
        </w:rPr>
        <w:t>2025年各月工单量均低于2024年同期，仅2月工单量同比上升11.6%（2025年2月1767条，2024年2月1583条），其余月份均呈同比下降态势，其中11月降幅最大（-32.0%），全年峰值为3月的2722条，谷值为2月的1767条，峰谷差收窄至95条，波动幅度显著收窄。</w:t>
      </w:r>
    </w:p>
    <w:p>
      <w:pPr>
        <w:spacing w:before="120" w:after="120" w:line="288" w:lineRule="auto"/>
        <w:ind w:left="0"/>
        <w:jc w:val="left"/>
        <w:rPr>
          <w:rFonts w:hint="eastAsia" w:ascii="宋体" w:hAnsi="宋体" w:eastAsia="宋体" w:cs="宋体"/>
          <w:sz w:val="28"/>
          <w:szCs w:val="28"/>
          <w:lang w:eastAsia="zh-CN"/>
        </w:rPr>
      </w:pPr>
      <w:r>
        <w:rPr>
          <w:rFonts w:hint="eastAsia" w:ascii="宋体" w:hAnsi="宋体" w:eastAsia="宋体" w:cs="宋体"/>
          <w:sz w:val="28"/>
          <w:szCs w:val="28"/>
          <w:lang w:eastAsia="zh-CN"/>
        </w:rPr>
        <w:drawing>
          <wp:inline distT="0" distB="0" distL="114300" distR="114300">
            <wp:extent cx="5268595" cy="3089910"/>
            <wp:effectExtent l="0" t="0" r="14605" b="8890"/>
            <wp:docPr id="13" name="图片 13"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2"/>
                    <pic:cNvPicPr>
                      <a:picLocks noChangeAspect="1"/>
                    </pic:cNvPicPr>
                  </pic:nvPicPr>
                  <pic:blipFill>
                    <a:blip r:embed="rId9"/>
                    <a:stretch>
                      <a:fillRect/>
                    </a:stretch>
                  </pic:blipFill>
                  <pic:spPr>
                    <a:xfrm>
                      <a:off x="0" y="0"/>
                      <a:ext cx="5268595" cy="3089910"/>
                    </a:xfrm>
                    <a:prstGeom prst="rect">
                      <a:avLst/>
                    </a:prstGeom>
                  </pic:spPr>
                </pic:pic>
              </a:graphicData>
            </a:graphic>
          </wp:inline>
        </w:drawing>
      </w:r>
    </w:p>
    <w:p>
      <w:pPr>
        <w:spacing w:before="120" w:after="120" w:line="360" w:lineRule="auto"/>
        <w:ind w:left="0"/>
        <w:jc w:val="left"/>
        <w:rPr>
          <w:rFonts w:hint="eastAsia" w:ascii="宋体" w:hAnsi="宋体" w:eastAsia="宋体" w:cs="宋体"/>
          <w:sz w:val="24"/>
          <w:szCs w:val="24"/>
        </w:rPr>
      </w:pPr>
      <w:r>
        <w:rPr>
          <w:rFonts w:hint="eastAsia" w:ascii="宋体" w:hAnsi="宋体" w:eastAsia="宋体" w:cs="宋体"/>
          <w:sz w:val="24"/>
          <w:szCs w:val="24"/>
        </w:rPr>
        <w:t>注：2025年工单月度峰谷差95条（峰值2722条、谷值1767条），较2024年的2124条大幅收窄，且全年仅2月同比上升11.6%，其余月份均呈下降态势，其中11月降幅达32.0%，反映诉求处置与源头治理能力持续提升，物业诉求应对工作更趋常态化、规范化。</w:t>
      </w:r>
    </w:p>
    <w:p>
      <w:pPr>
        <w:spacing w:before="300" w:after="120" w:line="288" w:lineRule="auto"/>
        <w:ind w:left="0"/>
        <w:jc w:val="left"/>
        <w:outlineLvl w:val="2"/>
      </w:pPr>
      <w:bookmarkStart w:id="5" w:name="heading_5"/>
      <w:r>
        <w:rPr>
          <w:rFonts w:ascii="Arial" w:hAnsi="Arial" w:eastAsia="等线" w:cs="Arial"/>
          <w:b/>
          <w:sz w:val="30"/>
        </w:rPr>
        <w:t>1.1.3 月度异常波动原因分析</w:t>
      </w:r>
      <w:bookmarkEnd w:id="5"/>
    </w:p>
    <w:p>
      <w:pPr>
        <w:spacing w:before="120" w:after="120" w:line="288" w:lineRule="auto"/>
        <w:ind w:left="0"/>
        <w:jc w:val="left"/>
        <w:rPr>
          <w:rFonts w:hint="eastAsia" w:ascii="宋体" w:hAnsi="宋体" w:eastAsia="宋体" w:cs="宋体"/>
          <w:sz w:val="28"/>
          <w:szCs w:val="28"/>
        </w:rPr>
      </w:pPr>
      <w:r>
        <w:rPr>
          <w:rFonts w:hint="eastAsia" w:ascii="宋体" w:hAnsi="宋体" w:eastAsia="宋体" w:cs="宋体"/>
          <w:sz w:val="28"/>
          <w:szCs w:val="28"/>
        </w:rPr>
        <w:t>2025年2月投诉量逆势上升，系春节前后租户返乡与返沪流动密集，群租违规现象反弹、停车占位纠纷频发，叠加节后水电故障、管道堵塞等房屋维修诉求集中释放，且部分物业服务企业春节期间值守人员精简，服务响应时效有所下降，间接推高投诉量。</w:t>
      </w:r>
    </w:p>
    <w:p>
      <w:pPr>
        <w:spacing w:before="320" w:after="120" w:line="288" w:lineRule="auto"/>
        <w:ind w:left="0"/>
        <w:jc w:val="left"/>
        <w:outlineLvl w:val="1"/>
      </w:pPr>
      <w:bookmarkStart w:id="6" w:name="heading_6"/>
      <w:r>
        <w:rPr>
          <w:rFonts w:ascii="Arial" w:hAnsi="Arial" w:eastAsia="等线" w:cs="Arial"/>
          <w:b/>
          <w:sz w:val="32"/>
        </w:rPr>
        <w:t>1.2 14类核心诉求类型分析</w:t>
      </w:r>
      <w:bookmarkEnd w:id="6"/>
    </w:p>
    <w:tbl>
      <w:tblPr>
        <w:tblStyle w:val="2"/>
        <w:tblW w:w="9019" w:type="dxa"/>
        <w:tblInd w:w="-50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704"/>
        <w:gridCol w:w="2500"/>
        <w:gridCol w:w="1417"/>
        <w:gridCol w:w="1334"/>
        <w:gridCol w:w="1487"/>
        <w:gridCol w:w="1577"/>
      </w:tblGrid>
      <w:tr>
        <w:trPr>
          <w:trHeight w:val="380" w:hRule="atLeast"/>
          <w:tblHeader/>
        </w:trPr>
        <w:tc>
          <w:tcPr>
            <w:tcW w:w="7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firstLine="0" w:firstLineChars="0"/>
              <w:jc w:val="center"/>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序号</w:t>
            </w:r>
          </w:p>
        </w:tc>
        <w:tc>
          <w:tcPr>
            <w:tcW w:w="25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firstLine="0" w:firstLineChars="0"/>
              <w:jc w:val="center"/>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十四类分类</w:t>
            </w:r>
          </w:p>
        </w:tc>
        <w:tc>
          <w:tcPr>
            <w:tcW w:w="141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ind w:firstLine="0" w:firstLineChars="0"/>
              <w:jc w:val="center"/>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2025年工单数</w:t>
            </w:r>
          </w:p>
        </w:tc>
        <w:tc>
          <w:tcPr>
            <w:tcW w:w="133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ind w:firstLine="0" w:firstLineChars="0"/>
              <w:jc w:val="center"/>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2024年工单数</w:t>
            </w:r>
          </w:p>
        </w:tc>
        <w:tc>
          <w:tcPr>
            <w:tcW w:w="148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ind w:firstLine="0" w:firstLineChars="0"/>
              <w:jc w:val="center"/>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2025年占比(%)</w:t>
            </w:r>
          </w:p>
        </w:tc>
        <w:tc>
          <w:tcPr>
            <w:tcW w:w="15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ind w:firstLine="0" w:firstLineChars="0"/>
              <w:jc w:val="center"/>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同比变化率(%)</w:t>
            </w:r>
          </w:p>
        </w:tc>
      </w:tr>
      <w:tr>
        <w:trPr>
          <w:trHeight w:val="336" w:hRule="atLeast"/>
        </w:trPr>
        <w:tc>
          <w:tcPr>
            <w:tcW w:w="704"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firstLine="0" w:firstLineChars="0"/>
              <w:jc w:val="center"/>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1</w:t>
            </w:r>
          </w:p>
        </w:tc>
        <w:tc>
          <w:tcPr>
            <w:tcW w:w="250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firstLine="0" w:firstLineChars="0"/>
              <w:jc w:val="center"/>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停车管理</w:t>
            </w:r>
          </w:p>
        </w:tc>
        <w:tc>
          <w:tcPr>
            <w:tcW w:w="141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firstLine="0" w:firstLineChars="0"/>
              <w:jc w:val="center"/>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3788</w:t>
            </w:r>
          </w:p>
        </w:tc>
        <w:tc>
          <w:tcPr>
            <w:tcW w:w="1334"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firstLine="0" w:firstLineChars="0"/>
              <w:jc w:val="center"/>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4706</w:t>
            </w:r>
          </w:p>
        </w:tc>
        <w:tc>
          <w:tcPr>
            <w:tcW w:w="148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firstLine="0" w:firstLineChars="0"/>
              <w:jc w:val="center"/>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12.71%</w:t>
            </w:r>
          </w:p>
        </w:tc>
        <w:tc>
          <w:tcPr>
            <w:tcW w:w="157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firstLine="0" w:firstLineChars="0"/>
              <w:jc w:val="center"/>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-19.50%</w:t>
            </w:r>
          </w:p>
        </w:tc>
      </w:tr>
      <w:tr>
        <w:trPr>
          <w:trHeight w:val="336" w:hRule="atLeast"/>
        </w:trPr>
        <w:tc>
          <w:tcPr>
            <w:tcW w:w="704"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firstLine="0" w:firstLineChars="0"/>
              <w:jc w:val="center"/>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2</w:t>
            </w:r>
          </w:p>
        </w:tc>
        <w:tc>
          <w:tcPr>
            <w:tcW w:w="250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firstLine="0" w:firstLineChars="0"/>
              <w:jc w:val="center"/>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房屋维修</w:t>
            </w:r>
          </w:p>
        </w:tc>
        <w:tc>
          <w:tcPr>
            <w:tcW w:w="141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firstLine="0" w:firstLineChars="0"/>
              <w:jc w:val="center"/>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3471</w:t>
            </w:r>
          </w:p>
        </w:tc>
        <w:tc>
          <w:tcPr>
            <w:tcW w:w="1334"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firstLine="0" w:firstLineChars="0"/>
              <w:jc w:val="center"/>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4688</w:t>
            </w:r>
          </w:p>
        </w:tc>
        <w:tc>
          <w:tcPr>
            <w:tcW w:w="148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firstLine="0" w:firstLineChars="0"/>
              <w:jc w:val="center"/>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11.65%</w:t>
            </w:r>
          </w:p>
        </w:tc>
        <w:tc>
          <w:tcPr>
            <w:tcW w:w="157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firstLine="0" w:firstLineChars="0"/>
              <w:jc w:val="center"/>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-26.00%</w:t>
            </w:r>
          </w:p>
        </w:tc>
      </w:tr>
      <w:tr>
        <w:trPr>
          <w:trHeight w:val="336" w:hRule="atLeast"/>
        </w:trPr>
        <w:tc>
          <w:tcPr>
            <w:tcW w:w="704"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firstLine="0" w:firstLineChars="0"/>
              <w:jc w:val="center"/>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3</w:t>
            </w:r>
          </w:p>
        </w:tc>
        <w:tc>
          <w:tcPr>
            <w:tcW w:w="250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firstLine="0" w:firstLineChars="0"/>
              <w:jc w:val="center"/>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邻里纠纷</w:t>
            </w:r>
          </w:p>
        </w:tc>
        <w:tc>
          <w:tcPr>
            <w:tcW w:w="141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firstLine="0" w:firstLineChars="0"/>
              <w:jc w:val="center"/>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2702</w:t>
            </w:r>
          </w:p>
        </w:tc>
        <w:tc>
          <w:tcPr>
            <w:tcW w:w="1334"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firstLine="0" w:firstLineChars="0"/>
              <w:jc w:val="center"/>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2951</w:t>
            </w:r>
          </w:p>
        </w:tc>
        <w:tc>
          <w:tcPr>
            <w:tcW w:w="148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firstLine="0" w:firstLineChars="0"/>
              <w:jc w:val="center"/>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9.07%</w:t>
            </w:r>
          </w:p>
        </w:tc>
        <w:tc>
          <w:tcPr>
            <w:tcW w:w="157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firstLine="0" w:firstLineChars="0"/>
              <w:jc w:val="center"/>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-8.40%</w:t>
            </w:r>
          </w:p>
        </w:tc>
      </w:tr>
      <w:tr>
        <w:trPr>
          <w:trHeight w:val="336" w:hRule="atLeast"/>
        </w:trPr>
        <w:tc>
          <w:tcPr>
            <w:tcW w:w="704"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firstLine="0" w:firstLineChars="0"/>
              <w:jc w:val="center"/>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4</w:t>
            </w:r>
          </w:p>
        </w:tc>
        <w:tc>
          <w:tcPr>
            <w:tcW w:w="250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firstLine="0" w:firstLineChars="0"/>
              <w:jc w:val="center"/>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房屋违规使用</w:t>
            </w:r>
          </w:p>
        </w:tc>
        <w:tc>
          <w:tcPr>
            <w:tcW w:w="141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firstLine="0" w:firstLineChars="0"/>
              <w:jc w:val="center"/>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2454</w:t>
            </w:r>
          </w:p>
        </w:tc>
        <w:tc>
          <w:tcPr>
            <w:tcW w:w="1334"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firstLine="0" w:firstLineChars="0"/>
              <w:jc w:val="center"/>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3123</w:t>
            </w:r>
          </w:p>
        </w:tc>
        <w:tc>
          <w:tcPr>
            <w:tcW w:w="148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firstLine="0" w:firstLineChars="0"/>
              <w:jc w:val="center"/>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8.24%</w:t>
            </w:r>
          </w:p>
        </w:tc>
        <w:tc>
          <w:tcPr>
            <w:tcW w:w="157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firstLine="0" w:firstLineChars="0"/>
              <w:jc w:val="center"/>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-21.40%</w:t>
            </w:r>
          </w:p>
        </w:tc>
      </w:tr>
      <w:tr>
        <w:trPr>
          <w:trHeight w:val="356" w:hRule="atLeast"/>
        </w:trPr>
        <w:tc>
          <w:tcPr>
            <w:tcW w:w="704"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firstLine="0" w:firstLineChars="0"/>
              <w:jc w:val="center"/>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5</w:t>
            </w:r>
          </w:p>
        </w:tc>
        <w:tc>
          <w:tcPr>
            <w:tcW w:w="250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firstLine="0" w:firstLineChars="0"/>
              <w:jc w:val="center"/>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业主大会/业委会</w:t>
            </w:r>
          </w:p>
        </w:tc>
        <w:tc>
          <w:tcPr>
            <w:tcW w:w="141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firstLine="0" w:firstLineChars="0"/>
              <w:jc w:val="center"/>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2282</w:t>
            </w:r>
          </w:p>
        </w:tc>
        <w:tc>
          <w:tcPr>
            <w:tcW w:w="1334"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firstLine="0" w:firstLineChars="0"/>
              <w:jc w:val="center"/>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2957</w:t>
            </w:r>
          </w:p>
        </w:tc>
        <w:tc>
          <w:tcPr>
            <w:tcW w:w="148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firstLine="0" w:firstLineChars="0"/>
              <w:jc w:val="center"/>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7.66%</w:t>
            </w:r>
          </w:p>
        </w:tc>
        <w:tc>
          <w:tcPr>
            <w:tcW w:w="157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firstLine="0" w:firstLineChars="0"/>
              <w:jc w:val="center"/>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-22.83%</w:t>
            </w:r>
          </w:p>
        </w:tc>
      </w:tr>
      <w:tr>
        <w:trPr>
          <w:trHeight w:val="336" w:hRule="atLeast"/>
        </w:trPr>
        <w:tc>
          <w:tcPr>
            <w:tcW w:w="704"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firstLine="0" w:firstLineChars="0"/>
              <w:jc w:val="center"/>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6</w:t>
            </w:r>
          </w:p>
        </w:tc>
        <w:tc>
          <w:tcPr>
            <w:tcW w:w="250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firstLine="0" w:firstLineChars="0"/>
              <w:jc w:val="center"/>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消防管理</w:t>
            </w:r>
          </w:p>
        </w:tc>
        <w:tc>
          <w:tcPr>
            <w:tcW w:w="141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firstLine="0" w:firstLineChars="0"/>
              <w:jc w:val="center"/>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1686</w:t>
            </w:r>
          </w:p>
        </w:tc>
        <w:tc>
          <w:tcPr>
            <w:tcW w:w="1334"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firstLine="0" w:firstLineChars="0"/>
              <w:jc w:val="center"/>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1866</w:t>
            </w:r>
          </w:p>
        </w:tc>
        <w:tc>
          <w:tcPr>
            <w:tcW w:w="148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firstLine="0" w:firstLineChars="0"/>
              <w:jc w:val="center"/>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5.66%</w:t>
            </w:r>
          </w:p>
        </w:tc>
        <w:tc>
          <w:tcPr>
            <w:tcW w:w="157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firstLine="0" w:firstLineChars="0"/>
              <w:jc w:val="center"/>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-9.60%</w:t>
            </w:r>
          </w:p>
        </w:tc>
      </w:tr>
      <w:tr>
        <w:trPr>
          <w:trHeight w:val="336" w:hRule="atLeast"/>
        </w:trPr>
        <w:tc>
          <w:tcPr>
            <w:tcW w:w="704"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firstLine="0" w:firstLineChars="0"/>
              <w:jc w:val="center"/>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7</w:t>
            </w:r>
          </w:p>
        </w:tc>
        <w:tc>
          <w:tcPr>
            <w:tcW w:w="250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firstLine="0" w:firstLineChars="0"/>
              <w:jc w:val="center"/>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群租管理</w:t>
            </w:r>
          </w:p>
        </w:tc>
        <w:tc>
          <w:tcPr>
            <w:tcW w:w="141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firstLine="0" w:firstLineChars="0"/>
              <w:jc w:val="center"/>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1451</w:t>
            </w:r>
          </w:p>
        </w:tc>
        <w:tc>
          <w:tcPr>
            <w:tcW w:w="1334"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firstLine="0" w:firstLineChars="0"/>
              <w:jc w:val="center"/>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1553</w:t>
            </w:r>
          </w:p>
        </w:tc>
        <w:tc>
          <w:tcPr>
            <w:tcW w:w="148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firstLine="0" w:firstLineChars="0"/>
              <w:jc w:val="center"/>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4.87%</w:t>
            </w:r>
          </w:p>
        </w:tc>
        <w:tc>
          <w:tcPr>
            <w:tcW w:w="157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firstLine="0" w:firstLineChars="0"/>
              <w:jc w:val="center"/>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-6.57%</w:t>
            </w:r>
          </w:p>
        </w:tc>
      </w:tr>
      <w:tr>
        <w:trPr>
          <w:trHeight w:val="336" w:hRule="atLeast"/>
        </w:trPr>
        <w:tc>
          <w:tcPr>
            <w:tcW w:w="704"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firstLine="0" w:firstLineChars="0"/>
              <w:jc w:val="center"/>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8</w:t>
            </w:r>
          </w:p>
        </w:tc>
        <w:tc>
          <w:tcPr>
            <w:tcW w:w="250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firstLine="0" w:firstLineChars="0"/>
              <w:jc w:val="center"/>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物业安保</w:t>
            </w:r>
          </w:p>
        </w:tc>
        <w:tc>
          <w:tcPr>
            <w:tcW w:w="141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firstLine="0" w:firstLineChars="0"/>
              <w:jc w:val="center"/>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1423</w:t>
            </w:r>
          </w:p>
        </w:tc>
        <w:tc>
          <w:tcPr>
            <w:tcW w:w="1334"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firstLine="0" w:firstLineChars="0"/>
              <w:jc w:val="center"/>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1521</w:t>
            </w:r>
          </w:p>
        </w:tc>
        <w:tc>
          <w:tcPr>
            <w:tcW w:w="148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firstLine="0" w:firstLineChars="0"/>
              <w:jc w:val="center"/>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4.78%</w:t>
            </w:r>
          </w:p>
        </w:tc>
        <w:tc>
          <w:tcPr>
            <w:tcW w:w="157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firstLine="0" w:firstLineChars="0"/>
              <w:jc w:val="center"/>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-6.40%</w:t>
            </w:r>
          </w:p>
        </w:tc>
      </w:tr>
      <w:tr>
        <w:trPr>
          <w:trHeight w:val="336" w:hRule="atLeast"/>
        </w:trPr>
        <w:tc>
          <w:tcPr>
            <w:tcW w:w="704"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firstLine="0" w:firstLineChars="0"/>
              <w:jc w:val="center"/>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9</w:t>
            </w:r>
          </w:p>
        </w:tc>
        <w:tc>
          <w:tcPr>
            <w:tcW w:w="250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firstLine="0" w:firstLineChars="0"/>
              <w:jc w:val="center"/>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旧住房改造</w:t>
            </w:r>
          </w:p>
        </w:tc>
        <w:tc>
          <w:tcPr>
            <w:tcW w:w="141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firstLine="0" w:firstLineChars="0"/>
              <w:jc w:val="center"/>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1248</w:t>
            </w:r>
          </w:p>
        </w:tc>
        <w:tc>
          <w:tcPr>
            <w:tcW w:w="1334"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firstLine="0" w:firstLineChars="0"/>
              <w:jc w:val="center"/>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1968</w:t>
            </w:r>
          </w:p>
        </w:tc>
        <w:tc>
          <w:tcPr>
            <w:tcW w:w="148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firstLine="0" w:firstLineChars="0"/>
              <w:jc w:val="center"/>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4.19%</w:t>
            </w:r>
          </w:p>
        </w:tc>
        <w:tc>
          <w:tcPr>
            <w:tcW w:w="157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firstLine="0" w:firstLineChars="0"/>
              <w:jc w:val="center"/>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-36.60%</w:t>
            </w:r>
          </w:p>
        </w:tc>
      </w:tr>
      <w:tr>
        <w:trPr>
          <w:trHeight w:val="336" w:hRule="atLeast"/>
        </w:trPr>
        <w:tc>
          <w:tcPr>
            <w:tcW w:w="704"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firstLine="0" w:firstLineChars="0"/>
              <w:jc w:val="center"/>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10</w:t>
            </w:r>
          </w:p>
        </w:tc>
        <w:tc>
          <w:tcPr>
            <w:tcW w:w="250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firstLine="0" w:firstLineChars="0"/>
              <w:jc w:val="center"/>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清洁卫生</w:t>
            </w:r>
          </w:p>
        </w:tc>
        <w:tc>
          <w:tcPr>
            <w:tcW w:w="141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firstLine="0" w:firstLineChars="0"/>
              <w:jc w:val="center"/>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1101</w:t>
            </w:r>
          </w:p>
        </w:tc>
        <w:tc>
          <w:tcPr>
            <w:tcW w:w="1334"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firstLine="0" w:firstLineChars="0"/>
              <w:jc w:val="center"/>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1408</w:t>
            </w:r>
          </w:p>
        </w:tc>
        <w:tc>
          <w:tcPr>
            <w:tcW w:w="148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firstLine="0" w:firstLineChars="0"/>
              <w:jc w:val="center"/>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3.69%</w:t>
            </w:r>
          </w:p>
        </w:tc>
        <w:tc>
          <w:tcPr>
            <w:tcW w:w="157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firstLine="0" w:firstLineChars="0"/>
              <w:jc w:val="center"/>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-21.80%</w:t>
            </w:r>
          </w:p>
        </w:tc>
      </w:tr>
      <w:tr>
        <w:trPr>
          <w:trHeight w:val="336" w:hRule="atLeast"/>
        </w:trPr>
        <w:tc>
          <w:tcPr>
            <w:tcW w:w="704"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firstLine="0" w:firstLineChars="0"/>
              <w:jc w:val="center"/>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11</w:t>
            </w:r>
          </w:p>
        </w:tc>
        <w:tc>
          <w:tcPr>
            <w:tcW w:w="250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firstLine="0" w:firstLineChars="0"/>
              <w:jc w:val="center"/>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绿化管理</w:t>
            </w:r>
          </w:p>
        </w:tc>
        <w:tc>
          <w:tcPr>
            <w:tcW w:w="141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firstLine="0" w:firstLineChars="0"/>
              <w:jc w:val="center"/>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737</w:t>
            </w:r>
          </w:p>
        </w:tc>
        <w:tc>
          <w:tcPr>
            <w:tcW w:w="1334"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firstLine="0" w:firstLineChars="0"/>
              <w:jc w:val="center"/>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963</w:t>
            </w:r>
          </w:p>
        </w:tc>
        <w:tc>
          <w:tcPr>
            <w:tcW w:w="148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firstLine="0" w:firstLineChars="0"/>
              <w:jc w:val="center"/>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2.47%</w:t>
            </w:r>
          </w:p>
        </w:tc>
        <w:tc>
          <w:tcPr>
            <w:tcW w:w="157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firstLine="0" w:firstLineChars="0"/>
              <w:jc w:val="center"/>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-23.50%</w:t>
            </w:r>
          </w:p>
        </w:tc>
      </w:tr>
      <w:tr>
        <w:trPr>
          <w:trHeight w:val="336" w:hRule="atLeast"/>
        </w:trPr>
        <w:tc>
          <w:tcPr>
            <w:tcW w:w="704"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firstLine="0" w:firstLineChars="0"/>
              <w:jc w:val="center"/>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12</w:t>
            </w:r>
          </w:p>
        </w:tc>
        <w:tc>
          <w:tcPr>
            <w:tcW w:w="250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firstLine="0" w:firstLineChars="0"/>
              <w:jc w:val="center"/>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服务态度</w:t>
            </w:r>
          </w:p>
        </w:tc>
        <w:tc>
          <w:tcPr>
            <w:tcW w:w="141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firstLine="0" w:firstLineChars="0"/>
              <w:jc w:val="center"/>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637</w:t>
            </w:r>
          </w:p>
        </w:tc>
        <w:tc>
          <w:tcPr>
            <w:tcW w:w="1334"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firstLine="0" w:firstLineChars="0"/>
              <w:jc w:val="center"/>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591</w:t>
            </w:r>
          </w:p>
        </w:tc>
        <w:tc>
          <w:tcPr>
            <w:tcW w:w="148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firstLine="0" w:firstLineChars="0"/>
              <w:jc w:val="center"/>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2.14%</w:t>
            </w:r>
          </w:p>
        </w:tc>
        <w:tc>
          <w:tcPr>
            <w:tcW w:w="157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firstLine="0" w:firstLineChars="0"/>
              <w:jc w:val="center"/>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7.80%</w:t>
            </w:r>
            <w:r>
              <w:rPr>
                <w:rFonts w:hint="default" w:ascii="宋体" w:hAnsi="宋体" w:eastAsia="宋体" w:cs="宋体"/>
                <w:b/>
                <w:bCs/>
                <w:i w:val="0"/>
                <w:iCs w:val="0"/>
                <w:color w:val="000000"/>
                <w:kern w:val="0"/>
                <w:sz w:val="22"/>
                <w:szCs w:val="22"/>
                <w:u w:val="none"/>
                <w:lang w:val="en-US" w:eastAsia="zh-CN" w:bidi="ar"/>
              </w:rPr>
              <w:t>↑</w:t>
            </w:r>
          </w:p>
        </w:tc>
      </w:tr>
      <w:tr>
        <w:trPr>
          <w:trHeight w:val="336" w:hRule="atLeast"/>
        </w:trPr>
        <w:tc>
          <w:tcPr>
            <w:tcW w:w="704"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firstLine="0" w:firstLineChars="0"/>
              <w:jc w:val="center"/>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13</w:t>
            </w:r>
          </w:p>
        </w:tc>
        <w:tc>
          <w:tcPr>
            <w:tcW w:w="250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firstLine="0" w:firstLineChars="0"/>
              <w:jc w:val="center"/>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物业收费</w:t>
            </w:r>
          </w:p>
        </w:tc>
        <w:tc>
          <w:tcPr>
            <w:tcW w:w="141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firstLine="0" w:firstLineChars="0"/>
              <w:jc w:val="center"/>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519</w:t>
            </w:r>
          </w:p>
        </w:tc>
        <w:tc>
          <w:tcPr>
            <w:tcW w:w="1334"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firstLine="0" w:firstLineChars="0"/>
              <w:jc w:val="center"/>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449</w:t>
            </w:r>
          </w:p>
        </w:tc>
        <w:tc>
          <w:tcPr>
            <w:tcW w:w="148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firstLine="0" w:firstLineChars="0"/>
              <w:jc w:val="center"/>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1.74%</w:t>
            </w:r>
          </w:p>
        </w:tc>
        <w:tc>
          <w:tcPr>
            <w:tcW w:w="157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firstLine="0" w:firstLineChars="0"/>
              <w:jc w:val="center"/>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15.60%</w:t>
            </w:r>
            <w:r>
              <w:rPr>
                <w:rFonts w:hint="default" w:ascii="宋体" w:hAnsi="宋体" w:eastAsia="宋体" w:cs="宋体"/>
                <w:b/>
                <w:bCs/>
                <w:i w:val="0"/>
                <w:iCs w:val="0"/>
                <w:color w:val="000000"/>
                <w:kern w:val="0"/>
                <w:sz w:val="22"/>
                <w:szCs w:val="22"/>
                <w:u w:val="none"/>
                <w:lang w:val="en-US" w:eastAsia="zh-CN" w:bidi="ar"/>
              </w:rPr>
              <w:t>↑</w:t>
            </w:r>
          </w:p>
        </w:tc>
      </w:tr>
      <w:tr>
        <w:trPr>
          <w:trHeight w:val="336" w:hRule="atLeast"/>
        </w:trPr>
        <w:tc>
          <w:tcPr>
            <w:tcW w:w="704"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firstLine="0" w:firstLineChars="0"/>
              <w:jc w:val="center"/>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14</w:t>
            </w:r>
          </w:p>
        </w:tc>
        <w:tc>
          <w:tcPr>
            <w:tcW w:w="250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firstLine="0" w:firstLineChars="0"/>
              <w:jc w:val="center"/>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房屋建设质量和开发商</w:t>
            </w:r>
          </w:p>
        </w:tc>
        <w:tc>
          <w:tcPr>
            <w:tcW w:w="141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firstLine="0" w:firstLineChars="0"/>
              <w:jc w:val="center"/>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119</w:t>
            </w:r>
          </w:p>
        </w:tc>
        <w:tc>
          <w:tcPr>
            <w:tcW w:w="1334"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firstLine="0" w:firstLineChars="0"/>
              <w:jc w:val="center"/>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135</w:t>
            </w:r>
          </w:p>
        </w:tc>
        <w:tc>
          <w:tcPr>
            <w:tcW w:w="148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firstLine="0" w:firstLineChars="0"/>
              <w:jc w:val="center"/>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0.40%</w:t>
            </w:r>
          </w:p>
        </w:tc>
        <w:tc>
          <w:tcPr>
            <w:tcW w:w="157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firstLine="0" w:firstLineChars="0"/>
              <w:jc w:val="center"/>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-11.90%</w:t>
            </w:r>
          </w:p>
        </w:tc>
      </w:tr>
    </w:tbl>
    <w:p>
      <w:pPr>
        <w:spacing w:before="120" w:after="120" w:line="288" w:lineRule="auto"/>
        <w:ind w:left="0"/>
        <w:jc w:val="left"/>
        <w:rPr>
          <w:rFonts w:hint="eastAsia" w:ascii="宋体" w:hAnsi="宋体" w:eastAsia="宋体" w:cs="宋体"/>
          <w:sz w:val="28"/>
          <w:szCs w:val="28"/>
        </w:rPr>
      </w:pPr>
      <w:r>
        <w:rPr>
          <w:rFonts w:hint="eastAsia" w:ascii="宋体" w:hAnsi="宋体" w:eastAsia="宋体" w:cs="宋体"/>
          <w:sz w:val="28"/>
          <w:szCs w:val="28"/>
        </w:rPr>
        <w:t>14类核心诉求中，高频诉求集中于停车管理、房屋维修、邻里纠纷三类，2025年工单量分别为3788条、3471条、2702条，合计占核心诉求总量的33.4%，较2024年的42.7%显著下降，诉求分布更趋均衡。多数诉求类型同比下降，其中旧住房改造类降幅最大（-36.6%），房屋维修（-26.0%）、绿化管理（-23.5%）等降幅显著；仅物业收费（+15.6%）、服务态度（+7.8%）两类诉求同比上升，主要源于物业费调价争议、部分物业企业服务意识薄弱。</w:t>
      </w:r>
    </w:p>
    <w:p>
      <w:pPr>
        <w:spacing w:before="120" w:after="120" w:line="288" w:lineRule="auto"/>
        <w:ind w:left="0"/>
        <w:jc w:val="left"/>
        <w:rPr>
          <w:rFonts w:hint="eastAsia" w:ascii="宋体" w:hAnsi="宋体" w:eastAsia="宋体" w:cs="宋体"/>
          <w:sz w:val="28"/>
          <w:szCs w:val="28"/>
          <w:lang w:eastAsia="zh-CN"/>
        </w:rPr>
      </w:pPr>
      <w:r>
        <w:rPr>
          <w:rFonts w:hint="eastAsia" w:ascii="宋体" w:hAnsi="宋体" w:eastAsia="宋体" w:cs="宋体"/>
          <w:sz w:val="28"/>
          <w:szCs w:val="28"/>
          <w:lang w:eastAsia="zh-CN"/>
        </w:rPr>
        <w:drawing>
          <wp:inline distT="0" distB="0" distL="114300" distR="114300">
            <wp:extent cx="5273040" cy="5356225"/>
            <wp:effectExtent l="0" t="0" r="10160" b="3175"/>
            <wp:docPr id="14" name="图片 14"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3"/>
                    <pic:cNvPicPr>
                      <a:picLocks noChangeAspect="1"/>
                    </pic:cNvPicPr>
                  </pic:nvPicPr>
                  <pic:blipFill>
                    <a:blip r:embed="rId10"/>
                    <a:stretch>
                      <a:fillRect/>
                    </a:stretch>
                  </pic:blipFill>
                  <pic:spPr>
                    <a:xfrm>
                      <a:off x="0" y="0"/>
                      <a:ext cx="5273040" cy="5356225"/>
                    </a:xfrm>
                    <a:prstGeom prst="rect">
                      <a:avLst/>
                    </a:prstGeom>
                  </pic:spPr>
                </pic:pic>
              </a:graphicData>
            </a:graphic>
          </wp:inline>
        </w:drawing>
      </w:r>
    </w:p>
    <w:p>
      <w:pPr>
        <w:spacing w:before="120" w:after="120" w:line="288" w:lineRule="auto"/>
        <w:ind w:left="0"/>
        <w:jc w:val="left"/>
        <w:rPr>
          <w:rFonts w:hint="eastAsia" w:ascii="宋体" w:hAnsi="宋体" w:eastAsia="宋体" w:cs="宋体"/>
          <w:sz w:val="28"/>
          <w:szCs w:val="28"/>
          <w:lang w:eastAsia="zh-CN"/>
        </w:rPr>
      </w:pPr>
      <w:r>
        <w:rPr>
          <w:rFonts w:hint="eastAsia" w:ascii="宋体" w:hAnsi="宋体" w:eastAsia="宋体" w:cs="宋体"/>
          <w:sz w:val="28"/>
          <w:szCs w:val="28"/>
          <w:lang w:eastAsia="zh-CN"/>
        </w:rPr>
        <w:drawing>
          <wp:inline distT="0" distB="0" distL="114300" distR="114300">
            <wp:extent cx="5272405" cy="4381500"/>
            <wp:effectExtent l="0" t="0" r="10795" b="12700"/>
            <wp:docPr id="15" name="图片 15"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4"/>
                    <pic:cNvPicPr>
                      <a:picLocks noChangeAspect="1"/>
                    </pic:cNvPicPr>
                  </pic:nvPicPr>
                  <pic:blipFill>
                    <a:blip r:embed="rId11"/>
                    <a:stretch>
                      <a:fillRect/>
                    </a:stretch>
                  </pic:blipFill>
                  <pic:spPr>
                    <a:xfrm>
                      <a:off x="0" y="0"/>
                      <a:ext cx="5272405" cy="4381500"/>
                    </a:xfrm>
                    <a:prstGeom prst="rect">
                      <a:avLst/>
                    </a:prstGeom>
                  </pic:spPr>
                </pic:pic>
              </a:graphicData>
            </a:graphic>
          </wp:inline>
        </w:drawing>
      </w:r>
    </w:p>
    <w:p>
      <w:pPr>
        <w:spacing w:before="120" w:after="120" w:line="288" w:lineRule="auto"/>
        <w:ind w:left="0"/>
        <w:jc w:val="left"/>
        <w:rPr>
          <w:rFonts w:hint="eastAsia" w:ascii="宋体" w:hAnsi="宋体" w:eastAsia="宋体" w:cs="宋体"/>
          <w:sz w:val="28"/>
          <w:szCs w:val="28"/>
          <w:lang w:eastAsia="zh-CN"/>
        </w:rPr>
      </w:pPr>
      <w:r>
        <w:rPr>
          <w:rFonts w:hint="eastAsia" w:ascii="宋体" w:hAnsi="宋体" w:eastAsia="宋体" w:cs="宋体"/>
          <w:sz w:val="28"/>
          <w:szCs w:val="28"/>
          <w:lang w:eastAsia="zh-CN"/>
        </w:rPr>
        <w:drawing>
          <wp:inline distT="0" distB="0" distL="114300" distR="114300">
            <wp:extent cx="5267325" cy="2663825"/>
            <wp:effectExtent l="0" t="0" r="15875" b="3175"/>
            <wp:docPr id="18" name="图片 18" descr="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7"/>
                    <pic:cNvPicPr>
                      <a:picLocks noChangeAspect="1"/>
                    </pic:cNvPicPr>
                  </pic:nvPicPr>
                  <pic:blipFill>
                    <a:blip r:embed="rId12"/>
                    <a:stretch>
                      <a:fillRect/>
                    </a:stretch>
                  </pic:blipFill>
                  <pic:spPr>
                    <a:xfrm>
                      <a:off x="0" y="0"/>
                      <a:ext cx="5267325" cy="2663825"/>
                    </a:xfrm>
                    <a:prstGeom prst="rect">
                      <a:avLst/>
                    </a:prstGeom>
                  </pic:spPr>
                </pic:pic>
              </a:graphicData>
            </a:graphic>
          </wp:inline>
        </w:drawing>
      </w:r>
    </w:p>
    <w:p>
      <w:pPr>
        <w:spacing w:before="320" w:after="120" w:line="288" w:lineRule="auto"/>
        <w:ind w:left="0"/>
        <w:jc w:val="left"/>
        <w:outlineLvl w:val="1"/>
      </w:pPr>
      <w:bookmarkStart w:id="7" w:name="heading_7"/>
      <w:r>
        <w:rPr>
          <w:rFonts w:ascii="Arial" w:hAnsi="Arial" w:eastAsia="等线" w:cs="Arial"/>
          <w:b/>
          <w:sz w:val="32"/>
        </w:rPr>
        <w:t>1.3 街镇情况分析</w:t>
      </w:r>
      <w:bookmarkEnd w:id="7"/>
    </w:p>
    <w:p>
      <w:pPr>
        <w:spacing w:before="300" w:after="120" w:line="288" w:lineRule="auto"/>
        <w:ind w:left="0"/>
        <w:jc w:val="left"/>
        <w:outlineLvl w:val="2"/>
      </w:pPr>
      <w:bookmarkStart w:id="8" w:name="heading_8"/>
      <w:r>
        <w:rPr>
          <w:rFonts w:ascii="Arial" w:hAnsi="Arial" w:eastAsia="等线" w:cs="Arial"/>
          <w:b/>
          <w:sz w:val="30"/>
        </w:rPr>
        <w:t>1.3.1 工单总量与投诉密度分布</w:t>
      </w:r>
      <w:bookmarkEnd w:id="8"/>
    </w:p>
    <w:tbl>
      <w:tblPr>
        <w:tblStyle w:val="2"/>
        <w:tblW w:w="9592" w:type="dxa"/>
        <w:tblInd w:w="8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517"/>
        <w:gridCol w:w="1538"/>
        <w:gridCol w:w="1101"/>
        <w:gridCol w:w="1188"/>
        <w:gridCol w:w="1105"/>
        <w:gridCol w:w="961"/>
        <w:gridCol w:w="1102"/>
        <w:gridCol w:w="1040"/>
        <w:gridCol w:w="1040"/>
      </w:tblGrid>
      <w:tr>
        <w:trPr>
          <w:trHeight w:val="680" w:hRule="atLeast"/>
        </w:trPr>
        <w:tc>
          <w:tcPr>
            <w:tcW w:w="517"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排名</w:t>
            </w:r>
          </w:p>
        </w:tc>
        <w:tc>
          <w:tcPr>
            <w:tcW w:w="1538"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街镇名称</w:t>
            </w:r>
          </w:p>
        </w:tc>
        <w:tc>
          <w:tcPr>
            <w:tcW w:w="1101"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2024年总工单数</w:t>
            </w:r>
          </w:p>
        </w:tc>
        <w:tc>
          <w:tcPr>
            <w:tcW w:w="1188"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2025年总工单数</w:t>
            </w:r>
          </w:p>
        </w:tc>
        <w:tc>
          <w:tcPr>
            <w:tcW w:w="1105"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2025年占比(%)</w:t>
            </w:r>
          </w:p>
        </w:tc>
        <w:tc>
          <w:tcPr>
            <w:tcW w:w="961"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同比变化率(%)</w:t>
            </w:r>
          </w:p>
        </w:tc>
        <w:tc>
          <w:tcPr>
            <w:tcW w:w="1102"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ind w:left="0" w:leftChars="0" w:firstLine="0" w:firstLineChars="0"/>
              <w:jc w:val="center"/>
              <w:textAlignment w:val="center"/>
              <w:rPr>
                <w:rFonts w:hint="default"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2025年十四类核心工单数</w:t>
            </w:r>
          </w:p>
        </w:tc>
        <w:tc>
          <w:tcPr>
            <w:tcW w:w="1040"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ind w:left="0" w:leftChars="0" w:firstLine="0" w:firstLineChars="0"/>
              <w:jc w:val="center"/>
              <w:textAlignment w:val="center"/>
              <w:rPr>
                <w:rFonts w:hint="default"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2026年十四类核心工单指标</w:t>
            </w:r>
          </w:p>
        </w:tc>
        <w:tc>
          <w:tcPr>
            <w:tcW w:w="1040"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ind w:left="0" w:leftChars="0" w:firstLine="0" w:firstLineChars="0"/>
              <w:jc w:val="center"/>
              <w:textAlignment w:val="center"/>
              <w:rPr>
                <w:rFonts w:hint="default"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密度</w:t>
            </w:r>
          </w:p>
        </w:tc>
      </w:tr>
      <w:tr>
        <w:trPr>
          <w:trHeight w:val="336" w:hRule="atLeast"/>
        </w:trPr>
        <w:tc>
          <w:tcPr>
            <w:tcW w:w="51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1</w:t>
            </w:r>
          </w:p>
        </w:tc>
        <w:tc>
          <w:tcPr>
            <w:tcW w:w="1538"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长桥街道</w:t>
            </w:r>
          </w:p>
        </w:tc>
        <w:tc>
          <w:tcPr>
            <w:tcW w:w="1101"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4745</w:t>
            </w:r>
          </w:p>
        </w:tc>
        <w:tc>
          <w:tcPr>
            <w:tcW w:w="1188"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3688</w:t>
            </w:r>
          </w:p>
        </w:tc>
        <w:tc>
          <w:tcPr>
            <w:tcW w:w="1105"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12.38%</w:t>
            </w:r>
          </w:p>
        </w:tc>
        <w:tc>
          <w:tcPr>
            <w:tcW w:w="961"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-22.3%</w:t>
            </w:r>
          </w:p>
        </w:tc>
        <w:tc>
          <w:tcPr>
            <w:tcW w:w="1102"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firstLine="0" w:firstLineChars="0"/>
              <w:jc w:val="center"/>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2333</w:t>
            </w:r>
          </w:p>
        </w:tc>
        <w:tc>
          <w:tcPr>
            <w:tcW w:w="104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firstLine="0" w:firstLineChars="0"/>
              <w:jc w:val="center"/>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1988</w:t>
            </w:r>
          </w:p>
        </w:tc>
        <w:tc>
          <w:tcPr>
            <w:tcW w:w="104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0.066</w:t>
            </w:r>
          </w:p>
        </w:tc>
      </w:tr>
      <w:tr>
        <w:trPr>
          <w:trHeight w:val="336" w:hRule="atLeast"/>
        </w:trPr>
        <w:tc>
          <w:tcPr>
            <w:tcW w:w="51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2</w:t>
            </w:r>
          </w:p>
        </w:tc>
        <w:tc>
          <w:tcPr>
            <w:tcW w:w="1538"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徐家汇街道</w:t>
            </w:r>
          </w:p>
        </w:tc>
        <w:tc>
          <w:tcPr>
            <w:tcW w:w="1101"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3180</w:t>
            </w:r>
          </w:p>
        </w:tc>
        <w:tc>
          <w:tcPr>
            <w:tcW w:w="1188"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3118</w:t>
            </w:r>
          </w:p>
        </w:tc>
        <w:tc>
          <w:tcPr>
            <w:tcW w:w="1105"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10.46%</w:t>
            </w:r>
          </w:p>
        </w:tc>
        <w:tc>
          <w:tcPr>
            <w:tcW w:w="961"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-1.9%</w:t>
            </w:r>
          </w:p>
        </w:tc>
        <w:tc>
          <w:tcPr>
            <w:tcW w:w="1102"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firstLine="0" w:firstLineChars="0"/>
              <w:jc w:val="center"/>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1872</w:t>
            </w:r>
          </w:p>
        </w:tc>
        <w:tc>
          <w:tcPr>
            <w:tcW w:w="104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firstLine="0" w:firstLineChars="0"/>
              <w:jc w:val="center"/>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1594</w:t>
            </w:r>
          </w:p>
        </w:tc>
        <w:tc>
          <w:tcPr>
            <w:tcW w:w="104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firstLine="0" w:firstLineChars="0"/>
              <w:jc w:val="center"/>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 xml:space="preserve">0.055 </w:t>
            </w:r>
          </w:p>
        </w:tc>
      </w:tr>
      <w:tr>
        <w:trPr>
          <w:trHeight w:val="336" w:hRule="atLeast"/>
        </w:trPr>
        <w:tc>
          <w:tcPr>
            <w:tcW w:w="51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3</w:t>
            </w:r>
          </w:p>
        </w:tc>
        <w:tc>
          <w:tcPr>
            <w:tcW w:w="1538"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枫林街道</w:t>
            </w:r>
          </w:p>
        </w:tc>
        <w:tc>
          <w:tcPr>
            <w:tcW w:w="1101"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3206</w:t>
            </w:r>
          </w:p>
        </w:tc>
        <w:tc>
          <w:tcPr>
            <w:tcW w:w="1188"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2773</w:t>
            </w:r>
          </w:p>
        </w:tc>
        <w:tc>
          <w:tcPr>
            <w:tcW w:w="1105"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9.31%</w:t>
            </w:r>
          </w:p>
        </w:tc>
        <w:tc>
          <w:tcPr>
            <w:tcW w:w="961"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-13.5%</w:t>
            </w:r>
          </w:p>
        </w:tc>
        <w:tc>
          <w:tcPr>
            <w:tcW w:w="1102"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firstLine="0" w:firstLineChars="0"/>
              <w:jc w:val="center"/>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1383</w:t>
            </w:r>
          </w:p>
        </w:tc>
        <w:tc>
          <w:tcPr>
            <w:tcW w:w="104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firstLine="0" w:firstLineChars="0"/>
              <w:jc w:val="center"/>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1176</w:t>
            </w:r>
          </w:p>
        </w:tc>
        <w:tc>
          <w:tcPr>
            <w:tcW w:w="104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firstLine="0" w:firstLineChars="0"/>
              <w:jc w:val="center"/>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 xml:space="preserve">0.069 </w:t>
            </w:r>
          </w:p>
        </w:tc>
      </w:tr>
      <w:tr>
        <w:trPr>
          <w:trHeight w:val="336" w:hRule="atLeast"/>
        </w:trPr>
        <w:tc>
          <w:tcPr>
            <w:tcW w:w="51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4</w:t>
            </w:r>
          </w:p>
        </w:tc>
        <w:tc>
          <w:tcPr>
            <w:tcW w:w="1538"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漕河泾街道</w:t>
            </w:r>
          </w:p>
        </w:tc>
        <w:tc>
          <w:tcPr>
            <w:tcW w:w="1101"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3043</w:t>
            </w:r>
          </w:p>
        </w:tc>
        <w:tc>
          <w:tcPr>
            <w:tcW w:w="1188"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2538</w:t>
            </w:r>
          </w:p>
        </w:tc>
        <w:tc>
          <w:tcPr>
            <w:tcW w:w="1105"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8.52%</w:t>
            </w:r>
          </w:p>
        </w:tc>
        <w:tc>
          <w:tcPr>
            <w:tcW w:w="961"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-16.6%</w:t>
            </w:r>
          </w:p>
        </w:tc>
        <w:tc>
          <w:tcPr>
            <w:tcW w:w="1102"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firstLine="0" w:firstLineChars="0"/>
              <w:jc w:val="center"/>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2348</w:t>
            </w:r>
          </w:p>
        </w:tc>
        <w:tc>
          <w:tcPr>
            <w:tcW w:w="104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firstLine="0" w:firstLineChars="0"/>
              <w:jc w:val="center"/>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2001</w:t>
            </w:r>
          </w:p>
        </w:tc>
        <w:tc>
          <w:tcPr>
            <w:tcW w:w="104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firstLine="0" w:firstLineChars="0"/>
              <w:jc w:val="center"/>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 xml:space="preserve">0.051 </w:t>
            </w:r>
          </w:p>
        </w:tc>
      </w:tr>
      <w:tr>
        <w:trPr>
          <w:trHeight w:val="336" w:hRule="atLeast"/>
        </w:trPr>
        <w:tc>
          <w:tcPr>
            <w:tcW w:w="51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5</w:t>
            </w:r>
          </w:p>
        </w:tc>
        <w:tc>
          <w:tcPr>
            <w:tcW w:w="1538"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斜土街道</w:t>
            </w:r>
          </w:p>
        </w:tc>
        <w:tc>
          <w:tcPr>
            <w:tcW w:w="1101"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2653</w:t>
            </w:r>
          </w:p>
        </w:tc>
        <w:tc>
          <w:tcPr>
            <w:tcW w:w="1188"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2395</w:t>
            </w:r>
          </w:p>
        </w:tc>
        <w:tc>
          <w:tcPr>
            <w:tcW w:w="1105"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8.04%</w:t>
            </w:r>
          </w:p>
        </w:tc>
        <w:tc>
          <w:tcPr>
            <w:tcW w:w="961"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-9.7%</w:t>
            </w:r>
          </w:p>
        </w:tc>
        <w:tc>
          <w:tcPr>
            <w:tcW w:w="1102"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firstLine="0" w:firstLineChars="0"/>
              <w:jc w:val="center"/>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1979</w:t>
            </w:r>
          </w:p>
        </w:tc>
        <w:tc>
          <w:tcPr>
            <w:tcW w:w="104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firstLine="0" w:firstLineChars="0"/>
              <w:jc w:val="center"/>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1686</w:t>
            </w:r>
          </w:p>
        </w:tc>
        <w:tc>
          <w:tcPr>
            <w:tcW w:w="104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firstLine="0" w:firstLineChars="0"/>
              <w:jc w:val="center"/>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 xml:space="preserve">0.061 </w:t>
            </w:r>
          </w:p>
        </w:tc>
      </w:tr>
      <w:tr>
        <w:trPr>
          <w:trHeight w:val="336" w:hRule="atLeast"/>
        </w:trPr>
        <w:tc>
          <w:tcPr>
            <w:tcW w:w="51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6</w:t>
            </w:r>
          </w:p>
        </w:tc>
        <w:tc>
          <w:tcPr>
            <w:tcW w:w="1538"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天平街道</w:t>
            </w:r>
          </w:p>
        </w:tc>
        <w:tc>
          <w:tcPr>
            <w:tcW w:w="1101"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2967</w:t>
            </w:r>
          </w:p>
        </w:tc>
        <w:tc>
          <w:tcPr>
            <w:tcW w:w="1188"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2307</w:t>
            </w:r>
          </w:p>
        </w:tc>
        <w:tc>
          <w:tcPr>
            <w:tcW w:w="1105"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7.74%</w:t>
            </w:r>
          </w:p>
        </w:tc>
        <w:tc>
          <w:tcPr>
            <w:tcW w:w="961"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-22.2%</w:t>
            </w:r>
          </w:p>
        </w:tc>
        <w:tc>
          <w:tcPr>
            <w:tcW w:w="1102"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firstLine="0" w:firstLineChars="0"/>
              <w:jc w:val="center"/>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1687</w:t>
            </w:r>
          </w:p>
        </w:tc>
        <w:tc>
          <w:tcPr>
            <w:tcW w:w="104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firstLine="0" w:firstLineChars="0"/>
              <w:jc w:val="center"/>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1436</w:t>
            </w:r>
          </w:p>
        </w:tc>
        <w:tc>
          <w:tcPr>
            <w:tcW w:w="104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firstLine="0" w:firstLineChars="0"/>
              <w:jc w:val="center"/>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 xml:space="preserve">0.075 </w:t>
            </w:r>
          </w:p>
        </w:tc>
      </w:tr>
      <w:tr>
        <w:trPr>
          <w:trHeight w:val="336" w:hRule="atLeast"/>
        </w:trPr>
        <w:tc>
          <w:tcPr>
            <w:tcW w:w="51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7</w:t>
            </w:r>
          </w:p>
        </w:tc>
        <w:tc>
          <w:tcPr>
            <w:tcW w:w="1538"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田林街道</w:t>
            </w:r>
          </w:p>
        </w:tc>
        <w:tc>
          <w:tcPr>
            <w:tcW w:w="1101"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2669</w:t>
            </w:r>
          </w:p>
        </w:tc>
        <w:tc>
          <w:tcPr>
            <w:tcW w:w="1188"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2146</w:t>
            </w:r>
          </w:p>
        </w:tc>
        <w:tc>
          <w:tcPr>
            <w:tcW w:w="1105"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7.20%</w:t>
            </w:r>
          </w:p>
        </w:tc>
        <w:tc>
          <w:tcPr>
            <w:tcW w:w="961"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-19.6%</w:t>
            </w:r>
          </w:p>
        </w:tc>
        <w:tc>
          <w:tcPr>
            <w:tcW w:w="1102"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firstLine="0" w:firstLineChars="0"/>
              <w:jc w:val="center"/>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2923</w:t>
            </w:r>
          </w:p>
        </w:tc>
        <w:tc>
          <w:tcPr>
            <w:tcW w:w="104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firstLine="0" w:firstLineChars="0"/>
              <w:jc w:val="center"/>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2491</w:t>
            </w:r>
          </w:p>
        </w:tc>
        <w:tc>
          <w:tcPr>
            <w:tcW w:w="104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firstLine="0" w:firstLineChars="0"/>
              <w:jc w:val="center"/>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 xml:space="preserve">0.046 </w:t>
            </w:r>
          </w:p>
        </w:tc>
      </w:tr>
      <w:tr>
        <w:trPr>
          <w:trHeight w:val="336" w:hRule="atLeast"/>
        </w:trPr>
        <w:tc>
          <w:tcPr>
            <w:tcW w:w="51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8</w:t>
            </w:r>
          </w:p>
        </w:tc>
        <w:tc>
          <w:tcPr>
            <w:tcW w:w="1538"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龙华街道</w:t>
            </w:r>
          </w:p>
        </w:tc>
        <w:tc>
          <w:tcPr>
            <w:tcW w:w="1101"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2194</w:t>
            </w:r>
          </w:p>
        </w:tc>
        <w:tc>
          <w:tcPr>
            <w:tcW w:w="1188"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2022</w:t>
            </w:r>
          </w:p>
        </w:tc>
        <w:tc>
          <w:tcPr>
            <w:tcW w:w="1105"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6.79%</w:t>
            </w:r>
          </w:p>
        </w:tc>
        <w:tc>
          <w:tcPr>
            <w:tcW w:w="961"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-7.8%</w:t>
            </w:r>
          </w:p>
        </w:tc>
        <w:tc>
          <w:tcPr>
            <w:tcW w:w="1102"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firstLine="0" w:firstLineChars="0"/>
              <w:jc w:val="center"/>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846</w:t>
            </w:r>
          </w:p>
        </w:tc>
        <w:tc>
          <w:tcPr>
            <w:tcW w:w="104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firstLine="0" w:firstLineChars="0"/>
              <w:jc w:val="center"/>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720</w:t>
            </w:r>
          </w:p>
        </w:tc>
        <w:tc>
          <w:tcPr>
            <w:tcW w:w="104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firstLine="0" w:firstLineChars="0"/>
              <w:jc w:val="center"/>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 xml:space="preserve">0.045 </w:t>
            </w:r>
          </w:p>
        </w:tc>
      </w:tr>
      <w:tr>
        <w:trPr>
          <w:trHeight w:val="336" w:hRule="atLeast"/>
        </w:trPr>
        <w:tc>
          <w:tcPr>
            <w:tcW w:w="51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9</w:t>
            </w:r>
          </w:p>
        </w:tc>
        <w:tc>
          <w:tcPr>
            <w:tcW w:w="1538"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华泾镇</w:t>
            </w:r>
          </w:p>
        </w:tc>
        <w:tc>
          <w:tcPr>
            <w:tcW w:w="1101"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2013</w:t>
            </w:r>
          </w:p>
        </w:tc>
        <w:tc>
          <w:tcPr>
            <w:tcW w:w="1188"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1917</w:t>
            </w:r>
          </w:p>
        </w:tc>
        <w:tc>
          <w:tcPr>
            <w:tcW w:w="1105"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6.43%</w:t>
            </w:r>
          </w:p>
        </w:tc>
        <w:tc>
          <w:tcPr>
            <w:tcW w:w="961"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-4.8%</w:t>
            </w:r>
          </w:p>
        </w:tc>
        <w:tc>
          <w:tcPr>
            <w:tcW w:w="1102"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firstLine="0" w:firstLineChars="0"/>
              <w:jc w:val="center"/>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1492</w:t>
            </w:r>
          </w:p>
        </w:tc>
        <w:tc>
          <w:tcPr>
            <w:tcW w:w="104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firstLine="0" w:firstLineChars="0"/>
              <w:jc w:val="center"/>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1270</w:t>
            </w:r>
          </w:p>
        </w:tc>
        <w:tc>
          <w:tcPr>
            <w:tcW w:w="104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firstLine="0" w:firstLineChars="0"/>
              <w:jc w:val="center"/>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 xml:space="preserve">0.058 </w:t>
            </w:r>
          </w:p>
        </w:tc>
      </w:tr>
      <w:tr>
        <w:trPr>
          <w:trHeight w:val="336" w:hRule="atLeast"/>
        </w:trPr>
        <w:tc>
          <w:tcPr>
            <w:tcW w:w="51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10</w:t>
            </w:r>
          </w:p>
        </w:tc>
        <w:tc>
          <w:tcPr>
            <w:tcW w:w="1538"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凌云街道</w:t>
            </w:r>
          </w:p>
        </w:tc>
        <w:tc>
          <w:tcPr>
            <w:tcW w:w="1101"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2992</w:t>
            </w:r>
          </w:p>
        </w:tc>
        <w:tc>
          <w:tcPr>
            <w:tcW w:w="1188"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1851</w:t>
            </w:r>
          </w:p>
        </w:tc>
        <w:tc>
          <w:tcPr>
            <w:tcW w:w="1105"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6.21%</w:t>
            </w:r>
          </w:p>
        </w:tc>
        <w:tc>
          <w:tcPr>
            <w:tcW w:w="961"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-38.1%</w:t>
            </w:r>
          </w:p>
        </w:tc>
        <w:tc>
          <w:tcPr>
            <w:tcW w:w="1102"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firstLine="0" w:firstLineChars="0"/>
              <w:jc w:val="center"/>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1578</w:t>
            </w:r>
          </w:p>
        </w:tc>
        <w:tc>
          <w:tcPr>
            <w:tcW w:w="104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firstLine="0" w:firstLineChars="0"/>
              <w:jc w:val="center"/>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1342</w:t>
            </w:r>
          </w:p>
        </w:tc>
        <w:tc>
          <w:tcPr>
            <w:tcW w:w="104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firstLine="0" w:firstLineChars="0"/>
              <w:jc w:val="center"/>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 xml:space="preserve">0.046 </w:t>
            </w:r>
          </w:p>
        </w:tc>
      </w:tr>
      <w:tr>
        <w:trPr>
          <w:trHeight w:val="336" w:hRule="atLeast"/>
        </w:trPr>
        <w:tc>
          <w:tcPr>
            <w:tcW w:w="51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11</w:t>
            </w:r>
          </w:p>
        </w:tc>
        <w:tc>
          <w:tcPr>
            <w:tcW w:w="1538"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康健街道</w:t>
            </w:r>
          </w:p>
        </w:tc>
        <w:tc>
          <w:tcPr>
            <w:tcW w:w="1101"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2379</w:t>
            </w:r>
          </w:p>
        </w:tc>
        <w:tc>
          <w:tcPr>
            <w:tcW w:w="1188"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1774</w:t>
            </w:r>
          </w:p>
        </w:tc>
        <w:tc>
          <w:tcPr>
            <w:tcW w:w="1105"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5.95%</w:t>
            </w:r>
          </w:p>
        </w:tc>
        <w:tc>
          <w:tcPr>
            <w:tcW w:w="961"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-25.4%</w:t>
            </w:r>
          </w:p>
        </w:tc>
        <w:tc>
          <w:tcPr>
            <w:tcW w:w="1102"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firstLine="0" w:firstLineChars="0"/>
              <w:jc w:val="center"/>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1547</w:t>
            </w:r>
          </w:p>
        </w:tc>
        <w:tc>
          <w:tcPr>
            <w:tcW w:w="104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firstLine="0" w:firstLineChars="0"/>
              <w:jc w:val="center"/>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1317</w:t>
            </w:r>
          </w:p>
        </w:tc>
        <w:tc>
          <w:tcPr>
            <w:tcW w:w="104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firstLine="0" w:firstLineChars="0"/>
              <w:jc w:val="center"/>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 xml:space="preserve">0.045 </w:t>
            </w:r>
          </w:p>
        </w:tc>
      </w:tr>
      <w:tr>
        <w:trPr>
          <w:trHeight w:val="336" w:hRule="atLeast"/>
        </w:trPr>
        <w:tc>
          <w:tcPr>
            <w:tcW w:w="51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12</w:t>
            </w:r>
          </w:p>
        </w:tc>
        <w:tc>
          <w:tcPr>
            <w:tcW w:w="1538"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湖南街道</w:t>
            </w:r>
          </w:p>
        </w:tc>
        <w:tc>
          <w:tcPr>
            <w:tcW w:w="1101"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1923</w:t>
            </w:r>
          </w:p>
        </w:tc>
        <w:tc>
          <w:tcPr>
            <w:tcW w:w="1188"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1750</w:t>
            </w:r>
          </w:p>
        </w:tc>
        <w:tc>
          <w:tcPr>
            <w:tcW w:w="1105"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5.87%</w:t>
            </w:r>
          </w:p>
        </w:tc>
        <w:tc>
          <w:tcPr>
            <w:tcW w:w="961"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-9.0%</w:t>
            </w:r>
          </w:p>
        </w:tc>
        <w:tc>
          <w:tcPr>
            <w:tcW w:w="1102"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firstLine="0" w:firstLineChars="0"/>
              <w:jc w:val="center"/>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2017</w:t>
            </w:r>
          </w:p>
        </w:tc>
        <w:tc>
          <w:tcPr>
            <w:tcW w:w="104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firstLine="0" w:firstLineChars="0"/>
              <w:jc w:val="center"/>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1718</w:t>
            </w:r>
          </w:p>
        </w:tc>
        <w:tc>
          <w:tcPr>
            <w:tcW w:w="104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firstLine="0" w:firstLineChars="0"/>
              <w:jc w:val="center"/>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 xml:space="preserve">0.096 </w:t>
            </w:r>
          </w:p>
        </w:tc>
      </w:tr>
      <w:tr>
        <w:trPr>
          <w:trHeight w:val="336" w:hRule="atLeast"/>
        </w:trPr>
        <w:tc>
          <w:tcPr>
            <w:tcW w:w="51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b/>
                <w:bCs/>
                <w:i w:val="0"/>
                <w:iCs w:val="0"/>
                <w:color w:val="000000"/>
                <w:kern w:val="0"/>
                <w:sz w:val="22"/>
                <w:szCs w:val="22"/>
                <w:highlight w:val="none"/>
                <w:u w:val="none"/>
                <w:lang w:val="en-US" w:eastAsia="zh-CN" w:bidi="ar"/>
              </w:rPr>
            </w:pPr>
            <w:r>
              <w:rPr>
                <w:rFonts w:hint="eastAsia" w:ascii="宋体" w:hAnsi="宋体" w:eastAsia="宋体" w:cs="宋体"/>
                <w:b/>
                <w:bCs/>
                <w:i w:val="0"/>
                <w:iCs w:val="0"/>
                <w:color w:val="000000"/>
                <w:kern w:val="0"/>
                <w:sz w:val="22"/>
                <w:szCs w:val="22"/>
                <w:highlight w:val="none"/>
                <w:u w:val="none"/>
                <w:lang w:val="en-US" w:eastAsia="zh-CN" w:bidi="ar"/>
              </w:rPr>
              <w:t>13</w:t>
            </w:r>
          </w:p>
        </w:tc>
        <w:tc>
          <w:tcPr>
            <w:tcW w:w="1538"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b/>
                <w:bCs/>
                <w:i w:val="0"/>
                <w:iCs w:val="0"/>
                <w:color w:val="000000"/>
                <w:kern w:val="0"/>
                <w:sz w:val="22"/>
                <w:szCs w:val="22"/>
                <w:highlight w:val="none"/>
                <w:u w:val="none"/>
                <w:lang w:val="en-US" w:eastAsia="zh-CN" w:bidi="ar"/>
              </w:rPr>
            </w:pPr>
            <w:r>
              <w:rPr>
                <w:rFonts w:hint="eastAsia" w:ascii="宋体" w:hAnsi="宋体" w:eastAsia="宋体" w:cs="宋体"/>
                <w:b/>
                <w:bCs/>
                <w:i w:val="0"/>
                <w:iCs w:val="0"/>
                <w:color w:val="000000"/>
                <w:kern w:val="0"/>
                <w:sz w:val="22"/>
                <w:szCs w:val="22"/>
                <w:highlight w:val="none"/>
                <w:u w:val="none"/>
                <w:lang w:val="en-US" w:eastAsia="zh-CN" w:bidi="ar"/>
              </w:rPr>
              <w:t>虹梅街道</w:t>
            </w:r>
          </w:p>
        </w:tc>
        <w:tc>
          <w:tcPr>
            <w:tcW w:w="1101"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b/>
                <w:bCs/>
                <w:i w:val="0"/>
                <w:iCs w:val="0"/>
                <w:color w:val="000000"/>
                <w:kern w:val="0"/>
                <w:sz w:val="22"/>
                <w:szCs w:val="22"/>
                <w:highlight w:val="none"/>
                <w:u w:val="none"/>
                <w:lang w:val="en-US" w:eastAsia="zh-CN" w:bidi="ar"/>
              </w:rPr>
            </w:pPr>
            <w:r>
              <w:rPr>
                <w:rFonts w:hint="eastAsia" w:ascii="宋体" w:hAnsi="宋体" w:eastAsia="宋体" w:cs="宋体"/>
                <w:b/>
                <w:bCs/>
                <w:i w:val="0"/>
                <w:iCs w:val="0"/>
                <w:color w:val="000000"/>
                <w:kern w:val="0"/>
                <w:sz w:val="22"/>
                <w:szCs w:val="22"/>
                <w:highlight w:val="none"/>
                <w:u w:val="none"/>
                <w:lang w:val="en-US" w:eastAsia="zh-CN" w:bidi="ar"/>
              </w:rPr>
              <w:t>1061</w:t>
            </w:r>
          </w:p>
        </w:tc>
        <w:tc>
          <w:tcPr>
            <w:tcW w:w="1188"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b/>
                <w:bCs/>
                <w:i w:val="0"/>
                <w:iCs w:val="0"/>
                <w:color w:val="000000"/>
                <w:kern w:val="0"/>
                <w:sz w:val="22"/>
                <w:szCs w:val="22"/>
                <w:highlight w:val="none"/>
                <w:u w:val="none"/>
                <w:lang w:val="en-US" w:eastAsia="zh-CN" w:bidi="ar"/>
              </w:rPr>
            </w:pPr>
            <w:r>
              <w:rPr>
                <w:rFonts w:hint="eastAsia" w:ascii="宋体" w:hAnsi="宋体" w:eastAsia="宋体" w:cs="宋体"/>
                <w:b/>
                <w:bCs/>
                <w:i w:val="0"/>
                <w:iCs w:val="0"/>
                <w:color w:val="000000"/>
                <w:kern w:val="0"/>
                <w:sz w:val="22"/>
                <w:szCs w:val="22"/>
                <w:highlight w:val="none"/>
                <w:u w:val="none"/>
                <w:lang w:val="en-US" w:eastAsia="zh-CN" w:bidi="ar"/>
              </w:rPr>
              <w:t>1150</w:t>
            </w:r>
          </w:p>
        </w:tc>
        <w:tc>
          <w:tcPr>
            <w:tcW w:w="1105"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b/>
                <w:bCs/>
                <w:i w:val="0"/>
                <w:iCs w:val="0"/>
                <w:color w:val="000000"/>
                <w:kern w:val="0"/>
                <w:sz w:val="22"/>
                <w:szCs w:val="22"/>
                <w:highlight w:val="none"/>
                <w:u w:val="none"/>
                <w:lang w:val="en-US" w:eastAsia="zh-CN" w:bidi="ar"/>
              </w:rPr>
            </w:pPr>
            <w:r>
              <w:rPr>
                <w:rFonts w:hint="eastAsia" w:ascii="宋体" w:hAnsi="宋体" w:eastAsia="宋体" w:cs="宋体"/>
                <w:b/>
                <w:bCs/>
                <w:i w:val="0"/>
                <w:iCs w:val="0"/>
                <w:color w:val="000000"/>
                <w:kern w:val="0"/>
                <w:sz w:val="22"/>
                <w:szCs w:val="22"/>
                <w:highlight w:val="none"/>
                <w:u w:val="none"/>
                <w:lang w:val="en-US" w:eastAsia="zh-CN" w:bidi="ar"/>
              </w:rPr>
              <w:t>3.86%</w:t>
            </w:r>
          </w:p>
        </w:tc>
        <w:tc>
          <w:tcPr>
            <w:tcW w:w="961"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b/>
                <w:bCs/>
                <w:i w:val="0"/>
                <w:iCs w:val="0"/>
                <w:color w:val="000000"/>
                <w:kern w:val="0"/>
                <w:sz w:val="22"/>
                <w:szCs w:val="22"/>
                <w:highlight w:val="yellow"/>
                <w:u w:val="none"/>
                <w:lang w:val="en-US" w:eastAsia="zh-CN" w:bidi="ar"/>
              </w:rPr>
            </w:pPr>
            <w:r>
              <w:rPr>
                <w:rFonts w:hint="eastAsia" w:ascii="宋体" w:hAnsi="宋体" w:eastAsia="宋体" w:cs="宋体"/>
                <w:b/>
                <w:bCs/>
                <w:i w:val="0"/>
                <w:iCs w:val="0"/>
                <w:color w:val="FF0000"/>
                <w:kern w:val="0"/>
                <w:sz w:val="22"/>
                <w:szCs w:val="22"/>
                <w:u w:val="none"/>
                <w:lang w:val="en-US" w:eastAsia="zh-CN" w:bidi="ar"/>
              </w:rPr>
              <w:t>+8.4%</w:t>
            </w:r>
            <w:r>
              <w:rPr>
                <w:rFonts w:hint="default" w:ascii="Arial" w:hAnsi="Arial" w:eastAsia="宋体" w:cs="Arial"/>
                <w:b/>
                <w:bCs/>
                <w:i w:val="0"/>
                <w:iCs w:val="0"/>
                <w:color w:val="FF0000"/>
                <w:kern w:val="0"/>
                <w:sz w:val="22"/>
                <w:szCs w:val="22"/>
                <w:u w:val="none"/>
                <w:lang w:val="en-US" w:eastAsia="zh-CN" w:bidi="ar"/>
              </w:rPr>
              <w:t>↑</w:t>
            </w:r>
          </w:p>
        </w:tc>
        <w:tc>
          <w:tcPr>
            <w:tcW w:w="1102"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firstLine="0" w:firstLineChars="0"/>
              <w:jc w:val="center"/>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1613</w:t>
            </w:r>
          </w:p>
        </w:tc>
        <w:tc>
          <w:tcPr>
            <w:tcW w:w="104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firstLine="0" w:firstLineChars="0"/>
              <w:jc w:val="center"/>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1373</w:t>
            </w:r>
          </w:p>
        </w:tc>
        <w:tc>
          <w:tcPr>
            <w:tcW w:w="104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firstLine="0" w:firstLineChars="0"/>
              <w:jc w:val="center"/>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 xml:space="preserve">0.070 </w:t>
            </w:r>
          </w:p>
        </w:tc>
      </w:tr>
    </w:tbl>
    <w:p>
      <w:pPr>
        <w:spacing w:before="120" w:after="120" w:line="288" w:lineRule="auto"/>
        <w:ind w:left="0"/>
        <w:jc w:val="left"/>
        <w:rPr>
          <w:rFonts w:ascii="Arial" w:hAnsi="Arial" w:eastAsia="等线" w:cs="Arial"/>
          <w:sz w:val="22"/>
        </w:rPr>
      </w:pPr>
    </w:p>
    <w:p>
      <w:pPr>
        <w:spacing w:before="120" w:after="120" w:line="360" w:lineRule="auto"/>
        <w:ind w:left="0"/>
        <w:jc w:val="left"/>
        <w:rPr>
          <w:rFonts w:hint="eastAsia" w:ascii="宋体" w:hAnsi="宋体" w:eastAsia="宋体" w:cs="宋体"/>
          <w:sz w:val="28"/>
          <w:szCs w:val="28"/>
        </w:rPr>
      </w:pPr>
      <w:bookmarkStart w:id="9" w:name="heading_9"/>
      <w:r>
        <w:rPr>
          <w:rFonts w:hint="eastAsia" w:ascii="宋体" w:hAnsi="宋体" w:eastAsia="宋体" w:cs="宋体"/>
          <w:b/>
          <w:bCs/>
          <w:sz w:val="28"/>
          <w:szCs w:val="28"/>
        </w:rPr>
        <w:t>从工单总量分布来看</w:t>
      </w:r>
      <w:r>
        <w:rPr>
          <w:rFonts w:hint="eastAsia" w:ascii="宋体" w:hAnsi="宋体" w:eastAsia="宋体" w:cs="宋体"/>
          <w:sz w:val="28"/>
          <w:szCs w:val="28"/>
        </w:rPr>
        <w:t>，长桥街道（3688条）、徐家汇街道（3118条）、枫林路街道（2773条）为2025年核心诉求高发街镇，分列全区前三位，合计工单数9579条，占全区全量工单总量的32.3%。其中长桥街道虽工单量居首，但同比下降22.3%，绝对减少1057条，治理成效显著；徐家汇街道工单量同比仅下降1.9%，降幅最小，且占比从2024年的8.92%提升至2025年的10.46%，诉求集中度相对较高。</w:t>
      </w:r>
    </w:p>
    <w:p>
      <w:pPr>
        <w:spacing w:before="120" w:after="120" w:line="360" w:lineRule="auto"/>
        <w:ind w:left="0"/>
        <w:jc w:val="left"/>
        <w:rPr>
          <w:rFonts w:hint="eastAsia" w:ascii="宋体" w:hAnsi="宋体" w:eastAsia="宋体" w:cs="宋体"/>
          <w:sz w:val="28"/>
          <w:szCs w:val="28"/>
        </w:rPr>
      </w:pPr>
      <w:r>
        <w:rPr>
          <w:rFonts w:hint="eastAsia" w:ascii="宋体" w:hAnsi="宋体" w:eastAsia="宋体" w:cs="宋体"/>
          <w:b/>
          <w:bCs/>
          <w:sz w:val="28"/>
          <w:szCs w:val="28"/>
        </w:rPr>
        <w:t>从投诉密度（单位：万件）来看</w:t>
      </w:r>
      <w:r>
        <w:rPr>
          <w:rFonts w:hint="eastAsia" w:ascii="宋体" w:hAnsi="宋体" w:eastAsia="宋体" w:cs="宋体"/>
          <w:sz w:val="28"/>
          <w:szCs w:val="28"/>
        </w:rPr>
        <w:t>，2025年仍以传统高发区域为核心，长桥街道（0.369万件）、徐家汇街道（0.312万件）、枫林路街道（0.277万件）位居前列，上述区域均为老旧小区集中分布区，基础设施薄弱、治理难题集中，叠加人口基数大、需求类型多元等因素，导致投诉密度居高不下。</w:t>
      </w:r>
    </w:p>
    <w:p>
      <w:pPr>
        <w:spacing w:before="120" w:after="120" w:line="360" w:lineRule="auto"/>
        <w:ind w:left="0"/>
        <w:jc w:val="left"/>
        <w:rPr>
          <w:rFonts w:hint="eastAsia" w:ascii="宋体" w:hAnsi="宋体" w:eastAsia="宋体" w:cs="宋体"/>
          <w:sz w:val="28"/>
          <w:szCs w:val="28"/>
          <w:lang w:eastAsia="zh-CN"/>
        </w:rPr>
      </w:pPr>
      <w:r>
        <w:rPr>
          <w:rFonts w:hint="eastAsia" w:ascii="宋体" w:hAnsi="宋体" w:eastAsia="宋体" w:cs="宋体"/>
          <w:sz w:val="28"/>
          <w:szCs w:val="28"/>
          <w:lang w:eastAsia="zh-CN"/>
        </w:rPr>
        <w:drawing>
          <wp:inline distT="0" distB="0" distL="114300" distR="114300">
            <wp:extent cx="5266055" cy="3086100"/>
            <wp:effectExtent l="0" t="0" r="17145" b="12700"/>
            <wp:docPr id="16" name="图片 16"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5"/>
                    <pic:cNvPicPr>
                      <a:picLocks noChangeAspect="1"/>
                    </pic:cNvPicPr>
                  </pic:nvPicPr>
                  <pic:blipFill>
                    <a:blip r:embed="rId13"/>
                    <a:stretch>
                      <a:fillRect/>
                    </a:stretch>
                  </pic:blipFill>
                  <pic:spPr>
                    <a:xfrm>
                      <a:off x="0" y="0"/>
                      <a:ext cx="5266055" cy="3086100"/>
                    </a:xfrm>
                    <a:prstGeom prst="rect">
                      <a:avLst/>
                    </a:prstGeom>
                  </pic:spPr>
                </pic:pic>
              </a:graphicData>
            </a:graphic>
          </wp:inline>
        </w:drawing>
      </w:r>
    </w:p>
    <w:p>
      <w:pPr>
        <w:spacing w:before="120" w:after="120" w:line="360" w:lineRule="auto"/>
        <w:ind w:left="0"/>
        <w:jc w:val="left"/>
        <w:rPr>
          <w:rFonts w:hint="eastAsia" w:ascii="宋体" w:hAnsi="宋体" w:eastAsia="宋体" w:cs="宋体"/>
          <w:sz w:val="28"/>
          <w:szCs w:val="28"/>
        </w:rPr>
      </w:pPr>
      <w:r>
        <w:rPr>
          <w:rFonts w:hint="eastAsia" w:ascii="宋体" w:hAnsi="宋体" w:eastAsia="宋体" w:cs="宋体"/>
          <w:sz w:val="24"/>
          <w:szCs w:val="24"/>
        </w:rPr>
        <w:t>注：湖南路街道（1750条，同比下降9.0%）、虹梅路街道（1150条，同比上升8.4%）因小区数量少或诉求归属不明确，工单总量偏低，投诉密度相对平缓（分别为0.037万件、0.175万件、0.115万件）。其中湖南路街道核心诉求集中于风貌保护与特色服务保障；虹梅路街道作为全区唯一工单量同比上升的街镇，其诉求增长并非单一因素导致，而是租住需求变化、工程施工影响与服务响应不足多重因素叠加的结果，需针对性制定管控与优化举措。</w:t>
      </w:r>
    </w:p>
    <w:p>
      <w:pPr>
        <w:spacing w:before="120" w:after="120" w:line="360" w:lineRule="auto"/>
        <w:ind w:left="0"/>
        <w:jc w:val="left"/>
        <w:rPr>
          <w:rFonts w:hint="eastAsia" w:ascii="宋体" w:hAnsi="宋体" w:eastAsia="宋体" w:cs="宋体"/>
          <w:sz w:val="28"/>
          <w:szCs w:val="28"/>
        </w:rPr>
      </w:pPr>
    </w:p>
    <w:p>
      <w:pPr>
        <w:spacing w:before="300" w:after="120" w:line="288" w:lineRule="auto"/>
        <w:ind w:left="0"/>
        <w:jc w:val="left"/>
        <w:outlineLvl w:val="2"/>
      </w:pPr>
      <w:r>
        <w:rPr>
          <w:rFonts w:ascii="Arial" w:hAnsi="Arial" w:eastAsia="等线" w:cs="Arial"/>
          <w:b/>
          <w:sz w:val="30"/>
        </w:rPr>
        <w:t>1.3.2 重点关注街镇成因及优化举措</w:t>
      </w:r>
      <w:bookmarkEnd w:id="9"/>
    </w:p>
    <w:p>
      <w:pPr>
        <w:spacing w:before="120" w:after="120" w:line="360" w:lineRule="auto"/>
        <w:ind w:left="0" w:leftChars="0" w:firstLine="560" w:firstLineChars="200"/>
        <w:jc w:val="left"/>
        <w:rPr>
          <w:rFonts w:hint="eastAsia" w:ascii="宋体" w:hAnsi="宋体" w:eastAsia="宋体" w:cs="宋体"/>
          <w:sz w:val="28"/>
          <w:szCs w:val="28"/>
        </w:rPr>
      </w:pPr>
      <w:bookmarkStart w:id="10" w:name="heading_10"/>
      <w:r>
        <w:rPr>
          <w:rFonts w:hint="eastAsia" w:ascii="宋体" w:hAnsi="宋体" w:eastAsia="宋体" w:cs="宋体"/>
          <w:sz w:val="28"/>
          <w:szCs w:val="28"/>
        </w:rPr>
        <w:t>值得重点关注的是，虹梅路街道是全区唯一工单量同比上升的街镇（+8.4%），经排查核心成因有三：一是区域产业园区集聚带来租住需求激增，2025年辖区内出租率同比提升7.2%，群租、邻里噪音等衍生诉求同步增长，占该街道工单的45%；二是部分小区启动基础设施微更新工程，施工期间的噪音干扰、停车临时调整等问题引发投诉，此类诉求占工单的30%；三是少数物业服务企业对新增租住群体的服务响应不及时，服务态度、保洁频次等类诉求较上年有所增加，进一步推高工单量。</w:t>
      </w:r>
    </w:p>
    <w:p>
      <w:pPr>
        <w:spacing w:before="120" w:after="120" w:line="360" w:lineRule="auto"/>
        <w:ind w:left="0" w:leftChars="0" w:firstLine="560" w:firstLineChars="200"/>
        <w:jc w:val="left"/>
        <w:rPr>
          <w:rFonts w:hint="eastAsia" w:ascii="宋体" w:hAnsi="宋体" w:eastAsia="宋体" w:cs="宋体"/>
          <w:sz w:val="28"/>
          <w:szCs w:val="28"/>
        </w:rPr>
      </w:pPr>
      <w:r>
        <w:rPr>
          <w:rFonts w:hint="eastAsia" w:ascii="宋体" w:hAnsi="宋体" w:eastAsia="宋体" w:cs="宋体"/>
          <w:sz w:val="28"/>
          <w:szCs w:val="28"/>
        </w:rPr>
        <w:t>针对上述成因，需针对性落实优化举措：</w:t>
      </w:r>
    </w:p>
    <w:p>
      <w:pPr>
        <w:spacing w:before="120" w:after="120" w:line="360" w:lineRule="auto"/>
        <w:ind w:left="0" w:leftChars="0" w:firstLine="560" w:firstLineChars="200"/>
        <w:jc w:val="left"/>
        <w:rPr>
          <w:rFonts w:hint="eastAsia" w:ascii="宋体" w:hAnsi="宋体" w:eastAsia="宋体" w:cs="宋体"/>
          <w:sz w:val="28"/>
          <w:szCs w:val="28"/>
        </w:rPr>
      </w:pPr>
      <w:r>
        <w:rPr>
          <w:rFonts w:hint="eastAsia" w:ascii="宋体" w:hAnsi="宋体" w:eastAsia="宋体" w:cs="宋体"/>
          <w:sz w:val="28"/>
          <w:szCs w:val="28"/>
        </w:rPr>
        <w:t>一是强化租住精准管控，街道牵头建立“</w:t>
      </w:r>
      <w:r>
        <w:rPr>
          <w:rFonts w:hint="eastAsia" w:ascii="宋体" w:hAnsi="宋体" w:cs="宋体"/>
          <w:sz w:val="28"/>
          <w:szCs w:val="28"/>
          <w:lang w:val="en-US" w:eastAsia="zh-CN"/>
        </w:rPr>
        <w:t>业主</w:t>
      </w:r>
      <w:r>
        <w:rPr>
          <w:rFonts w:hint="eastAsia" w:ascii="宋体" w:hAnsi="宋体" w:eastAsia="宋体" w:cs="宋体"/>
          <w:sz w:val="28"/>
          <w:szCs w:val="28"/>
        </w:rPr>
        <w:t>-物业-社区”联动台账，对出租房实行实名备案与动态巡查，联合公安部门严查群租违规改造行为，同时通过业主群、租房告知书等渠道，明确租户噪音管控、公共秩序等责任，从源头减少邻里纠纷；</w:t>
      </w:r>
    </w:p>
    <w:p>
      <w:pPr>
        <w:spacing w:before="120" w:after="120" w:line="360" w:lineRule="auto"/>
        <w:ind w:left="0" w:leftChars="0" w:firstLine="560" w:firstLineChars="200"/>
        <w:jc w:val="left"/>
        <w:rPr>
          <w:rFonts w:hint="eastAsia" w:ascii="宋体" w:hAnsi="宋体" w:eastAsia="宋体" w:cs="宋体"/>
          <w:sz w:val="28"/>
          <w:szCs w:val="28"/>
        </w:rPr>
      </w:pPr>
      <w:r>
        <w:rPr>
          <w:rFonts w:hint="eastAsia" w:ascii="宋体" w:hAnsi="宋体" w:eastAsia="宋体" w:cs="宋体"/>
          <w:sz w:val="28"/>
          <w:szCs w:val="28"/>
        </w:rPr>
        <w:t>二是规范施工全流程管理，要求施工单位提前公示施工计划、噪音管控时段（避开午休、夜间时段），设置临时隔音设施与施工围挡，同步优化临时停车方案，预留专属临时车位并明确引导标识，安排专人协调施工期间的居民诉求，做到“施工不扰民”；</w:t>
      </w:r>
    </w:p>
    <w:p>
      <w:pPr>
        <w:spacing w:before="120" w:after="120" w:line="360" w:lineRule="auto"/>
        <w:ind w:left="0" w:leftChars="0" w:firstLine="560" w:firstLineChars="200"/>
        <w:jc w:val="left"/>
        <w:rPr>
          <w:rFonts w:hint="eastAsia" w:ascii="宋体" w:hAnsi="宋体" w:eastAsia="宋体" w:cs="宋体"/>
          <w:sz w:val="28"/>
          <w:szCs w:val="28"/>
        </w:rPr>
      </w:pPr>
      <w:r>
        <w:rPr>
          <w:rFonts w:hint="eastAsia" w:ascii="宋体" w:hAnsi="宋体" w:eastAsia="宋体" w:cs="宋体"/>
          <w:sz w:val="28"/>
          <w:szCs w:val="28"/>
        </w:rPr>
        <w:t>三是提升物业服务适配能力，督促物业服务企业针对租住群体特点，优化服务响应机制，将维修、咨询类诉求响应时限压缩至2小时内，增加租住集中区域的保洁频次，定期开展服务人员沟通技巧培训，同步开通租住群体诉求专属反馈渠道，精准对接服务需求，遏制工单增长态势。</w:t>
      </w:r>
    </w:p>
    <w:p>
      <w:pPr>
        <w:spacing w:before="300" w:after="120" w:line="288" w:lineRule="auto"/>
        <w:ind w:left="0"/>
        <w:jc w:val="left"/>
        <w:outlineLvl w:val="2"/>
      </w:pPr>
      <w:r>
        <w:rPr>
          <w:rFonts w:ascii="Arial" w:hAnsi="Arial" w:eastAsia="等线" w:cs="Arial"/>
          <w:b/>
          <w:sz w:val="30"/>
        </w:rPr>
        <w:t>1.3.3 各街镇诉求特征</w:t>
      </w:r>
      <w:bookmarkEnd w:id="10"/>
    </w:p>
    <w:p>
      <w:pPr>
        <w:spacing w:before="120" w:after="120" w:line="360" w:lineRule="auto"/>
        <w:ind w:left="0"/>
        <w:jc w:val="left"/>
        <w:rPr>
          <w:rFonts w:hint="eastAsia" w:ascii="宋体" w:hAnsi="宋体" w:eastAsia="宋体" w:cs="宋体"/>
          <w:sz w:val="28"/>
          <w:szCs w:val="28"/>
        </w:rPr>
      </w:pPr>
      <w:bookmarkStart w:id="11" w:name="heading_11"/>
      <w:r>
        <w:rPr>
          <w:rFonts w:hint="eastAsia" w:ascii="宋体" w:hAnsi="宋体" w:eastAsia="宋体" w:cs="宋体"/>
          <w:sz w:val="28"/>
          <w:szCs w:val="28"/>
        </w:rPr>
        <w:t>从诉求特征来看，各街道诉求呈现鲜明差异化分布，与区域小区类型、人口结构、设施条件高度关联：</w:t>
      </w:r>
    </w:p>
    <w:p>
      <w:pPr>
        <w:spacing w:before="120" w:after="120" w:line="360" w:lineRule="auto"/>
        <w:ind w:left="0"/>
        <w:jc w:val="left"/>
        <w:rPr>
          <w:rFonts w:hint="eastAsia" w:ascii="宋体" w:hAnsi="宋体" w:eastAsia="宋体" w:cs="宋体"/>
          <w:sz w:val="28"/>
          <w:szCs w:val="28"/>
        </w:rPr>
      </w:pPr>
      <w:r>
        <w:rPr>
          <w:rFonts w:hint="eastAsia" w:ascii="宋体" w:hAnsi="宋体" w:eastAsia="宋体" w:cs="宋体"/>
          <w:sz w:val="28"/>
          <w:szCs w:val="28"/>
        </w:rPr>
        <w:t>长桥街道（3688条，同比-22.3%）作为工单量第一街镇，核心诉求集中于房屋维修、停车管理、清洁卫生三类，叠加老旧小区设施老化与高出租率问题，此类诉求占比超60%，治理成效显著；</w:t>
      </w:r>
    </w:p>
    <w:p>
      <w:pPr>
        <w:spacing w:before="120" w:after="120" w:line="360" w:lineRule="auto"/>
        <w:ind w:left="0"/>
        <w:jc w:val="left"/>
        <w:rPr>
          <w:rFonts w:hint="eastAsia" w:ascii="宋体" w:hAnsi="宋体" w:eastAsia="宋体" w:cs="宋体"/>
          <w:sz w:val="28"/>
          <w:szCs w:val="28"/>
        </w:rPr>
      </w:pPr>
      <w:r>
        <w:rPr>
          <w:rFonts w:hint="eastAsia" w:ascii="宋体" w:hAnsi="宋体" w:eastAsia="宋体" w:cs="宋体"/>
          <w:sz w:val="28"/>
          <w:szCs w:val="28"/>
        </w:rPr>
        <w:t>徐家汇街道（3118条，同比-1.9%）聚焦停车管理、房屋维修、物业收费三类诉求，其中物业费调价相关投诉占比达15%，主要源于部分小区服务升级后启动物业费调价工作，引发部分居民争议，这也是其工单量降幅偏小的重要原因；</w:t>
      </w:r>
    </w:p>
    <w:p>
      <w:pPr>
        <w:spacing w:before="120" w:after="120" w:line="360" w:lineRule="auto"/>
        <w:ind w:left="0"/>
        <w:jc w:val="left"/>
        <w:rPr>
          <w:rFonts w:hint="eastAsia" w:ascii="宋体" w:hAnsi="宋体" w:eastAsia="宋体" w:cs="宋体"/>
          <w:sz w:val="28"/>
          <w:szCs w:val="28"/>
        </w:rPr>
      </w:pPr>
      <w:r>
        <w:rPr>
          <w:rFonts w:hint="eastAsia" w:ascii="宋体" w:hAnsi="宋体" w:eastAsia="宋体" w:cs="宋体"/>
          <w:sz w:val="28"/>
          <w:szCs w:val="28"/>
        </w:rPr>
        <w:t>漕河泾街道（2538条，同比-16.6%）以群租治理、停车管理、物业安保为核心诉求，出租房管理与停车供需矛盾尤为突出；</w:t>
      </w:r>
    </w:p>
    <w:p>
      <w:pPr>
        <w:spacing w:before="120" w:after="120" w:line="360" w:lineRule="auto"/>
        <w:ind w:left="0"/>
        <w:jc w:val="left"/>
        <w:rPr>
          <w:rFonts w:hint="eastAsia" w:ascii="宋体" w:hAnsi="宋体" w:eastAsia="宋体" w:cs="宋体"/>
          <w:sz w:val="28"/>
          <w:szCs w:val="28"/>
        </w:rPr>
      </w:pPr>
      <w:r>
        <w:rPr>
          <w:rFonts w:hint="eastAsia" w:ascii="宋体" w:hAnsi="宋体" w:eastAsia="宋体" w:cs="宋体"/>
          <w:sz w:val="28"/>
          <w:szCs w:val="28"/>
        </w:rPr>
        <w:t>枫林路街道（2773条，同比-13.5%）集中反映房屋维修、消防管理、房屋建设质量相关问题，老旧小区消防设施老化、屋面防水与管道渗漏等问题亟待解决；</w:t>
      </w:r>
    </w:p>
    <w:p>
      <w:pPr>
        <w:spacing w:before="120" w:after="120" w:line="360" w:lineRule="auto"/>
        <w:ind w:left="0"/>
        <w:jc w:val="left"/>
        <w:rPr>
          <w:rFonts w:hint="eastAsia" w:ascii="宋体" w:hAnsi="宋体" w:eastAsia="宋体" w:cs="宋体"/>
          <w:sz w:val="28"/>
          <w:szCs w:val="28"/>
        </w:rPr>
      </w:pPr>
      <w:r>
        <w:rPr>
          <w:rFonts w:hint="eastAsia" w:ascii="宋体" w:hAnsi="宋体" w:eastAsia="宋体" w:cs="宋体"/>
          <w:sz w:val="28"/>
          <w:szCs w:val="28"/>
        </w:rPr>
        <w:t>田林街道（2146条，同比-19.6%）侧重房屋维修、群租治理、清洁卫生类诉求，随着老旧小区改造推进，此类诉求呈稳步下降态势；</w:t>
      </w:r>
    </w:p>
    <w:p>
      <w:pPr>
        <w:spacing w:before="120" w:after="120" w:line="360" w:lineRule="auto"/>
        <w:ind w:left="0"/>
        <w:jc w:val="left"/>
        <w:rPr>
          <w:rFonts w:hint="eastAsia" w:ascii="宋体" w:hAnsi="宋体" w:eastAsia="宋体" w:cs="宋体"/>
          <w:sz w:val="28"/>
          <w:szCs w:val="28"/>
        </w:rPr>
      </w:pPr>
      <w:r>
        <w:rPr>
          <w:rFonts w:hint="eastAsia" w:ascii="宋体" w:hAnsi="宋体" w:eastAsia="宋体" w:cs="宋体"/>
          <w:sz w:val="28"/>
          <w:szCs w:val="28"/>
        </w:rPr>
        <w:t>凌云路街道（1851条，同比-38.1%）降幅为全区最大，得益于群租专项整治与设施更新工程落地，核心诉求量大幅减少；</w:t>
      </w:r>
    </w:p>
    <w:p>
      <w:pPr>
        <w:spacing w:before="120" w:after="120" w:line="360" w:lineRule="auto"/>
        <w:ind w:left="0"/>
        <w:jc w:val="left"/>
        <w:rPr>
          <w:rFonts w:hint="eastAsia" w:ascii="宋体" w:hAnsi="宋体" w:eastAsia="宋体" w:cs="宋体"/>
          <w:sz w:val="28"/>
          <w:szCs w:val="28"/>
        </w:rPr>
      </w:pPr>
      <w:r>
        <w:rPr>
          <w:rFonts w:hint="eastAsia" w:ascii="宋体" w:hAnsi="宋体" w:eastAsia="宋体" w:cs="宋体"/>
          <w:sz w:val="28"/>
          <w:szCs w:val="28"/>
        </w:rPr>
        <w:t>虹梅路街道（1150条，同比+8.4%）则围绕新增诉求痛点，以群租治理、施工扰民、服务态度类诉求为主，需严格落实租住管控、施工规范、服务提升三项针对性举措，结合成因精准施策，切实遏制工单增长态势，补齐区域治理短板。</w:t>
      </w:r>
    </w:p>
    <w:p>
      <w:pPr>
        <w:spacing w:before="320" w:after="120" w:line="288" w:lineRule="auto"/>
        <w:ind w:left="0"/>
        <w:jc w:val="left"/>
        <w:outlineLvl w:val="1"/>
      </w:pPr>
      <w:r>
        <w:rPr>
          <w:rFonts w:ascii="Arial" w:hAnsi="Arial" w:eastAsia="等线" w:cs="Arial"/>
          <w:b/>
          <w:sz w:val="32"/>
        </w:rPr>
        <w:t>1.4 小区情况维度分析</w:t>
      </w:r>
      <w:bookmarkEnd w:id="11"/>
    </w:p>
    <w:p>
      <w:pPr>
        <w:spacing w:before="300" w:after="120" w:line="288" w:lineRule="auto"/>
        <w:ind w:left="0"/>
        <w:jc w:val="left"/>
        <w:outlineLvl w:val="2"/>
      </w:pPr>
      <w:bookmarkStart w:id="12" w:name="heading_12"/>
      <w:r>
        <w:rPr>
          <w:rFonts w:ascii="Arial" w:hAnsi="Arial" w:eastAsia="等线" w:cs="Arial"/>
          <w:b/>
          <w:sz w:val="30"/>
        </w:rPr>
        <w:t>1.4.1 核心诉求高发小区情况分析</w:t>
      </w:r>
      <w:bookmarkEnd w:id="12"/>
    </w:p>
    <w:tbl>
      <w:tblPr>
        <w:tblStyle w:val="2"/>
        <w:tblW w:w="9891" w:type="dxa"/>
        <w:tblInd w:w="8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936"/>
        <w:gridCol w:w="1978"/>
        <w:gridCol w:w="1742"/>
        <w:gridCol w:w="1829"/>
        <w:gridCol w:w="1703"/>
        <w:gridCol w:w="1703"/>
      </w:tblGrid>
      <w:tr>
        <w:trPr>
          <w:trHeight w:val="336" w:hRule="atLeast"/>
        </w:trPr>
        <w:tc>
          <w:tcPr>
            <w:tcW w:w="936" w:type="dxa"/>
            <w:tcBorders>
              <w:top w:val="single" w:color="000000" w:sz="4" w:space="0"/>
              <w:left w:val="single" w:color="000000" w:sz="4" w:space="0"/>
              <w:bottom w:val="single" w:color="auto" w:sz="4" w:space="0"/>
              <w:right w:val="single" w:color="000000" w:sz="4" w:space="0"/>
            </w:tcBorders>
            <w:shd w:val="clear" w:color="auto" w:fill="auto"/>
            <w:noWrap/>
            <w:vAlign w:val="top"/>
          </w:tcPr>
          <w:p>
            <w:pPr>
              <w:keepNext w:val="0"/>
              <w:keepLines w:val="0"/>
              <w:widowControl/>
              <w:suppressLineNumbers w:val="0"/>
              <w:ind w:left="0" w:leftChars="0" w:firstLine="0" w:firstLineChars="0"/>
              <w:jc w:val="center"/>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排名</w:t>
            </w:r>
          </w:p>
        </w:tc>
        <w:tc>
          <w:tcPr>
            <w:tcW w:w="1978" w:type="dxa"/>
            <w:tcBorders>
              <w:top w:val="single" w:color="000000" w:sz="4" w:space="0"/>
              <w:left w:val="single" w:color="000000" w:sz="4" w:space="0"/>
              <w:bottom w:val="single" w:color="auto" w:sz="4" w:space="0"/>
              <w:right w:val="single" w:color="000000" w:sz="4" w:space="0"/>
            </w:tcBorders>
            <w:shd w:val="clear" w:color="auto" w:fill="auto"/>
            <w:noWrap/>
            <w:vAlign w:val="top"/>
          </w:tcPr>
          <w:p>
            <w:pPr>
              <w:keepNext w:val="0"/>
              <w:keepLines w:val="0"/>
              <w:widowControl/>
              <w:suppressLineNumbers w:val="0"/>
              <w:ind w:left="0" w:leftChars="0" w:firstLine="0" w:firstLineChars="0"/>
              <w:jc w:val="center"/>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小区名称</w:t>
            </w:r>
          </w:p>
        </w:tc>
        <w:tc>
          <w:tcPr>
            <w:tcW w:w="1742" w:type="dxa"/>
            <w:tcBorders>
              <w:top w:val="single" w:color="000000" w:sz="4" w:space="0"/>
              <w:left w:val="single" w:color="000000" w:sz="4" w:space="0"/>
              <w:bottom w:val="single" w:color="auto" w:sz="4" w:space="0"/>
              <w:right w:val="single" w:color="000000" w:sz="4" w:space="0"/>
            </w:tcBorders>
            <w:shd w:val="clear" w:color="auto" w:fill="auto"/>
            <w:noWrap/>
            <w:vAlign w:val="top"/>
          </w:tcPr>
          <w:p>
            <w:pPr>
              <w:keepNext w:val="0"/>
              <w:keepLines w:val="0"/>
              <w:widowControl/>
              <w:suppressLineNumbers w:val="0"/>
              <w:ind w:left="0" w:leftChars="0" w:firstLine="0" w:firstLineChars="0"/>
              <w:jc w:val="center"/>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2025年工单数</w:t>
            </w:r>
          </w:p>
        </w:tc>
        <w:tc>
          <w:tcPr>
            <w:tcW w:w="1829" w:type="dxa"/>
            <w:tcBorders>
              <w:top w:val="single" w:color="000000" w:sz="4" w:space="0"/>
              <w:left w:val="single" w:color="000000" w:sz="4" w:space="0"/>
              <w:bottom w:val="single" w:color="auto" w:sz="4" w:space="0"/>
              <w:right w:val="single" w:color="000000" w:sz="4" w:space="0"/>
            </w:tcBorders>
            <w:shd w:val="clear" w:color="auto" w:fill="auto"/>
            <w:noWrap/>
            <w:vAlign w:val="top"/>
          </w:tcPr>
          <w:p>
            <w:pPr>
              <w:keepNext w:val="0"/>
              <w:keepLines w:val="0"/>
              <w:widowControl/>
              <w:suppressLineNumbers w:val="0"/>
              <w:ind w:left="0" w:leftChars="0" w:firstLine="0" w:firstLineChars="0"/>
              <w:jc w:val="center"/>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2025年占比(%)</w:t>
            </w:r>
          </w:p>
        </w:tc>
        <w:tc>
          <w:tcPr>
            <w:tcW w:w="1703" w:type="dxa"/>
            <w:tcBorders>
              <w:top w:val="single" w:color="000000" w:sz="4" w:space="0"/>
              <w:left w:val="single" w:color="000000" w:sz="4" w:space="0"/>
              <w:bottom w:val="single" w:color="auto" w:sz="4" w:space="0"/>
              <w:right w:val="single" w:color="000000" w:sz="4" w:space="0"/>
            </w:tcBorders>
            <w:shd w:val="clear" w:color="auto" w:fill="auto"/>
            <w:noWrap/>
            <w:vAlign w:val="top"/>
          </w:tcPr>
          <w:p>
            <w:pPr>
              <w:keepNext w:val="0"/>
              <w:keepLines w:val="0"/>
              <w:widowControl/>
              <w:suppressLineNumbers w:val="0"/>
              <w:ind w:left="0" w:leftChars="0" w:firstLine="0" w:firstLineChars="0"/>
              <w:jc w:val="center"/>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投诉密度(千件)</w:t>
            </w:r>
          </w:p>
        </w:tc>
        <w:tc>
          <w:tcPr>
            <w:tcW w:w="1703" w:type="dxa"/>
            <w:tcBorders>
              <w:top w:val="single" w:color="000000" w:sz="4" w:space="0"/>
              <w:left w:val="single" w:color="000000" w:sz="4" w:space="0"/>
              <w:bottom w:val="single" w:color="auto" w:sz="4" w:space="0"/>
              <w:right w:val="single" w:color="000000" w:sz="4" w:space="0"/>
            </w:tcBorders>
            <w:shd w:val="clear" w:color="auto" w:fill="auto"/>
            <w:noWrap/>
            <w:vAlign w:val="top"/>
          </w:tcPr>
          <w:p>
            <w:pPr>
              <w:keepNext w:val="0"/>
              <w:keepLines w:val="0"/>
              <w:widowControl/>
              <w:suppressLineNumbers w:val="0"/>
              <w:ind w:left="0" w:leftChars="0" w:firstLine="0" w:firstLineChars="0"/>
              <w:jc w:val="center"/>
              <w:textAlignment w:val="center"/>
              <w:rPr>
                <w:rFonts w:hint="default"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街道</w:t>
            </w:r>
          </w:p>
        </w:tc>
      </w:tr>
      <w:tr>
        <w:trPr>
          <w:trHeight w:val="336" w:hRule="atLeast"/>
        </w:trPr>
        <w:tc>
          <w:tcPr>
            <w:tcW w:w="936"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b w:val="0"/>
                <w:bCs w:val="0"/>
                <w:i w:val="0"/>
                <w:iCs w:val="0"/>
                <w:color w:val="000000"/>
                <w:kern w:val="0"/>
                <w:sz w:val="22"/>
                <w:szCs w:val="22"/>
                <w:u w:val="none"/>
                <w:lang w:val="en-US" w:eastAsia="zh-CN" w:bidi="ar"/>
              </w:rPr>
            </w:pPr>
            <w:r>
              <w:rPr>
                <w:rFonts w:hint="eastAsia" w:ascii="宋体" w:hAnsi="宋体" w:eastAsia="宋体" w:cs="宋体"/>
                <w:b w:val="0"/>
                <w:bCs w:val="0"/>
                <w:i w:val="0"/>
                <w:iCs w:val="0"/>
                <w:color w:val="000000"/>
                <w:kern w:val="0"/>
                <w:sz w:val="22"/>
                <w:szCs w:val="22"/>
                <w:u w:val="none"/>
                <w:lang w:val="en-US" w:eastAsia="zh-CN" w:bidi="ar"/>
              </w:rPr>
              <w:t>1</w:t>
            </w:r>
          </w:p>
        </w:tc>
        <w:tc>
          <w:tcPr>
            <w:tcW w:w="1978"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b w:val="0"/>
                <w:bCs w:val="0"/>
                <w:i w:val="0"/>
                <w:iCs w:val="0"/>
                <w:color w:val="000000"/>
                <w:kern w:val="0"/>
                <w:sz w:val="22"/>
                <w:szCs w:val="22"/>
                <w:u w:val="none"/>
                <w:lang w:val="en-US" w:eastAsia="zh-CN" w:bidi="ar"/>
              </w:rPr>
            </w:pPr>
            <w:r>
              <w:rPr>
                <w:rFonts w:hint="eastAsia" w:ascii="宋体" w:hAnsi="宋体" w:eastAsia="宋体" w:cs="宋体"/>
                <w:b w:val="0"/>
                <w:bCs w:val="0"/>
                <w:i w:val="0"/>
                <w:iCs w:val="0"/>
                <w:color w:val="000000"/>
                <w:kern w:val="0"/>
                <w:sz w:val="22"/>
                <w:szCs w:val="22"/>
                <w:u w:val="none"/>
                <w:lang w:val="en-US" w:eastAsia="zh-CN" w:bidi="ar"/>
              </w:rPr>
              <w:t>中海瀛台</w:t>
            </w:r>
          </w:p>
        </w:tc>
        <w:tc>
          <w:tcPr>
            <w:tcW w:w="1742"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b w:val="0"/>
                <w:bCs w:val="0"/>
                <w:i w:val="0"/>
                <w:iCs w:val="0"/>
                <w:color w:val="000000"/>
                <w:kern w:val="0"/>
                <w:sz w:val="22"/>
                <w:szCs w:val="22"/>
                <w:u w:val="none"/>
                <w:lang w:val="en-US" w:eastAsia="zh-CN" w:bidi="ar"/>
              </w:rPr>
            </w:pPr>
            <w:r>
              <w:rPr>
                <w:rFonts w:hint="eastAsia" w:ascii="宋体" w:hAnsi="宋体" w:eastAsia="宋体" w:cs="宋体"/>
                <w:b w:val="0"/>
                <w:bCs w:val="0"/>
                <w:i w:val="0"/>
                <w:iCs w:val="0"/>
                <w:color w:val="000000"/>
                <w:kern w:val="0"/>
                <w:sz w:val="22"/>
                <w:szCs w:val="22"/>
                <w:u w:val="none"/>
                <w:lang w:val="en-US" w:eastAsia="zh-CN" w:bidi="ar"/>
              </w:rPr>
              <w:t>448</w:t>
            </w:r>
          </w:p>
        </w:tc>
        <w:tc>
          <w:tcPr>
            <w:tcW w:w="1829"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b w:val="0"/>
                <w:bCs w:val="0"/>
                <w:i w:val="0"/>
                <w:iCs w:val="0"/>
                <w:color w:val="000000"/>
                <w:kern w:val="0"/>
                <w:sz w:val="22"/>
                <w:szCs w:val="22"/>
                <w:u w:val="none"/>
                <w:lang w:val="en-US" w:eastAsia="zh-CN" w:bidi="ar"/>
              </w:rPr>
            </w:pPr>
            <w:r>
              <w:rPr>
                <w:rFonts w:hint="eastAsia" w:ascii="宋体" w:hAnsi="宋体" w:eastAsia="宋体" w:cs="宋体"/>
                <w:b w:val="0"/>
                <w:bCs w:val="0"/>
                <w:i w:val="0"/>
                <w:iCs w:val="0"/>
                <w:color w:val="000000"/>
                <w:kern w:val="0"/>
                <w:sz w:val="22"/>
                <w:szCs w:val="22"/>
                <w:u w:val="none"/>
                <w:lang w:val="en-US" w:eastAsia="zh-CN" w:bidi="ar"/>
              </w:rPr>
              <w:t>1.5</w:t>
            </w:r>
          </w:p>
        </w:tc>
        <w:tc>
          <w:tcPr>
            <w:tcW w:w="1703"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b w:val="0"/>
                <w:bCs w:val="0"/>
                <w:i w:val="0"/>
                <w:iCs w:val="0"/>
                <w:color w:val="000000"/>
                <w:kern w:val="0"/>
                <w:sz w:val="22"/>
                <w:szCs w:val="22"/>
                <w:u w:val="none"/>
                <w:lang w:val="en-US" w:eastAsia="zh-CN" w:bidi="ar"/>
              </w:rPr>
            </w:pPr>
            <w:r>
              <w:rPr>
                <w:rFonts w:hint="eastAsia" w:ascii="宋体" w:hAnsi="宋体" w:eastAsia="宋体" w:cs="宋体"/>
                <w:b w:val="0"/>
                <w:bCs w:val="0"/>
                <w:i w:val="0"/>
                <w:iCs w:val="0"/>
                <w:color w:val="000000"/>
                <w:kern w:val="0"/>
                <w:sz w:val="22"/>
                <w:szCs w:val="22"/>
                <w:u w:val="none"/>
                <w:lang w:val="en-US" w:eastAsia="zh-CN" w:bidi="ar"/>
              </w:rPr>
              <w:t>0.448</w:t>
            </w:r>
          </w:p>
        </w:tc>
        <w:tc>
          <w:tcPr>
            <w:tcW w:w="1703"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b w:val="0"/>
                <w:bCs w:val="0"/>
                <w:i w:val="0"/>
                <w:iCs w:val="0"/>
                <w:color w:val="000000"/>
                <w:kern w:val="0"/>
                <w:sz w:val="22"/>
                <w:szCs w:val="22"/>
                <w:u w:val="none"/>
                <w:lang w:val="en-US" w:eastAsia="zh-CN" w:bidi="ar"/>
              </w:rPr>
            </w:pPr>
            <w:r>
              <w:rPr>
                <w:rFonts w:hint="eastAsia" w:ascii="宋体" w:hAnsi="宋体" w:eastAsia="宋体" w:cs="宋体"/>
                <w:b w:val="0"/>
                <w:bCs w:val="0"/>
                <w:i w:val="0"/>
                <w:iCs w:val="0"/>
                <w:color w:val="000000"/>
                <w:kern w:val="0"/>
                <w:sz w:val="22"/>
                <w:szCs w:val="22"/>
                <w:u w:val="none"/>
                <w:lang w:val="en-US" w:eastAsia="zh-CN" w:bidi="ar"/>
              </w:rPr>
              <w:t>长桥街道</w:t>
            </w:r>
          </w:p>
        </w:tc>
      </w:tr>
      <w:tr>
        <w:trPr>
          <w:trHeight w:val="336" w:hRule="atLeast"/>
        </w:trPr>
        <w:tc>
          <w:tcPr>
            <w:tcW w:w="936"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b w:val="0"/>
                <w:bCs w:val="0"/>
                <w:i w:val="0"/>
                <w:iCs w:val="0"/>
                <w:color w:val="000000"/>
                <w:kern w:val="0"/>
                <w:sz w:val="22"/>
                <w:szCs w:val="22"/>
                <w:u w:val="none"/>
                <w:lang w:val="en-US" w:eastAsia="zh-CN" w:bidi="ar"/>
              </w:rPr>
            </w:pPr>
            <w:r>
              <w:rPr>
                <w:rFonts w:hint="eastAsia" w:ascii="宋体" w:hAnsi="宋体" w:eastAsia="宋体" w:cs="宋体"/>
                <w:b w:val="0"/>
                <w:bCs w:val="0"/>
                <w:i w:val="0"/>
                <w:iCs w:val="0"/>
                <w:color w:val="000000"/>
                <w:kern w:val="0"/>
                <w:sz w:val="22"/>
                <w:szCs w:val="22"/>
                <w:u w:val="none"/>
                <w:lang w:val="en-US" w:eastAsia="zh-CN" w:bidi="ar"/>
              </w:rPr>
              <w:t>2</w:t>
            </w:r>
          </w:p>
        </w:tc>
        <w:tc>
          <w:tcPr>
            <w:tcW w:w="1978"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b w:val="0"/>
                <w:bCs w:val="0"/>
                <w:i w:val="0"/>
                <w:iCs w:val="0"/>
                <w:color w:val="000000"/>
                <w:kern w:val="0"/>
                <w:sz w:val="22"/>
                <w:szCs w:val="22"/>
                <w:u w:val="none"/>
                <w:lang w:val="en-US" w:eastAsia="zh-CN" w:bidi="ar"/>
              </w:rPr>
            </w:pPr>
            <w:r>
              <w:rPr>
                <w:rFonts w:hint="eastAsia" w:ascii="宋体" w:hAnsi="宋体" w:eastAsia="宋体" w:cs="宋体"/>
                <w:b w:val="0"/>
                <w:bCs w:val="0"/>
                <w:i w:val="0"/>
                <w:iCs w:val="0"/>
                <w:color w:val="000000"/>
                <w:kern w:val="0"/>
                <w:sz w:val="22"/>
                <w:szCs w:val="22"/>
                <w:u w:val="none"/>
                <w:lang w:val="en-US" w:eastAsia="zh-CN" w:bidi="ar"/>
              </w:rPr>
              <w:t>日晖六村</w:t>
            </w:r>
          </w:p>
        </w:tc>
        <w:tc>
          <w:tcPr>
            <w:tcW w:w="1742"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b w:val="0"/>
                <w:bCs w:val="0"/>
                <w:i w:val="0"/>
                <w:iCs w:val="0"/>
                <w:color w:val="000000"/>
                <w:kern w:val="0"/>
                <w:sz w:val="22"/>
                <w:szCs w:val="22"/>
                <w:u w:val="none"/>
                <w:lang w:val="en-US" w:eastAsia="zh-CN" w:bidi="ar"/>
              </w:rPr>
            </w:pPr>
            <w:r>
              <w:rPr>
                <w:rFonts w:hint="eastAsia" w:ascii="宋体" w:hAnsi="宋体" w:eastAsia="宋体" w:cs="宋体"/>
                <w:b w:val="0"/>
                <w:bCs w:val="0"/>
                <w:i w:val="0"/>
                <w:iCs w:val="0"/>
                <w:color w:val="000000"/>
                <w:kern w:val="0"/>
                <w:sz w:val="22"/>
                <w:szCs w:val="22"/>
                <w:u w:val="none"/>
                <w:lang w:val="en-US" w:eastAsia="zh-CN" w:bidi="ar"/>
              </w:rPr>
              <w:t>359</w:t>
            </w:r>
          </w:p>
        </w:tc>
        <w:tc>
          <w:tcPr>
            <w:tcW w:w="1829"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b w:val="0"/>
                <w:bCs w:val="0"/>
                <w:i w:val="0"/>
                <w:iCs w:val="0"/>
                <w:color w:val="000000"/>
                <w:kern w:val="0"/>
                <w:sz w:val="22"/>
                <w:szCs w:val="22"/>
                <w:u w:val="none"/>
                <w:lang w:val="en-US" w:eastAsia="zh-CN" w:bidi="ar"/>
              </w:rPr>
            </w:pPr>
            <w:r>
              <w:rPr>
                <w:rFonts w:hint="eastAsia" w:ascii="宋体" w:hAnsi="宋体" w:eastAsia="宋体" w:cs="宋体"/>
                <w:b w:val="0"/>
                <w:bCs w:val="0"/>
                <w:i w:val="0"/>
                <w:iCs w:val="0"/>
                <w:color w:val="000000"/>
                <w:kern w:val="0"/>
                <w:sz w:val="22"/>
                <w:szCs w:val="22"/>
                <w:u w:val="none"/>
                <w:lang w:val="en-US" w:eastAsia="zh-CN" w:bidi="ar"/>
              </w:rPr>
              <w:t>1.2</w:t>
            </w:r>
          </w:p>
        </w:tc>
        <w:tc>
          <w:tcPr>
            <w:tcW w:w="1703"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b w:val="0"/>
                <w:bCs w:val="0"/>
                <w:i w:val="0"/>
                <w:iCs w:val="0"/>
                <w:color w:val="000000"/>
                <w:kern w:val="0"/>
                <w:sz w:val="22"/>
                <w:szCs w:val="22"/>
                <w:u w:val="none"/>
                <w:lang w:val="en-US" w:eastAsia="zh-CN" w:bidi="ar"/>
              </w:rPr>
            </w:pPr>
            <w:r>
              <w:rPr>
                <w:rFonts w:hint="eastAsia" w:ascii="宋体" w:hAnsi="宋体" w:eastAsia="宋体" w:cs="宋体"/>
                <w:b w:val="0"/>
                <w:bCs w:val="0"/>
                <w:i w:val="0"/>
                <w:iCs w:val="0"/>
                <w:color w:val="000000"/>
                <w:kern w:val="0"/>
                <w:sz w:val="22"/>
                <w:szCs w:val="22"/>
                <w:u w:val="none"/>
                <w:lang w:val="en-US" w:eastAsia="zh-CN" w:bidi="ar"/>
              </w:rPr>
              <w:t>0.359</w:t>
            </w:r>
          </w:p>
        </w:tc>
        <w:tc>
          <w:tcPr>
            <w:tcW w:w="1703"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b w:val="0"/>
                <w:bCs w:val="0"/>
                <w:i w:val="0"/>
                <w:iCs w:val="0"/>
                <w:color w:val="000000"/>
                <w:kern w:val="0"/>
                <w:sz w:val="22"/>
                <w:szCs w:val="22"/>
                <w:u w:val="none"/>
                <w:lang w:val="en-US" w:eastAsia="zh-CN" w:bidi="ar"/>
              </w:rPr>
            </w:pPr>
            <w:r>
              <w:rPr>
                <w:rFonts w:hint="eastAsia" w:ascii="宋体" w:hAnsi="宋体" w:eastAsia="宋体" w:cs="宋体"/>
                <w:b w:val="0"/>
                <w:bCs w:val="0"/>
                <w:i w:val="0"/>
                <w:iCs w:val="0"/>
                <w:color w:val="000000"/>
                <w:kern w:val="0"/>
                <w:sz w:val="22"/>
                <w:szCs w:val="22"/>
                <w:u w:val="none"/>
                <w:lang w:val="en-US" w:eastAsia="zh-CN" w:bidi="ar"/>
              </w:rPr>
              <w:t>斜土路街道</w:t>
            </w:r>
          </w:p>
        </w:tc>
      </w:tr>
      <w:tr>
        <w:trPr>
          <w:trHeight w:val="336" w:hRule="atLeast"/>
        </w:trPr>
        <w:tc>
          <w:tcPr>
            <w:tcW w:w="936"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b w:val="0"/>
                <w:bCs w:val="0"/>
                <w:i w:val="0"/>
                <w:iCs w:val="0"/>
                <w:color w:val="000000"/>
                <w:kern w:val="0"/>
                <w:sz w:val="22"/>
                <w:szCs w:val="22"/>
                <w:u w:val="none"/>
                <w:lang w:val="en-US" w:eastAsia="zh-CN" w:bidi="ar"/>
              </w:rPr>
            </w:pPr>
            <w:r>
              <w:rPr>
                <w:rFonts w:hint="eastAsia" w:ascii="宋体" w:hAnsi="宋体" w:eastAsia="宋体" w:cs="宋体"/>
                <w:b w:val="0"/>
                <w:bCs w:val="0"/>
                <w:i w:val="0"/>
                <w:iCs w:val="0"/>
                <w:color w:val="000000"/>
                <w:kern w:val="0"/>
                <w:sz w:val="22"/>
                <w:szCs w:val="22"/>
                <w:u w:val="none"/>
                <w:lang w:val="en-US" w:eastAsia="zh-CN" w:bidi="ar"/>
              </w:rPr>
              <w:t>3</w:t>
            </w:r>
          </w:p>
        </w:tc>
        <w:tc>
          <w:tcPr>
            <w:tcW w:w="1978"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b w:val="0"/>
                <w:bCs w:val="0"/>
                <w:i w:val="0"/>
                <w:iCs w:val="0"/>
                <w:color w:val="000000"/>
                <w:kern w:val="0"/>
                <w:sz w:val="22"/>
                <w:szCs w:val="22"/>
                <w:u w:val="none"/>
                <w:lang w:val="en-US" w:eastAsia="zh-CN" w:bidi="ar"/>
              </w:rPr>
            </w:pPr>
            <w:r>
              <w:rPr>
                <w:rFonts w:hint="eastAsia" w:ascii="宋体" w:hAnsi="宋体" w:eastAsia="宋体" w:cs="宋体"/>
                <w:b w:val="0"/>
                <w:bCs w:val="0"/>
                <w:i w:val="0"/>
                <w:iCs w:val="0"/>
                <w:color w:val="000000"/>
                <w:kern w:val="0"/>
                <w:sz w:val="22"/>
                <w:szCs w:val="22"/>
                <w:u w:val="none"/>
                <w:lang w:val="en-US" w:eastAsia="zh-CN" w:bidi="ar"/>
              </w:rPr>
              <w:t>东湾小区</w:t>
            </w:r>
          </w:p>
        </w:tc>
        <w:tc>
          <w:tcPr>
            <w:tcW w:w="1742"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b w:val="0"/>
                <w:bCs w:val="0"/>
                <w:i w:val="0"/>
                <w:iCs w:val="0"/>
                <w:color w:val="000000"/>
                <w:kern w:val="0"/>
                <w:sz w:val="22"/>
                <w:szCs w:val="22"/>
                <w:u w:val="none"/>
                <w:lang w:val="en-US" w:eastAsia="zh-CN" w:bidi="ar"/>
              </w:rPr>
            </w:pPr>
            <w:r>
              <w:rPr>
                <w:rFonts w:hint="eastAsia" w:ascii="宋体" w:hAnsi="宋体" w:eastAsia="宋体" w:cs="宋体"/>
                <w:b w:val="0"/>
                <w:bCs w:val="0"/>
                <w:i w:val="0"/>
                <w:iCs w:val="0"/>
                <w:color w:val="000000"/>
                <w:kern w:val="0"/>
                <w:sz w:val="22"/>
                <w:szCs w:val="22"/>
                <w:u w:val="none"/>
                <w:lang w:val="en-US" w:eastAsia="zh-CN" w:bidi="ar"/>
              </w:rPr>
              <w:t>288</w:t>
            </w:r>
          </w:p>
        </w:tc>
        <w:tc>
          <w:tcPr>
            <w:tcW w:w="1829"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b w:val="0"/>
                <w:bCs w:val="0"/>
                <w:i w:val="0"/>
                <w:iCs w:val="0"/>
                <w:color w:val="000000"/>
                <w:kern w:val="0"/>
                <w:sz w:val="22"/>
                <w:szCs w:val="22"/>
                <w:u w:val="none"/>
                <w:lang w:val="en-US" w:eastAsia="zh-CN" w:bidi="ar"/>
              </w:rPr>
            </w:pPr>
            <w:r>
              <w:rPr>
                <w:rFonts w:hint="eastAsia" w:ascii="宋体" w:hAnsi="宋体" w:eastAsia="宋体" w:cs="宋体"/>
                <w:b w:val="0"/>
                <w:bCs w:val="0"/>
                <w:i w:val="0"/>
                <w:iCs w:val="0"/>
                <w:color w:val="000000"/>
                <w:kern w:val="0"/>
                <w:sz w:val="22"/>
                <w:szCs w:val="22"/>
                <w:u w:val="none"/>
                <w:lang w:val="en-US" w:eastAsia="zh-CN" w:bidi="ar"/>
              </w:rPr>
              <w:t>0.97</w:t>
            </w:r>
          </w:p>
        </w:tc>
        <w:tc>
          <w:tcPr>
            <w:tcW w:w="1703"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b w:val="0"/>
                <w:bCs w:val="0"/>
                <w:i w:val="0"/>
                <w:iCs w:val="0"/>
                <w:color w:val="000000"/>
                <w:kern w:val="0"/>
                <w:sz w:val="22"/>
                <w:szCs w:val="22"/>
                <w:u w:val="none"/>
                <w:lang w:val="en-US" w:eastAsia="zh-CN" w:bidi="ar"/>
              </w:rPr>
            </w:pPr>
            <w:r>
              <w:rPr>
                <w:rFonts w:hint="eastAsia" w:ascii="宋体" w:hAnsi="宋体" w:eastAsia="宋体" w:cs="宋体"/>
                <w:b w:val="0"/>
                <w:bCs w:val="0"/>
                <w:i w:val="0"/>
                <w:iCs w:val="0"/>
                <w:color w:val="000000"/>
                <w:kern w:val="0"/>
                <w:sz w:val="22"/>
                <w:szCs w:val="22"/>
                <w:u w:val="none"/>
                <w:lang w:val="en-US" w:eastAsia="zh-CN" w:bidi="ar"/>
              </w:rPr>
              <w:t>0.288</w:t>
            </w:r>
          </w:p>
        </w:tc>
        <w:tc>
          <w:tcPr>
            <w:tcW w:w="1703"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b w:val="0"/>
                <w:bCs w:val="0"/>
                <w:i w:val="0"/>
                <w:iCs w:val="0"/>
                <w:color w:val="000000"/>
                <w:kern w:val="0"/>
                <w:sz w:val="22"/>
                <w:szCs w:val="22"/>
                <w:u w:val="none"/>
                <w:lang w:val="en-US" w:eastAsia="zh-CN" w:bidi="ar"/>
              </w:rPr>
            </w:pPr>
            <w:r>
              <w:rPr>
                <w:rFonts w:hint="eastAsia" w:ascii="宋体" w:hAnsi="宋体" w:eastAsia="宋体" w:cs="宋体"/>
                <w:b w:val="0"/>
                <w:bCs w:val="0"/>
                <w:i w:val="0"/>
                <w:iCs w:val="0"/>
                <w:color w:val="000000"/>
                <w:kern w:val="0"/>
                <w:sz w:val="22"/>
                <w:szCs w:val="22"/>
                <w:u w:val="none"/>
                <w:lang w:val="en-US" w:eastAsia="zh-CN" w:bidi="ar"/>
              </w:rPr>
              <w:t>华泾镇</w:t>
            </w:r>
          </w:p>
        </w:tc>
      </w:tr>
      <w:tr>
        <w:trPr>
          <w:trHeight w:val="336" w:hRule="atLeast"/>
        </w:trPr>
        <w:tc>
          <w:tcPr>
            <w:tcW w:w="936"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b w:val="0"/>
                <w:bCs w:val="0"/>
                <w:i w:val="0"/>
                <w:iCs w:val="0"/>
                <w:color w:val="000000"/>
                <w:kern w:val="0"/>
                <w:sz w:val="22"/>
                <w:szCs w:val="22"/>
                <w:u w:val="none"/>
                <w:lang w:val="en-US" w:eastAsia="zh-CN" w:bidi="ar"/>
              </w:rPr>
            </w:pPr>
            <w:r>
              <w:rPr>
                <w:rFonts w:hint="eastAsia" w:ascii="宋体" w:hAnsi="宋体" w:eastAsia="宋体" w:cs="宋体"/>
                <w:b w:val="0"/>
                <w:bCs w:val="0"/>
                <w:i w:val="0"/>
                <w:iCs w:val="0"/>
                <w:color w:val="000000"/>
                <w:kern w:val="0"/>
                <w:sz w:val="22"/>
                <w:szCs w:val="22"/>
                <w:u w:val="none"/>
                <w:lang w:val="en-US" w:eastAsia="zh-CN" w:bidi="ar"/>
              </w:rPr>
              <w:t>4</w:t>
            </w:r>
          </w:p>
        </w:tc>
        <w:tc>
          <w:tcPr>
            <w:tcW w:w="1978"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b w:val="0"/>
                <w:bCs w:val="0"/>
                <w:i w:val="0"/>
                <w:iCs w:val="0"/>
                <w:color w:val="000000"/>
                <w:kern w:val="0"/>
                <w:sz w:val="22"/>
                <w:szCs w:val="22"/>
                <w:u w:val="none"/>
                <w:lang w:val="en-US" w:eastAsia="zh-CN" w:bidi="ar"/>
              </w:rPr>
            </w:pPr>
            <w:r>
              <w:rPr>
                <w:rFonts w:hint="eastAsia" w:ascii="宋体" w:hAnsi="宋体" w:eastAsia="宋体" w:cs="宋体"/>
                <w:b w:val="0"/>
                <w:bCs w:val="0"/>
                <w:i w:val="0"/>
                <w:iCs w:val="0"/>
                <w:color w:val="000000"/>
                <w:kern w:val="0"/>
                <w:sz w:val="22"/>
                <w:szCs w:val="22"/>
                <w:u w:val="none"/>
                <w:lang w:val="en-US" w:eastAsia="zh-CN" w:bidi="ar"/>
              </w:rPr>
              <w:t>罗秀新二村</w:t>
            </w:r>
          </w:p>
        </w:tc>
        <w:tc>
          <w:tcPr>
            <w:tcW w:w="1742"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b w:val="0"/>
                <w:bCs w:val="0"/>
                <w:i w:val="0"/>
                <w:iCs w:val="0"/>
                <w:color w:val="000000"/>
                <w:kern w:val="0"/>
                <w:sz w:val="22"/>
                <w:szCs w:val="22"/>
                <w:u w:val="none"/>
                <w:lang w:val="en-US" w:eastAsia="zh-CN" w:bidi="ar"/>
              </w:rPr>
            </w:pPr>
            <w:r>
              <w:rPr>
                <w:rFonts w:hint="eastAsia" w:ascii="宋体" w:hAnsi="宋体" w:eastAsia="宋体" w:cs="宋体"/>
                <w:b w:val="0"/>
                <w:bCs w:val="0"/>
                <w:i w:val="0"/>
                <w:iCs w:val="0"/>
                <w:color w:val="000000"/>
                <w:kern w:val="0"/>
                <w:sz w:val="22"/>
                <w:szCs w:val="22"/>
                <w:u w:val="none"/>
                <w:lang w:val="en-US" w:eastAsia="zh-CN" w:bidi="ar"/>
              </w:rPr>
              <w:t>274</w:t>
            </w:r>
          </w:p>
        </w:tc>
        <w:tc>
          <w:tcPr>
            <w:tcW w:w="1829"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b w:val="0"/>
                <w:bCs w:val="0"/>
                <w:i w:val="0"/>
                <w:iCs w:val="0"/>
                <w:color w:val="000000"/>
                <w:kern w:val="0"/>
                <w:sz w:val="22"/>
                <w:szCs w:val="22"/>
                <w:u w:val="none"/>
                <w:lang w:val="en-US" w:eastAsia="zh-CN" w:bidi="ar"/>
              </w:rPr>
            </w:pPr>
            <w:r>
              <w:rPr>
                <w:rFonts w:hint="eastAsia" w:ascii="宋体" w:hAnsi="宋体" w:eastAsia="宋体" w:cs="宋体"/>
                <w:b w:val="0"/>
                <w:bCs w:val="0"/>
                <w:i w:val="0"/>
                <w:iCs w:val="0"/>
                <w:color w:val="000000"/>
                <w:kern w:val="0"/>
                <w:sz w:val="22"/>
                <w:szCs w:val="22"/>
                <w:u w:val="none"/>
                <w:lang w:val="en-US" w:eastAsia="zh-CN" w:bidi="ar"/>
              </w:rPr>
              <w:t>0.92</w:t>
            </w:r>
          </w:p>
        </w:tc>
        <w:tc>
          <w:tcPr>
            <w:tcW w:w="1703"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b w:val="0"/>
                <w:bCs w:val="0"/>
                <w:i w:val="0"/>
                <w:iCs w:val="0"/>
                <w:color w:val="000000"/>
                <w:kern w:val="0"/>
                <w:sz w:val="22"/>
                <w:szCs w:val="22"/>
                <w:u w:val="none"/>
                <w:lang w:val="en-US" w:eastAsia="zh-CN" w:bidi="ar"/>
              </w:rPr>
            </w:pPr>
            <w:r>
              <w:rPr>
                <w:rFonts w:hint="eastAsia" w:ascii="宋体" w:hAnsi="宋体" w:eastAsia="宋体" w:cs="宋体"/>
                <w:b w:val="0"/>
                <w:bCs w:val="0"/>
                <w:i w:val="0"/>
                <w:iCs w:val="0"/>
                <w:color w:val="000000"/>
                <w:kern w:val="0"/>
                <w:sz w:val="22"/>
                <w:szCs w:val="22"/>
                <w:u w:val="none"/>
                <w:lang w:val="en-US" w:eastAsia="zh-CN" w:bidi="ar"/>
              </w:rPr>
              <w:t>0.274</w:t>
            </w:r>
          </w:p>
        </w:tc>
        <w:tc>
          <w:tcPr>
            <w:tcW w:w="1703"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b w:val="0"/>
                <w:bCs w:val="0"/>
                <w:i w:val="0"/>
                <w:iCs w:val="0"/>
                <w:color w:val="000000"/>
                <w:kern w:val="0"/>
                <w:sz w:val="22"/>
                <w:szCs w:val="22"/>
                <w:u w:val="none"/>
                <w:lang w:val="en-US" w:eastAsia="zh-CN" w:bidi="ar"/>
              </w:rPr>
            </w:pPr>
            <w:r>
              <w:rPr>
                <w:rFonts w:hint="eastAsia" w:ascii="宋体" w:hAnsi="宋体" w:eastAsia="宋体" w:cs="宋体"/>
                <w:b w:val="0"/>
                <w:bCs w:val="0"/>
                <w:i w:val="0"/>
                <w:iCs w:val="0"/>
                <w:color w:val="000000"/>
                <w:kern w:val="0"/>
                <w:sz w:val="22"/>
                <w:szCs w:val="22"/>
                <w:u w:val="none"/>
                <w:lang w:val="en-US" w:eastAsia="zh-CN" w:bidi="ar"/>
              </w:rPr>
              <w:t>长桥街道</w:t>
            </w:r>
          </w:p>
        </w:tc>
      </w:tr>
      <w:tr>
        <w:trPr>
          <w:trHeight w:val="336" w:hRule="atLeast"/>
        </w:trPr>
        <w:tc>
          <w:tcPr>
            <w:tcW w:w="936"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b w:val="0"/>
                <w:bCs w:val="0"/>
                <w:i w:val="0"/>
                <w:iCs w:val="0"/>
                <w:color w:val="000000"/>
                <w:kern w:val="0"/>
                <w:sz w:val="22"/>
                <w:szCs w:val="22"/>
                <w:u w:val="none"/>
                <w:lang w:val="en-US" w:eastAsia="zh-CN" w:bidi="ar"/>
              </w:rPr>
            </w:pPr>
            <w:r>
              <w:rPr>
                <w:rFonts w:hint="eastAsia" w:ascii="宋体" w:hAnsi="宋体" w:eastAsia="宋体" w:cs="宋体"/>
                <w:b w:val="0"/>
                <w:bCs w:val="0"/>
                <w:i w:val="0"/>
                <w:iCs w:val="0"/>
                <w:color w:val="000000"/>
                <w:kern w:val="0"/>
                <w:sz w:val="22"/>
                <w:szCs w:val="22"/>
                <w:u w:val="none"/>
                <w:lang w:val="en-US" w:eastAsia="zh-CN" w:bidi="ar"/>
              </w:rPr>
              <w:t>5</w:t>
            </w:r>
          </w:p>
        </w:tc>
        <w:tc>
          <w:tcPr>
            <w:tcW w:w="1978"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b w:val="0"/>
                <w:bCs w:val="0"/>
                <w:i w:val="0"/>
                <w:iCs w:val="0"/>
                <w:color w:val="000000"/>
                <w:kern w:val="0"/>
                <w:sz w:val="22"/>
                <w:szCs w:val="22"/>
                <w:u w:val="none"/>
                <w:lang w:val="en-US" w:eastAsia="zh-CN" w:bidi="ar"/>
              </w:rPr>
            </w:pPr>
            <w:r>
              <w:rPr>
                <w:rFonts w:hint="eastAsia" w:ascii="宋体" w:hAnsi="宋体" w:eastAsia="宋体" w:cs="宋体"/>
                <w:b w:val="0"/>
                <w:bCs w:val="0"/>
                <w:i w:val="0"/>
                <w:iCs w:val="0"/>
                <w:color w:val="000000"/>
                <w:kern w:val="0"/>
                <w:sz w:val="22"/>
                <w:szCs w:val="22"/>
                <w:u w:val="none"/>
                <w:lang w:val="en-US" w:eastAsia="zh-CN" w:bidi="ar"/>
              </w:rPr>
              <w:t>悦汇长庭</w:t>
            </w:r>
          </w:p>
        </w:tc>
        <w:tc>
          <w:tcPr>
            <w:tcW w:w="1742"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b w:val="0"/>
                <w:bCs w:val="0"/>
                <w:i w:val="0"/>
                <w:iCs w:val="0"/>
                <w:color w:val="000000"/>
                <w:kern w:val="0"/>
                <w:sz w:val="22"/>
                <w:szCs w:val="22"/>
                <w:u w:val="none"/>
                <w:lang w:val="en-US" w:eastAsia="zh-CN" w:bidi="ar"/>
              </w:rPr>
            </w:pPr>
            <w:r>
              <w:rPr>
                <w:rFonts w:hint="eastAsia" w:ascii="宋体" w:hAnsi="宋体" w:eastAsia="宋体" w:cs="宋体"/>
                <w:b w:val="0"/>
                <w:bCs w:val="0"/>
                <w:i w:val="0"/>
                <w:iCs w:val="0"/>
                <w:color w:val="000000"/>
                <w:kern w:val="0"/>
                <w:sz w:val="22"/>
                <w:szCs w:val="22"/>
                <w:u w:val="none"/>
                <w:lang w:val="en-US" w:eastAsia="zh-CN" w:bidi="ar"/>
              </w:rPr>
              <w:t>265</w:t>
            </w:r>
          </w:p>
        </w:tc>
        <w:tc>
          <w:tcPr>
            <w:tcW w:w="1829"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b w:val="0"/>
                <w:bCs w:val="0"/>
                <w:i w:val="0"/>
                <w:iCs w:val="0"/>
                <w:color w:val="000000"/>
                <w:kern w:val="0"/>
                <w:sz w:val="22"/>
                <w:szCs w:val="22"/>
                <w:u w:val="none"/>
                <w:lang w:val="en-US" w:eastAsia="zh-CN" w:bidi="ar"/>
              </w:rPr>
            </w:pPr>
            <w:r>
              <w:rPr>
                <w:rFonts w:hint="eastAsia" w:ascii="宋体" w:hAnsi="宋体" w:eastAsia="宋体" w:cs="宋体"/>
                <w:b w:val="0"/>
                <w:bCs w:val="0"/>
                <w:i w:val="0"/>
                <w:iCs w:val="0"/>
                <w:color w:val="000000"/>
                <w:kern w:val="0"/>
                <w:sz w:val="22"/>
                <w:szCs w:val="22"/>
                <w:u w:val="none"/>
                <w:lang w:val="en-US" w:eastAsia="zh-CN" w:bidi="ar"/>
              </w:rPr>
              <w:t>0.89</w:t>
            </w:r>
          </w:p>
        </w:tc>
        <w:tc>
          <w:tcPr>
            <w:tcW w:w="1703"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b w:val="0"/>
                <w:bCs w:val="0"/>
                <w:i w:val="0"/>
                <w:iCs w:val="0"/>
                <w:color w:val="000000"/>
                <w:kern w:val="0"/>
                <w:sz w:val="22"/>
                <w:szCs w:val="22"/>
                <w:u w:val="none"/>
                <w:lang w:val="en-US" w:eastAsia="zh-CN" w:bidi="ar"/>
              </w:rPr>
            </w:pPr>
            <w:r>
              <w:rPr>
                <w:rFonts w:hint="eastAsia" w:ascii="宋体" w:hAnsi="宋体" w:eastAsia="宋体" w:cs="宋体"/>
                <w:b w:val="0"/>
                <w:bCs w:val="0"/>
                <w:i w:val="0"/>
                <w:iCs w:val="0"/>
                <w:color w:val="000000"/>
                <w:kern w:val="0"/>
                <w:sz w:val="22"/>
                <w:szCs w:val="22"/>
                <w:u w:val="none"/>
                <w:lang w:val="en-US" w:eastAsia="zh-CN" w:bidi="ar"/>
              </w:rPr>
              <w:t>0.265</w:t>
            </w:r>
          </w:p>
        </w:tc>
        <w:tc>
          <w:tcPr>
            <w:tcW w:w="1703"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b w:val="0"/>
                <w:bCs w:val="0"/>
                <w:i w:val="0"/>
                <w:iCs w:val="0"/>
                <w:color w:val="000000"/>
                <w:kern w:val="0"/>
                <w:sz w:val="22"/>
                <w:szCs w:val="22"/>
                <w:u w:val="none"/>
                <w:lang w:val="en-US" w:eastAsia="zh-CN" w:bidi="ar"/>
              </w:rPr>
            </w:pPr>
            <w:r>
              <w:rPr>
                <w:rFonts w:hint="eastAsia" w:ascii="宋体" w:hAnsi="宋体" w:eastAsia="宋体" w:cs="宋体"/>
                <w:b w:val="0"/>
                <w:bCs w:val="0"/>
                <w:i w:val="0"/>
                <w:iCs w:val="0"/>
                <w:color w:val="000000"/>
                <w:kern w:val="0"/>
                <w:sz w:val="22"/>
                <w:szCs w:val="22"/>
                <w:u w:val="none"/>
                <w:lang w:val="en-US" w:eastAsia="zh-CN" w:bidi="ar"/>
              </w:rPr>
              <w:t>长桥街道</w:t>
            </w:r>
          </w:p>
        </w:tc>
      </w:tr>
      <w:tr>
        <w:trPr>
          <w:trHeight w:val="336" w:hRule="atLeast"/>
        </w:trPr>
        <w:tc>
          <w:tcPr>
            <w:tcW w:w="936"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b w:val="0"/>
                <w:bCs w:val="0"/>
                <w:i w:val="0"/>
                <w:iCs w:val="0"/>
                <w:color w:val="000000"/>
                <w:kern w:val="0"/>
                <w:sz w:val="22"/>
                <w:szCs w:val="22"/>
                <w:u w:val="none"/>
                <w:lang w:val="en-US" w:eastAsia="zh-CN" w:bidi="ar"/>
              </w:rPr>
            </w:pPr>
            <w:r>
              <w:rPr>
                <w:rFonts w:hint="eastAsia" w:ascii="宋体" w:hAnsi="宋体" w:eastAsia="宋体" w:cs="宋体"/>
                <w:b w:val="0"/>
                <w:bCs w:val="0"/>
                <w:i w:val="0"/>
                <w:iCs w:val="0"/>
                <w:color w:val="000000"/>
                <w:kern w:val="0"/>
                <w:sz w:val="22"/>
                <w:szCs w:val="22"/>
                <w:u w:val="none"/>
                <w:lang w:val="en-US" w:eastAsia="zh-CN" w:bidi="ar"/>
              </w:rPr>
              <w:t>6</w:t>
            </w:r>
          </w:p>
        </w:tc>
        <w:tc>
          <w:tcPr>
            <w:tcW w:w="1978"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b w:val="0"/>
                <w:bCs w:val="0"/>
                <w:i w:val="0"/>
                <w:iCs w:val="0"/>
                <w:color w:val="000000"/>
                <w:kern w:val="0"/>
                <w:sz w:val="22"/>
                <w:szCs w:val="22"/>
                <w:u w:val="none"/>
                <w:lang w:val="en-US" w:eastAsia="zh-CN" w:bidi="ar"/>
              </w:rPr>
            </w:pPr>
            <w:r>
              <w:rPr>
                <w:rFonts w:hint="eastAsia" w:ascii="宋体" w:hAnsi="宋体" w:eastAsia="宋体" w:cs="宋体"/>
                <w:b w:val="0"/>
                <w:bCs w:val="0"/>
                <w:i w:val="0"/>
                <w:iCs w:val="0"/>
                <w:color w:val="000000"/>
                <w:kern w:val="0"/>
                <w:sz w:val="22"/>
                <w:szCs w:val="22"/>
                <w:u w:val="none"/>
                <w:lang w:val="en-US" w:eastAsia="zh-CN" w:bidi="ar"/>
              </w:rPr>
              <w:t>馨宁公寓</w:t>
            </w:r>
          </w:p>
        </w:tc>
        <w:tc>
          <w:tcPr>
            <w:tcW w:w="1742"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b w:val="0"/>
                <w:bCs w:val="0"/>
                <w:i w:val="0"/>
                <w:iCs w:val="0"/>
                <w:color w:val="000000"/>
                <w:kern w:val="0"/>
                <w:sz w:val="22"/>
                <w:szCs w:val="22"/>
                <w:u w:val="none"/>
                <w:lang w:val="en-US" w:eastAsia="zh-CN" w:bidi="ar"/>
              </w:rPr>
            </w:pPr>
            <w:r>
              <w:rPr>
                <w:rFonts w:hint="eastAsia" w:ascii="宋体" w:hAnsi="宋体" w:eastAsia="宋体" w:cs="宋体"/>
                <w:b w:val="0"/>
                <w:bCs w:val="0"/>
                <w:i w:val="0"/>
                <w:iCs w:val="0"/>
                <w:color w:val="000000"/>
                <w:kern w:val="0"/>
                <w:sz w:val="22"/>
                <w:szCs w:val="22"/>
                <w:u w:val="none"/>
                <w:lang w:val="en-US" w:eastAsia="zh-CN" w:bidi="ar"/>
              </w:rPr>
              <w:t>229</w:t>
            </w:r>
          </w:p>
        </w:tc>
        <w:tc>
          <w:tcPr>
            <w:tcW w:w="1829"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b w:val="0"/>
                <w:bCs w:val="0"/>
                <w:i w:val="0"/>
                <w:iCs w:val="0"/>
                <w:color w:val="000000"/>
                <w:kern w:val="0"/>
                <w:sz w:val="22"/>
                <w:szCs w:val="22"/>
                <w:u w:val="none"/>
                <w:lang w:val="en-US" w:eastAsia="zh-CN" w:bidi="ar"/>
              </w:rPr>
            </w:pPr>
            <w:r>
              <w:rPr>
                <w:rFonts w:hint="eastAsia" w:ascii="宋体" w:hAnsi="宋体" w:eastAsia="宋体" w:cs="宋体"/>
                <w:b w:val="0"/>
                <w:bCs w:val="0"/>
                <w:i w:val="0"/>
                <w:iCs w:val="0"/>
                <w:color w:val="000000"/>
                <w:kern w:val="0"/>
                <w:sz w:val="22"/>
                <w:szCs w:val="22"/>
                <w:u w:val="none"/>
                <w:lang w:val="en-US" w:eastAsia="zh-CN" w:bidi="ar"/>
              </w:rPr>
              <w:t>0.77</w:t>
            </w:r>
          </w:p>
        </w:tc>
        <w:tc>
          <w:tcPr>
            <w:tcW w:w="1703"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b w:val="0"/>
                <w:bCs w:val="0"/>
                <w:i w:val="0"/>
                <w:iCs w:val="0"/>
                <w:color w:val="000000"/>
                <w:kern w:val="0"/>
                <w:sz w:val="22"/>
                <w:szCs w:val="22"/>
                <w:u w:val="none"/>
                <w:lang w:val="en-US" w:eastAsia="zh-CN" w:bidi="ar"/>
              </w:rPr>
            </w:pPr>
            <w:r>
              <w:rPr>
                <w:rFonts w:hint="eastAsia" w:ascii="宋体" w:hAnsi="宋体" w:eastAsia="宋体" w:cs="宋体"/>
                <w:b w:val="0"/>
                <w:bCs w:val="0"/>
                <w:i w:val="0"/>
                <w:iCs w:val="0"/>
                <w:color w:val="000000"/>
                <w:kern w:val="0"/>
                <w:sz w:val="22"/>
                <w:szCs w:val="22"/>
                <w:u w:val="none"/>
                <w:lang w:val="en-US" w:eastAsia="zh-CN" w:bidi="ar"/>
              </w:rPr>
              <w:t>0.229</w:t>
            </w:r>
          </w:p>
        </w:tc>
        <w:tc>
          <w:tcPr>
            <w:tcW w:w="1703"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b w:val="0"/>
                <w:bCs w:val="0"/>
                <w:i w:val="0"/>
                <w:iCs w:val="0"/>
                <w:color w:val="000000"/>
                <w:kern w:val="0"/>
                <w:sz w:val="22"/>
                <w:szCs w:val="22"/>
                <w:u w:val="none"/>
                <w:lang w:val="en-US" w:eastAsia="zh-CN" w:bidi="ar"/>
              </w:rPr>
            </w:pPr>
            <w:r>
              <w:rPr>
                <w:rFonts w:hint="eastAsia" w:ascii="宋体" w:hAnsi="宋体" w:eastAsia="宋体" w:cs="宋体"/>
                <w:b w:val="0"/>
                <w:bCs w:val="0"/>
                <w:i w:val="0"/>
                <w:iCs w:val="0"/>
                <w:color w:val="000000"/>
                <w:kern w:val="0"/>
                <w:sz w:val="22"/>
                <w:szCs w:val="22"/>
                <w:u w:val="none"/>
                <w:lang w:val="en-US" w:eastAsia="zh-CN" w:bidi="ar"/>
              </w:rPr>
              <w:t>华泾镇</w:t>
            </w:r>
          </w:p>
        </w:tc>
      </w:tr>
      <w:tr>
        <w:trPr>
          <w:trHeight w:val="336" w:hRule="atLeast"/>
        </w:trPr>
        <w:tc>
          <w:tcPr>
            <w:tcW w:w="936"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b w:val="0"/>
                <w:bCs w:val="0"/>
                <w:i w:val="0"/>
                <w:iCs w:val="0"/>
                <w:color w:val="000000"/>
                <w:kern w:val="0"/>
                <w:sz w:val="22"/>
                <w:szCs w:val="22"/>
                <w:u w:val="none"/>
                <w:lang w:val="en-US" w:eastAsia="zh-CN" w:bidi="ar"/>
              </w:rPr>
            </w:pPr>
            <w:r>
              <w:rPr>
                <w:rFonts w:hint="eastAsia" w:ascii="宋体" w:hAnsi="宋体" w:eastAsia="宋体" w:cs="宋体"/>
                <w:b w:val="0"/>
                <w:bCs w:val="0"/>
                <w:i w:val="0"/>
                <w:iCs w:val="0"/>
                <w:color w:val="000000"/>
                <w:kern w:val="0"/>
                <w:sz w:val="22"/>
                <w:szCs w:val="22"/>
                <w:u w:val="none"/>
                <w:lang w:val="en-US" w:eastAsia="zh-CN" w:bidi="ar"/>
              </w:rPr>
              <w:t>7</w:t>
            </w:r>
          </w:p>
        </w:tc>
        <w:tc>
          <w:tcPr>
            <w:tcW w:w="1978"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b w:val="0"/>
                <w:bCs w:val="0"/>
                <w:i w:val="0"/>
                <w:iCs w:val="0"/>
                <w:color w:val="000000"/>
                <w:kern w:val="0"/>
                <w:sz w:val="22"/>
                <w:szCs w:val="22"/>
                <w:u w:val="none"/>
                <w:lang w:val="en-US" w:eastAsia="zh-CN" w:bidi="ar"/>
              </w:rPr>
            </w:pPr>
            <w:r>
              <w:rPr>
                <w:rFonts w:hint="eastAsia" w:ascii="宋体" w:hAnsi="宋体" w:eastAsia="宋体" w:cs="宋体"/>
                <w:b w:val="0"/>
                <w:bCs w:val="0"/>
                <w:i w:val="0"/>
                <w:iCs w:val="0"/>
                <w:color w:val="000000"/>
                <w:kern w:val="0"/>
                <w:sz w:val="22"/>
                <w:szCs w:val="22"/>
                <w:u w:val="none"/>
                <w:lang w:val="en-US" w:eastAsia="zh-CN" w:bidi="ar"/>
              </w:rPr>
              <w:t>华悦家园</w:t>
            </w:r>
          </w:p>
        </w:tc>
        <w:tc>
          <w:tcPr>
            <w:tcW w:w="1742"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b w:val="0"/>
                <w:bCs w:val="0"/>
                <w:i w:val="0"/>
                <w:iCs w:val="0"/>
                <w:color w:val="000000"/>
                <w:kern w:val="0"/>
                <w:sz w:val="22"/>
                <w:szCs w:val="22"/>
                <w:u w:val="none"/>
                <w:lang w:val="en-US" w:eastAsia="zh-CN" w:bidi="ar"/>
              </w:rPr>
            </w:pPr>
            <w:r>
              <w:rPr>
                <w:rFonts w:hint="eastAsia" w:ascii="宋体" w:hAnsi="宋体" w:eastAsia="宋体" w:cs="宋体"/>
                <w:b w:val="0"/>
                <w:bCs w:val="0"/>
                <w:i w:val="0"/>
                <w:iCs w:val="0"/>
                <w:color w:val="000000"/>
                <w:kern w:val="0"/>
                <w:sz w:val="22"/>
                <w:szCs w:val="22"/>
                <w:u w:val="none"/>
                <w:lang w:val="en-US" w:eastAsia="zh-CN" w:bidi="ar"/>
              </w:rPr>
              <w:t>225</w:t>
            </w:r>
          </w:p>
        </w:tc>
        <w:tc>
          <w:tcPr>
            <w:tcW w:w="1829"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b w:val="0"/>
                <w:bCs w:val="0"/>
                <w:i w:val="0"/>
                <w:iCs w:val="0"/>
                <w:color w:val="000000"/>
                <w:kern w:val="0"/>
                <w:sz w:val="22"/>
                <w:szCs w:val="22"/>
                <w:u w:val="none"/>
                <w:lang w:val="en-US" w:eastAsia="zh-CN" w:bidi="ar"/>
              </w:rPr>
            </w:pPr>
            <w:r>
              <w:rPr>
                <w:rFonts w:hint="eastAsia" w:ascii="宋体" w:hAnsi="宋体" w:eastAsia="宋体" w:cs="宋体"/>
                <w:b w:val="0"/>
                <w:bCs w:val="0"/>
                <w:i w:val="0"/>
                <w:iCs w:val="0"/>
                <w:color w:val="000000"/>
                <w:kern w:val="0"/>
                <w:sz w:val="22"/>
                <w:szCs w:val="22"/>
                <w:u w:val="none"/>
                <w:lang w:val="en-US" w:eastAsia="zh-CN" w:bidi="ar"/>
              </w:rPr>
              <w:t>0.76</w:t>
            </w:r>
          </w:p>
        </w:tc>
        <w:tc>
          <w:tcPr>
            <w:tcW w:w="1703"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b w:val="0"/>
                <w:bCs w:val="0"/>
                <w:i w:val="0"/>
                <w:iCs w:val="0"/>
                <w:color w:val="000000"/>
                <w:kern w:val="0"/>
                <w:sz w:val="22"/>
                <w:szCs w:val="22"/>
                <w:u w:val="none"/>
                <w:lang w:val="en-US" w:eastAsia="zh-CN" w:bidi="ar"/>
              </w:rPr>
            </w:pPr>
            <w:r>
              <w:rPr>
                <w:rFonts w:hint="eastAsia" w:ascii="宋体" w:hAnsi="宋体" w:eastAsia="宋体" w:cs="宋体"/>
                <w:b w:val="0"/>
                <w:bCs w:val="0"/>
                <w:i w:val="0"/>
                <w:iCs w:val="0"/>
                <w:color w:val="000000"/>
                <w:kern w:val="0"/>
                <w:sz w:val="22"/>
                <w:szCs w:val="22"/>
                <w:u w:val="none"/>
                <w:lang w:val="en-US" w:eastAsia="zh-CN" w:bidi="ar"/>
              </w:rPr>
              <w:t>0.225</w:t>
            </w:r>
          </w:p>
        </w:tc>
        <w:tc>
          <w:tcPr>
            <w:tcW w:w="1703"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b w:val="0"/>
                <w:bCs w:val="0"/>
                <w:i w:val="0"/>
                <w:iCs w:val="0"/>
                <w:color w:val="000000"/>
                <w:kern w:val="0"/>
                <w:sz w:val="22"/>
                <w:szCs w:val="22"/>
                <w:u w:val="none"/>
                <w:lang w:val="en-US" w:eastAsia="zh-CN" w:bidi="ar"/>
              </w:rPr>
            </w:pPr>
            <w:r>
              <w:rPr>
                <w:rFonts w:hint="eastAsia" w:ascii="宋体" w:hAnsi="宋体" w:eastAsia="宋体" w:cs="宋体"/>
                <w:b w:val="0"/>
                <w:bCs w:val="0"/>
                <w:i w:val="0"/>
                <w:iCs w:val="0"/>
                <w:color w:val="000000"/>
                <w:kern w:val="0"/>
                <w:sz w:val="22"/>
                <w:szCs w:val="22"/>
                <w:u w:val="none"/>
                <w:lang w:val="en-US" w:eastAsia="zh-CN" w:bidi="ar"/>
              </w:rPr>
              <w:t>虹梅路街道</w:t>
            </w:r>
          </w:p>
        </w:tc>
      </w:tr>
      <w:tr>
        <w:trPr>
          <w:trHeight w:val="336" w:hRule="atLeast"/>
        </w:trPr>
        <w:tc>
          <w:tcPr>
            <w:tcW w:w="936"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b w:val="0"/>
                <w:bCs w:val="0"/>
                <w:i w:val="0"/>
                <w:iCs w:val="0"/>
                <w:color w:val="000000"/>
                <w:kern w:val="0"/>
                <w:sz w:val="22"/>
                <w:szCs w:val="22"/>
                <w:u w:val="none"/>
                <w:lang w:val="en-US" w:eastAsia="zh-CN" w:bidi="ar"/>
              </w:rPr>
            </w:pPr>
            <w:r>
              <w:rPr>
                <w:rFonts w:hint="eastAsia" w:ascii="宋体" w:hAnsi="宋体" w:eastAsia="宋体" w:cs="宋体"/>
                <w:b w:val="0"/>
                <w:bCs w:val="0"/>
                <w:i w:val="0"/>
                <w:iCs w:val="0"/>
                <w:color w:val="000000"/>
                <w:kern w:val="0"/>
                <w:sz w:val="22"/>
                <w:szCs w:val="22"/>
                <w:u w:val="none"/>
                <w:lang w:val="en-US" w:eastAsia="zh-CN" w:bidi="ar"/>
              </w:rPr>
              <w:t>8</w:t>
            </w:r>
          </w:p>
        </w:tc>
        <w:tc>
          <w:tcPr>
            <w:tcW w:w="1978"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b w:val="0"/>
                <w:bCs w:val="0"/>
                <w:i w:val="0"/>
                <w:iCs w:val="0"/>
                <w:color w:val="000000"/>
                <w:kern w:val="0"/>
                <w:sz w:val="22"/>
                <w:szCs w:val="22"/>
                <w:u w:val="none"/>
                <w:lang w:val="en-US" w:eastAsia="zh-CN" w:bidi="ar"/>
              </w:rPr>
            </w:pPr>
            <w:r>
              <w:rPr>
                <w:rFonts w:hint="eastAsia" w:ascii="宋体" w:hAnsi="宋体" w:eastAsia="宋体" w:cs="宋体"/>
                <w:b w:val="0"/>
                <w:bCs w:val="0"/>
                <w:i w:val="0"/>
                <w:iCs w:val="0"/>
                <w:color w:val="000000"/>
                <w:kern w:val="0"/>
                <w:sz w:val="22"/>
                <w:szCs w:val="22"/>
                <w:u w:val="none"/>
                <w:lang w:val="en-US" w:eastAsia="zh-CN" w:bidi="ar"/>
              </w:rPr>
              <w:t>宛龙小区</w:t>
            </w:r>
          </w:p>
        </w:tc>
        <w:tc>
          <w:tcPr>
            <w:tcW w:w="1742"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b w:val="0"/>
                <w:bCs w:val="0"/>
                <w:i w:val="0"/>
                <w:iCs w:val="0"/>
                <w:color w:val="000000"/>
                <w:kern w:val="0"/>
                <w:sz w:val="22"/>
                <w:szCs w:val="22"/>
                <w:u w:val="none"/>
                <w:lang w:val="en-US" w:eastAsia="zh-CN" w:bidi="ar"/>
              </w:rPr>
            </w:pPr>
            <w:r>
              <w:rPr>
                <w:rFonts w:hint="eastAsia" w:ascii="宋体" w:hAnsi="宋体" w:eastAsia="宋体" w:cs="宋体"/>
                <w:b w:val="0"/>
                <w:bCs w:val="0"/>
                <w:i w:val="0"/>
                <w:iCs w:val="0"/>
                <w:color w:val="000000"/>
                <w:kern w:val="0"/>
                <w:sz w:val="22"/>
                <w:szCs w:val="22"/>
                <w:u w:val="none"/>
                <w:lang w:val="en-US" w:eastAsia="zh-CN" w:bidi="ar"/>
              </w:rPr>
              <w:t>221</w:t>
            </w:r>
          </w:p>
        </w:tc>
        <w:tc>
          <w:tcPr>
            <w:tcW w:w="1829"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b w:val="0"/>
                <w:bCs w:val="0"/>
                <w:i w:val="0"/>
                <w:iCs w:val="0"/>
                <w:color w:val="000000"/>
                <w:kern w:val="0"/>
                <w:sz w:val="22"/>
                <w:szCs w:val="22"/>
                <w:u w:val="none"/>
                <w:lang w:val="en-US" w:eastAsia="zh-CN" w:bidi="ar"/>
              </w:rPr>
            </w:pPr>
            <w:r>
              <w:rPr>
                <w:rFonts w:hint="eastAsia" w:ascii="宋体" w:hAnsi="宋体" w:eastAsia="宋体" w:cs="宋体"/>
                <w:b w:val="0"/>
                <w:bCs w:val="0"/>
                <w:i w:val="0"/>
                <w:iCs w:val="0"/>
                <w:color w:val="000000"/>
                <w:kern w:val="0"/>
                <w:sz w:val="22"/>
                <w:szCs w:val="22"/>
                <w:u w:val="none"/>
                <w:lang w:val="en-US" w:eastAsia="zh-CN" w:bidi="ar"/>
              </w:rPr>
              <w:t>0.74</w:t>
            </w:r>
          </w:p>
        </w:tc>
        <w:tc>
          <w:tcPr>
            <w:tcW w:w="1703"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b w:val="0"/>
                <w:bCs w:val="0"/>
                <w:i w:val="0"/>
                <w:iCs w:val="0"/>
                <w:color w:val="000000"/>
                <w:kern w:val="0"/>
                <w:sz w:val="22"/>
                <w:szCs w:val="22"/>
                <w:u w:val="none"/>
                <w:lang w:val="en-US" w:eastAsia="zh-CN" w:bidi="ar"/>
              </w:rPr>
            </w:pPr>
            <w:r>
              <w:rPr>
                <w:rFonts w:hint="eastAsia" w:ascii="宋体" w:hAnsi="宋体" w:eastAsia="宋体" w:cs="宋体"/>
                <w:b w:val="0"/>
                <w:bCs w:val="0"/>
                <w:i w:val="0"/>
                <w:iCs w:val="0"/>
                <w:color w:val="000000"/>
                <w:kern w:val="0"/>
                <w:sz w:val="22"/>
                <w:szCs w:val="22"/>
                <w:u w:val="none"/>
                <w:lang w:val="en-US" w:eastAsia="zh-CN" w:bidi="ar"/>
              </w:rPr>
              <w:t>0.221</w:t>
            </w:r>
          </w:p>
        </w:tc>
        <w:tc>
          <w:tcPr>
            <w:tcW w:w="1703"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b w:val="0"/>
                <w:bCs w:val="0"/>
                <w:i w:val="0"/>
                <w:iCs w:val="0"/>
                <w:color w:val="000000"/>
                <w:kern w:val="0"/>
                <w:sz w:val="22"/>
                <w:szCs w:val="22"/>
                <w:u w:val="none"/>
                <w:lang w:val="en-US" w:eastAsia="zh-CN" w:bidi="ar"/>
              </w:rPr>
            </w:pPr>
            <w:r>
              <w:rPr>
                <w:rFonts w:hint="eastAsia" w:ascii="宋体" w:hAnsi="宋体" w:eastAsia="宋体" w:cs="宋体"/>
                <w:b w:val="0"/>
                <w:bCs w:val="0"/>
                <w:i w:val="0"/>
                <w:iCs w:val="0"/>
                <w:color w:val="000000"/>
                <w:kern w:val="0"/>
                <w:sz w:val="22"/>
                <w:szCs w:val="22"/>
                <w:u w:val="none"/>
                <w:lang w:val="en-US" w:eastAsia="zh-CN" w:bidi="ar"/>
              </w:rPr>
              <w:t>枫林路街道</w:t>
            </w:r>
          </w:p>
        </w:tc>
      </w:tr>
      <w:tr>
        <w:trPr>
          <w:trHeight w:val="336" w:hRule="atLeast"/>
        </w:trPr>
        <w:tc>
          <w:tcPr>
            <w:tcW w:w="936"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b w:val="0"/>
                <w:bCs w:val="0"/>
                <w:i w:val="0"/>
                <w:iCs w:val="0"/>
                <w:color w:val="000000"/>
                <w:kern w:val="0"/>
                <w:sz w:val="22"/>
                <w:szCs w:val="22"/>
                <w:u w:val="none"/>
                <w:lang w:val="en-US" w:eastAsia="zh-CN" w:bidi="ar"/>
              </w:rPr>
            </w:pPr>
            <w:r>
              <w:rPr>
                <w:rFonts w:hint="eastAsia" w:ascii="宋体" w:hAnsi="宋体" w:eastAsia="宋体" w:cs="宋体"/>
                <w:b w:val="0"/>
                <w:bCs w:val="0"/>
                <w:i w:val="0"/>
                <w:iCs w:val="0"/>
                <w:color w:val="000000"/>
                <w:kern w:val="0"/>
                <w:sz w:val="22"/>
                <w:szCs w:val="22"/>
                <w:u w:val="none"/>
                <w:lang w:val="en-US" w:eastAsia="zh-CN" w:bidi="ar"/>
              </w:rPr>
              <w:t>9</w:t>
            </w:r>
          </w:p>
        </w:tc>
        <w:tc>
          <w:tcPr>
            <w:tcW w:w="1978"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b w:val="0"/>
                <w:bCs w:val="0"/>
                <w:i w:val="0"/>
                <w:iCs w:val="0"/>
                <w:color w:val="000000"/>
                <w:kern w:val="0"/>
                <w:sz w:val="22"/>
                <w:szCs w:val="22"/>
                <w:u w:val="none"/>
                <w:lang w:val="en-US" w:eastAsia="zh-CN" w:bidi="ar"/>
              </w:rPr>
            </w:pPr>
            <w:r>
              <w:rPr>
                <w:rFonts w:hint="eastAsia" w:ascii="宋体" w:hAnsi="宋体" w:eastAsia="宋体" w:cs="宋体"/>
                <w:b w:val="0"/>
                <w:bCs w:val="0"/>
                <w:i w:val="0"/>
                <w:iCs w:val="0"/>
                <w:color w:val="000000"/>
                <w:kern w:val="0"/>
                <w:sz w:val="22"/>
                <w:szCs w:val="22"/>
                <w:u w:val="none"/>
                <w:lang w:val="en-US" w:eastAsia="zh-CN" w:bidi="ar"/>
              </w:rPr>
              <w:t>龙山新村</w:t>
            </w:r>
          </w:p>
        </w:tc>
        <w:tc>
          <w:tcPr>
            <w:tcW w:w="1742"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b w:val="0"/>
                <w:bCs w:val="0"/>
                <w:i w:val="0"/>
                <w:iCs w:val="0"/>
                <w:color w:val="000000"/>
                <w:kern w:val="0"/>
                <w:sz w:val="22"/>
                <w:szCs w:val="22"/>
                <w:u w:val="none"/>
                <w:lang w:val="en-US" w:eastAsia="zh-CN" w:bidi="ar"/>
              </w:rPr>
            </w:pPr>
            <w:r>
              <w:rPr>
                <w:rFonts w:hint="eastAsia" w:ascii="宋体" w:hAnsi="宋体" w:eastAsia="宋体" w:cs="宋体"/>
                <w:b w:val="0"/>
                <w:bCs w:val="0"/>
                <w:i w:val="0"/>
                <w:iCs w:val="0"/>
                <w:color w:val="000000"/>
                <w:kern w:val="0"/>
                <w:sz w:val="22"/>
                <w:szCs w:val="22"/>
                <w:u w:val="none"/>
                <w:lang w:val="en-US" w:eastAsia="zh-CN" w:bidi="ar"/>
              </w:rPr>
              <w:t>213</w:t>
            </w:r>
          </w:p>
        </w:tc>
        <w:tc>
          <w:tcPr>
            <w:tcW w:w="1829"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b w:val="0"/>
                <w:bCs w:val="0"/>
                <w:i w:val="0"/>
                <w:iCs w:val="0"/>
                <w:color w:val="000000"/>
                <w:kern w:val="0"/>
                <w:sz w:val="22"/>
                <w:szCs w:val="22"/>
                <w:u w:val="none"/>
                <w:lang w:val="en-US" w:eastAsia="zh-CN" w:bidi="ar"/>
              </w:rPr>
            </w:pPr>
            <w:r>
              <w:rPr>
                <w:rFonts w:hint="eastAsia" w:ascii="宋体" w:hAnsi="宋体" w:eastAsia="宋体" w:cs="宋体"/>
                <w:b w:val="0"/>
                <w:bCs w:val="0"/>
                <w:i w:val="0"/>
                <w:iCs w:val="0"/>
                <w:color w:val="000000"/>
                <w:kern w:val="0"/>
                <w:sz w:val="22"/>
                <w:szCs w:val="22"/>
                <w:u w:val="none"/>
                <w:lang w:val="en-US" w:eastAsia="zh-CN" w:bidi="ar"/>
              </w:rPr>
              <w:t>0.71</w:t>
            </w:r>
          </w:p>
        </w:tc>
        <w:tc>
          <w:tcPr>
            <w:tcW w:w="1703"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b w:val="0"/>
                <w:bCs w:val="0"/>
                <w:i w:val="0"/>
                <w:iCs w:val="0"/>
                <w:color w:val="000000"/>
                <w:kern w:val="0"/>
                <w:sz w:val="22"/>
                <w:szCs w:val="22"/>
                <w:u w:val="none"/>
                <w:lang w:val="en-US" w:eastAsia="zh-CN" w:bidi="ar"/>
              </w:rPr>
            </w:pPr>
            <w:r>
              <w:rPr>
                <w:rFonts w:hint="eastAsia" w:ascii="宋体" w:hAnsi="宋体" w:eastAsia="宋体" w:cs="宋体"/>
                <w:b w:val="0"/>
                <w:bCs w:val="0"/>
                <w:i w:val="0"/>
                <w:iCs w:val="0"/>
                <w:color w:val="000000"/>
                <w:kern w:val="0"/>
                <w:sz w:val="22"/>
                <w:szCs w:val="22"/>
                <w:u w:val="none"/>
                <w:lang w:val="en-US" w:eastAsia="zh-CN" w:bidi="ar"/>
              </w:rPr>
              <w:t>0.213</w:t>
            </w:r>
          </w:p>
        </w:tc>
        <w:tc>
          <w:tcPr>
            <w:tcW w:w="1703"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b w:val="0"/>
                <w:bCs w:val="0"/>
                <w:i w:val="0"/>
                <w:iCs w:val="0"/>
                <w:color w:val="000000"/>
                <w:kern w:val="0"/>
                <w:sz w:val="22"/>
                <w:szCs w:val="22"/>
                <w:u w:val="none"/>
                <w:lang w:val="en-US" w:eastAsia="zh-CN" w:bidi="ar"/>
              </w:rPr>
            </w:pPr>
            <w:r>
              <w:rPr>
                <w:rFonts w:hint="eastAsia" w:ascii="宋体" w:hAnsi="宋体" w:eastAsia="宋体" w:cs="宋体"/>
                <w:b w:val="0"/>
                <w:bCs w:val="0"/>
                <w:i w:val="0"/>
                <w:iCs w:val="0"/>
                <w:color w:val="000000"/>
                <w:kern w:val="0"/>
                <w:sz w:val="22"/>
                <w:szCs w:val="22"/>
                <w:u w:val="none"/>
                <w:lang w:val="en-US" w:eastAsia="zh-CN" w:bidi="ar"/>
              </w:rPr>
              <w:t>枫林路街道</w:t>
            </w:r>
          </w:p>
        </w:tc>
      </w:tr>
      <w:tr>
        <w:trPr>
          <w:trHeight w:val="336" w:hRule="atLeast"/>
        </w:trPr>
        <w:tc>
          <w:tcPr>
            <w:tcW w:w="936"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b w:val="0"/>
                <w:bCs w:val="0"/>
                <w:i w:val="0"/>
                <w:iCs w:val="0"/>
                <w:color w:val="000000"/>
                <w:kern w:val="0"/>
                <w:sz w:val="22"/>
                <w:szCs w:val="22"/>
                <w:u w:val="none"/>
                <w:lang w:val="en-US" w:eastAsia="zh-CN" w:bidi="ar"/>
              </w:rPr>
            </w:pPr>
            <w:r>
              <w:rPr>
                <w:rFonts w:hint="eastAsia" w:ascii="宋体" w:hAnsi="宋体" w:eastAsia="宋体" w:cs="宋体"/>
                <w:b w:val="0"/>
                <w:bCs w:val="0"/>
                <w:i w:val="0"/>
                <w:iCs w:val="0"/>
                <w:color w:val="000000"/>
                <w:kern w:val="0"/>
                <w:sz w:val="22"/>
                <w:szCs w:val="22"/>
                <w:u w:val="none"/>
                <w:lang w:val="en-US" w:eastAsia="zh-CN" w:bidi="ar"/>
              </w:rPr>
              <w:t>10</w:t>
            </w:r>
          </w:p>
        </w:tc>
        <w:tc>
          <w:tcPr>
            <w:tcW w:w="1978"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b w:val="0"/>
                <w:bCs w:val="0"/>
                <w:i w:val="0"/>
                <w:iCs w:val="0"/>
                <w:color w:val="000000"/>
                <w:kern w:val="0"/>
                <w:sz w:val="22"/>
                <w:szCs w:val="22"/>
                <w:u w:val="none"/>
                <w:lang w:val="en-US" w:eastAsia="zh-CN" w:bidi="ar"/>
              </w:rPr>
            </w:pPr>
            <w:r>
              <w:rPr>
                <w:rFonts w:hint="eastAsia" w:ascii="宋体" w:hAnsi="宋体" w:eastAsia="宋体" w:cs="宋体"/>
                <w:b w:val="0"/>
                <w:bCs w:val="0"/>
                <w:i w:val="0"/>
                <w:iCs w:val="0"/>
                <w:color w:val="000000"/>
                <w:kern w:val="0"/>
                <w:sz w:val="22"/>
                <w:szCs w:val="22"/>
                <w:u w:val="none"/>
                <w:lang w:val="en-US" w:eastAsia="zh-CN" w:bidi="ar"/>
              </w:rPr>
              <w:t>鑫桂苑·侨高中心</w:t>
            </w:r>
          </w:p>
        </w:tc>
        <w:tc>
          <w:tcPr>
            <w:tcW w:w="1742"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b w:val="0"/>
                <w:bCs w:val="0"/>
                <w:i w:val="0"/>
                <w:iCs w:val="0"/>
                <w:color w:val="000000"/>
                <w:kern w:val="0"/>
                <w:sz w:val="22"/>
                <w:szCs w:val="22"/>
                <w:u w:val="none"/>
                <w:lang w:val="en-US" w:eastAsia="zh-CN" w:bidi="ar"/>
              </w:rPr>
            </w:pPr>
            <w:r>
              <w:rPr>
                <w:rFonts w:hint="eastAsia" w:ascii="宋体" w:hAnsi="宋体" w:eastAsia="宋体" w:cs="宋体"/>
                <w:b w:val="0"/>
                <w:bCs w:val="0"/>
                <w:i w:val="0"/>
                <w:iCs w:val="0"/>
                <w:color w:val="000000"/>
                <w:kern w:val="0"/>
                <w:sz w:val="22"/>
                <w:szCs w:val="22"/>
                <w:u w:val="none"/>
                <w:lang w:val="en-US" w:eastAsia="zh-CN" w:bidi="ar"/>
              </w:rPr>
              <w:t>208</w:t>
            </w:r>
          </w:p>
        </w:tc>
        <w:tc>
          <w:tcPr>
            <w:tcW w:w="1829"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b w:val="0"/>
                <w:bCs w:val="0"/>
                <w:i w:val="0"/>
                <w:iCs w:val="0"/>
                <w:color w:val="000000"/>
                <w:kern w:val="0"/>
                <w:sz w:val="22"/>
                <w:szCs w:val="22"/>
                <w:u w:val="none"/>
                <w:lang w:val="en-US" w:eastAsia="zh-CN" w:bidi="ar"/>
              </w:rPr>
            </w:pPr>
            <w:r>
              <w:rPr>
                <w:rFonts w:hint="eastAsia" w:ascii="宋体" w:hAnsi="宋体" w:eastAsia="宋体" w:cs="宋体"/>
                <w:b w:val="0"/>
                <w:bCs w:val="0"/>
                <w:i w:val="0"/>
                <w:iCs w:val="0"/>
                <w:color w:val="000000"/>
                <w:kern w:val="0"/>
                <w:sz w:val="22"/>
                <w:szCs w:val="22"/>
                <w:u w:val="none"/>
                <w:lang w:val="en-US" w:eastAsia="zh-CN" w:bidi="ar"/>
              </w:rPr>
              <w:t>0.7</w:t>
            </w:r>
          </w:p>
        </w:tc>
        <w:tc>
          <w:tcPr>
            <w:tcW w:w="1703"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b w:val="0"/>
                <w:bCs w:val="0"/>
                <w:i w:val="0"/>
                <w:iCs w:val="0"/>
                <w:color w:val="000000"/>
                <w:kern w:val="0"/>
                <w:sz w:val="22"/>
                <w:szCs w:val="22"/>
                <w:u w:val="none"/>
                <w:lang w:val="en-US" w:eastAsia="zh-CN" w:bidi="ar"/>
              </w:rPr>
            </w:pPr>
            <w:r>
              <w:rPr>
                <w:rFonts w:hint="eastAsia" w:ascii="宋体" w:hAnsi="宋体" w:eastAsia="宋体" w:cs="宋体"/>
                <w:b w:val="0"/>
                <w:bCs w:val="0"/>
                <w:i w:val="0"/>
                <w:iCs w:val="0"/>
                <w:color w:val="000000"/>
                <w:kern w:val="0"/>
                <w:sz w:val="22"/>
                <w:szCs w:val="22"/>
                <w:u w:val="none"/>
                <w:lang w:val="en-US" w:eastAsia="zh-CN" w:bidi="ar"/>
              </w:rPr>
              <w:t>0.208</w:t>
            </w:r>
          </w:p>
        </w:tc>
        <w:tc>
          <w:tcPr>
            <w:tcW w:w="1703"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b w:val="0"/>
                <w:bCs w:val="0"/>
                <w:i w:val="0"/>
                <w:iCs w:val="0"/>
                <w:color w:val="000000"/>
                <w:kern w:val="0"/>
                <w:sz w:val="22"/>
                <w:szCs w:val="22"/>
                <w:u w:val="none"/>
                <w:lang w:val="en-US" w:eastAsia="zh-CN" w:bidi="ar"/>
              </w:rPr>
            </w:pPr>
            <w:r>
              <w:rPr>
                <w:rFonts w:hint="eastAsia" w:ascii="宋体" w:hAnsi="宋体" w:eastAsia="宋体" w:cs="宋体"/>
                <w:b w:val="0"/>
                <w:bCs w:val="0"/>
                <w:i w:val="0"/>
                <w:iCs w:val="0"/>
                <w:color w:val="000000"/>
                <w:kern w:val="0"/>
                <w:sz w:val="22"/>
                <w:szCs w:val="22"/>
                <w:u w:val="none"/>
                <w:lang w:val="en-US" w:eastAsia="zh-CN" w:bidi="ar"/>
              </w:rPr>
              <w:t>虹梅路街道</w:t>
            </w:r>
          </w:p>
        </w:tc>
      </w:tr>
    </w:tbl>
    <w:p>
      <w:pPr>
        <w:spacing w:before="120" w:after="120" w:line="288" w:lineRule="auto"/>
        <w:ind w:left="0"/>
        <w:jc w:val="left"/>
        <w:rPr>
          <w:rFonts w:ascii="Arial" w:hAnsi="Arial" w:eastAsia="等线" w:cs="Arial"/>
          <w:sz w:val="22"/>
        </w:rPr>
      </w:pPr>
    </w:p>
    <w:p>
      <w:pPr>
        <w:spacing w:before="120" w:after="120" w:line="360" w:lineRule="auto"/>
        <w:ind w:left="0"/>
        <w:jc w:val="left"/>
        <w:rPr>
          <w:rFonts w:hint="eastAsia" w:ascii="宋体" w:hAnsi="宋体" w:eastAsia="宋体" w:cs="宋体"/>
          <w:sz w:val="28"/>
          <w:szCs w:val="28"/>
        </w:rPr>
      </w:pPr>
      <w:bookmarkStart w:id="13" w:name="heading_13"/>
      <w:r>
        <w:rPr>
          <w:rFonts w:hint="eastAsia" w:ascii="宋体" w:hAnsi="宋体" w:eastAsia="宋体" w:cs="宋体"/>
          <w:sz w:val="28"/>
          <w:szCs w:val="28"/>
        </w:rPr>
        <w:t>核心诉求高发小区以建成多年的老旧小区、混合型小区为主，这类小区普遍存在设施老化、居住密度高、出租率偏高、服务供需不匹配等问题，是物业管理治理的重点与难点区域。2025年工单量前10名合计核心诉求工单2830条，占全区核心诉求总量的12.0%。虽整体占比可控，但单小区最高工单量达448条，且多数小区诉求集中性强，集中反映了老旧及混合型小区的共性治理难题，需重点攻坚。</w:t>
      </w:r>
    </w:p>
    <w:p>
      <w:pPr>
        <w:spacing w:before="120" w:after="120" w:line="288" w:lineRule="auto"/>
        <w:ind w:left="0"/>
        <w:jc w:val="both"/>
        <w:rPr>
          <w:rFonts w:hint="eastAsia" w:ascii="宋体" w:hAnsi="宋体" w:eastAsia="宋体" w:cs="宋体"/>
          <w:sz w:val="28"/>
          <w:szCs w:val="28"/>
          <w:lang w:eastAsia="zh-CN"/>
        </w:rPr>
      </w:pPr>
      <w:r>
        <w:rPr>
          <w:rFonts w:hint="eastAsia" w:ascii="宋体" w:hAnsi="宋体" w:eastAsia="宋体" w:cs="宋体"/>
          <w:sz w:val="28"/>
          <w:szCs w:val="28"/>
          <w:lang w:eastAsia="zh-CN"/>
        </w:rPr>
        <w:drawing>
          <wp:inline distT="0" distB="0" distL="114300" distR="114300">
            <wp:extent cx="5269230" cy="3091815"/>
            <wp:effectExtent l="0" t="0" r="13970" b="6985"/>
            <wp:docPr id="17" name="图片 17" des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6"/>
                    <pic:cNvPicPr>
                      <a:picLocks noChangeAspect="1"/>
                    </pic:cNvPicPr>
                  </pic:nvPicPr>
                  <pic:blipFill>
                    <a:blip r:embed="rId14"/>
                    <a:stretch>
                      <a:fillRect/>
                    </a:stretch>
                  </pic:blipFill>
                  <pic:spPr>
                    <a:xfrm>
                      <a:off x="0" y="0"/>
                      <a:ext cx="5269230" cy="3091815"/>
                    </a:xfrm>
                    <a:prstGeom prst="rect">
                      <a:avLst/>
                    </a:prstGeom>
                  </pic:spPr>
                </pic:pic>
              </a:graphicData>
            </a:graphic>
          </wp:inline>
        </w:drawing>
      </w:r>
    </w:p>
    <w:p>
      <w:pPr>
        <w:spacing w:before="120" w:after="120" w:line="360" w:lineRule="auto"/>
        <w:ind w:left="0"/>
        <w:jc w:val="left"/>
        <w:rPr>
          <w:rFonts w:hint="eastAsia" w:ascii="宋体" w:hAnsi="宋体" w:eastAsia="宋体" w:cs="宋体"/>
          <w:sz w:val="24"/>
          <w:szCs w:val="24"/>
        </w:rPr>
      </w:pPr>
      <w:r>
        <w:rPr>
          <w:rFonts w:hint="eastAsia" w:ascii="宋体" w:hAnsi="宋体" w:eastAsia="宋体" w:cs="宋体"/>
          <w:sz w:val="24"/>
          <w:szCs w:val="24"/>
        </w:rPr>
        <w:t>注：TOP10小区中，老旧小区占比达70%，剩余30%为混合型小区，无纯商品房小区上榜；从投诉密度来看，前3名小区分别为中海瀛台（0.448千件）、日晖六村（0.359千件）、东湾小区（0.288千件），显著高于其他上榜小区。核心诉求集中于房屋维修、群租治理、停车管理三类，部分小区叠加服务态度、物业收费等个性化矛盾，且东湾小区作为群租综合治理典型案例，虽已取得显著成效，但仍因基础条件限制位列前三，印证了顽固治理难题的反复性。</w:t>
      </w:r>
    </w:p>
    <w:p>
      <w:pPr>
        <w:spacing w:before="120" w:after="120" w:line="360" w:lineRule="auto"/>
        <w:ind w:left="0"/>
        <w:jc w:val="left"/>
        <w:rPr>
          <w:rFonts w:hint="eastAsia" w:ascii="宋体" w:hAnsi="宋体" w:eastAsia="宋体" w:cs="宋体"/>
          <w:sz w:val="28"/>
          <w:szCs w:val="28"/>
        </w:rPr>
      </w:pPr>
      <w:r>
        <w:rPr>
          <w:rFonts w:hint="eastAsia" w:ascii="宋体" w:hAnsi="宋体" w:eastAsia="宋体" w:cs="宋体"/>
          <w:sz w:val="28"/>
          <w:szCs w:val="28"/>
        </w:rPr>
        <w:t>高发小区共性问题突出且相互交织，整体呈现“三大集中痛点”：</w:t>
      </w:r>
    </w:p>
    <w:p>
      <w:pPr>
        <w:spacing w:before="120" w:after="120" w:line="360" w:lineRule="auto"/>
        <w:ind w:left="0"/>
        <w:jc w:val="left"/>
        <w:rPr>
          <w:rFonts w:hint="eastAsia" w:ascii="宋体" w:hAnsi="宋体" w:eastAsia="宋体" w:cs="宋体"/>
          <w:sz w:val="28"/>
          <w:szCs w:val="28"/>
        </w:rPr>
      </w:pPr>
      <w:r>
        <w:rPr>
          <w:rFonts w:hint="eastAsia" w:ascii="宋体" w:hAnsi="宋体" w:eastAsia="宋体" w:cs="宋体"/>
          <w:sz w:val="28"/>
          <w:szCs w:val="28"/>
        </w:rPr>
        <w:t>一是设施老化问题普遍，中海瀛台、日晖六村、华悦家园等老旧小区，电梯故障、屋面防水渗漏、管道破损等诉求占比均超40%，部分设施已超出设计使用年限，维修需求迫切且资金筹集难度大；</w:t>
      </w:r>
    </w:p>
    <w:p>
      <w:pPr>
        <w:spacing w:before="120" w:after="120" w:line="360" w:lineRule="auto"/>
        <w:ind w:left="0"/>
        <w:jc w:val="left"/>
        <w:rPr>
          <w:rFonts w:hint="eastAsia" w:ascii="宋体" w:hAnsi="宋体" w:eastAsia="宋体" w:cs="宋体"/>
          <w:sz w:val="28"/>
          <w:szCs w:val="28"/>
        </w:rPr>
      </w:pPr>
      <w:r>
        <w:rPr>
          <w:rFonts w:hint="eastAsia" w:ascii="宋体" w:hAnsi="宋体" w:eastAsia="宋体" w:cs="宋体"/>
          <w:sz w:val="28"/>
          <w:szCs w:val="28"/>
        </w:rPr>
        <w:t>二是群租与居住秩序矛盾突出，东湾小区、罗秀新二村等出租率超40%的小区，群租违规、邻里噪音、乱堆乱放等诉求频发，治理后反弹风险较高；</w:t>
      </w:r>
    </w:p>
    <w:p>
      <w:pPr>
        <w:spacing w:before="120" w:after="120" w:line="360" w:lineRule="auto"/>
        <w:ind w:left="0"/>
        <w:jc w:val="left"/>
        <w:rPr>
          <w:rFonts w:hint="eastAsia" w:ascii="宋体" w:hAnsi="宋体" w:eastAsia="宋体" w:cs="宋体"/>
          <w:sz w:val="28"/>
          <w:szCs w:val="28"/>
        </w:rPr>
      </w:pPr>
      <w:r>
        <w:rPr>
          <w:rFonts w:hint="eastAsia" w:ascii="宋体" w:hAnsi="宋体" w:eastAsia="宋体" w:cs="宋体"/>
          <w:sz w:val="28"/>
          <w:szCs w:val="28"/>
        </w:rPr>
        <w:t>三是停车供需失衡严峻，中</w:t>
      </w:r>
      <w:r>
        <w:rPr>
          <w:rFonts w:hint="eastAsia" w:ascii="宋体" w:hAnsi="宋体" w:eastAsia="宋体" w:cs="宋体"/>
          <w:sz w:val="28"/>
          <w:szCs w:val="28"/>
          <w:highlight w:val="none"/>
        </w:rPr>
        <w:t>海瀛台等小区车位配比不足0.6个/户，外来车辆管控不严，私占车位</w:t>
      </w:r>
      <w:r>
        <w:rPr>
          <w:rFonts w:hint="eastAsia" w:ascii="宋体" w:hAnsi="宋体" w:eastAsia="宋体" w:cs="宋体"/>
          <w:sz w:val="28"/>
          <w:szCs w:val="28"/>
        </w:rPr>
        <w:t>、消防通道堵塞等纠纷占比达25%以上。</w:t>
      </w:r>
    </w:p>
    <w:p>
      <w:pPr>
        <w:spacing w:before="120" w:after="120" w:line="360" w:lineRule="auto"/>
        <w:ind w:left="0"/>
        <w:jc w:val="left"/>
        <w:rPr>
          <w:rFonts w:hint="eastAsia" w:ascii="宋体" w:hAnsi="宋体" w:eastAsia="宋体" w:cs="宋体"/>
          <w:sz w:val="28"/>
          <w:szCs w:val="28"/>
        </w:rPr>
      </w:pPr>
      <w:r>
        <w:rPr>
          <w:rFonts w:hint="eastAsia" w:ascii="宋体" w:hAnsi="宋体" w:eastAsia="宋体" w:cs="宋体"/>
          <w:sz w:val="28"/>
          <w:szCs w:val="28"/>
        </w:rPr>
        <w:t>同时，部分小区存在个性化难题，如华悦家园电梯更新后的运维保障诉求、馨宁公寓物业服务态度类投诉，需结合小区实际精准施策，既要破解共性难题，也要化解个性矛盾。</w:t>
      </w:r>
    </w:p>
    <w:p>
      <w:pPr>
        <w:spacing w:before="120" w:after="120" w:line="360" w:lineRule="auto"/>
        <w:ind w:left="0"/>
        <w:jc w:val="left"/>
        <w:rPr>
          <w:rFonts w:hint="eastAsia" w:ascii="宋体" w:hAnsi="宋体" w:eastAsia="宋体" w:cs="宋体"/>
          <w:sz w:val="28"/>
          <w:szCs w:val="28"/>
        </w:rPr>
      </w:pPr>
    </w:p>
    <w:p>
      <w:pPr>
        <w:spacing w:before="300" w:after="120" w:line="288" w:lineRule="auto"/>
        <w:ind w:left="0"/>
        <w:jc w:val="left"/>
        <w:outlineLvl w:val="2"/>
      </w:pPr>
      <w:r>
        <w:rPr>
          <w:rFonts w:ascii="Arial" w:hAnsi="Arial" w:eastAsia="等线" w:cs="Arial"/>
          <w:b/>
          <w:sz w:val="30"/>
        </w:rPr>
        <w:t>1.4.2 新建楼盘投诉对比分析</w:t>
      </w:r>
      <w:bookmarkEnd w:id="13"/>
    </w:p>
    <w:p>
      <w:pPr>
        <w:keepNext w:val="0"/>
        <w:keepLines w:val="0"/>
        <w:widowControl/>
        <w:suppressLineNumbers w:val="0"/>
        <w:jc w:val="left"/>
        <w:rPr>
          <w:rFonts w:ascii="宋体" w:hAnsi="宋体" w:eastAsia="宋体" w:cs="宋体"/>
          <w:kern w:val="0"/>
          <w:sz w:val="28"/>
          <w:szCs w:val="28"/>
          <w:lang w:val="en-US" w:eastAsia="zh-CN" w:bidi="ar"/>
        </w:rPr>
      </w:pPr>
      <w:r>
        <w:rPr>
          <w:rFonts w:ascii="宋体" w:hAnsi="宋体" w:eastAsia="宋体" w:cs="宋体"/>
          <w:kern w:val="0"/>
          <w:sz w:val="28"/>
          <w:szCs w:val="28"/>
          <w:lang w:val="en-US" w:eastAsia="zh-CN" w:bidi="ar"/>
        </w:rPr>
        <w:t>选取宝能华庭、鑫桂苑·侨高中心等典型高投诉新建楼盘分析，新建楼盘投诉随交付进度、入住率提升而增加，核心因新房交付后业主各类居住与服务诉求集中释放。宝能华庭2024年投诉68条、2025年57条，同比下降16.2%；鑫桂苑·侨高中心2024年146条、2025年208条，同比上升42.5%，主要投诉集中在停车管理、房屋违规装修、物业服务等方面，为新建楼盘共性投诉痛点。</w:t>
      </w:r>
    </w:p>
    <w:p>
      <w:pPr>
        <w:spacing w:before="320" w:after="120" w:line="288" w:lineRule="auto"/>
        <w:ind w:left="0"/>
        <w:jc w:val="left"/>
        <w:outlineLvl w:val="1"/>
      </w:pPr>
      <w:bookmarkStart w:id="14" w:name="heading_14"/>
      <w:r>
        <w:rPr>
          <w:rFonts w:ascii="Arial" w:hAnsi="Arial" w:eastAsia="等线" w:cs="Arial"/>
          <w:b/>
          <w:sz w:val="32"/>
        </w:rPr>
        <w:t>1.5 企业情况维度分析</w:t>
      </w:r>
      <w:bookmarkEnd w:id="14"/>
    </w:p>
    <w:tbl>
      <w:tblPr>
        <w:tblStyle w:val="2"/>
        <w:tblW w:w="9876" w:type="dxa"/>
        <w:tblInd w:w="-1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531"/>
        <w:gridCol w:w="4047"/>
        <w:gridCol w:w="1453"/>
        <w:gridCol w:w="1375"/>
        <w:gridCol w:w="1235"/>
        <w:gridCol w:w="1235"/>
      </w:tblGrid>
      <w:tr>
        <w:trPr>
          <w:trHeight w:val="336" w:hRule="atLeast"/>
        </w:trPr>
        <w:tc>
          <w:tcPr>
            <w:tcW w:w="531"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排名</w:t>
            </w:r>
          </w:p>
        </w:tc>
        <w:tc>
          <w:tcPr>
            <w:tcW w:w="4047"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物业公司名称</w:t>
            </w:r>
          </w:p>
        </w:tc>
        <w:tc>
          <w:tcPr>
            <w:tcW w:w="1453"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2024年工单数</w:t>
            </w:r>
          </w:p>
        </w:tc>
        <w:tc>
          <w:tcPr>
            <w:tcW w:w="1375"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2025年工单数</w:t>
            </w:r>
          </w:p>
        </w:tc>
        <w:tc>
          <w:tcPr>
            <w:tcW w:w="1235"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2025年占比(%)</w:t>
            </w:r>
          </w:p>
        </w:tc>
        <w:tc>
          <w:tcPr>
            <w:tcW w:w="1235"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default"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工单密度</w:t>
            </w:r>
          </w:p>
        </w:tc>
      </w:tr>
      <w:tr>
        <w:trPr>
          <w:trHeight w:val="336" w:hRule="atLeast"/>
        </w:trPr>
        <w:tc>
          <w:tcPr>
            <w:tcW w:w="531"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b w:val="0"/>
                <w:bCs w:val="0"/>
                <w:i w:val="0"/>
                <w:iCs w:val="0"/>
                <w:color w:val="000000"/>
                <w:kern w:val="0"/>
                <w:sz w:val="22"/>
                <w:szCs w:val="22"/>
                <w:u w:val="none"/>
                <w:lang w:val="en-US" w:eastAsia="zh-CN" w:bidi="ar"/>
              </w:rPr>
            </w:pPr>
            <w:r>
              <w:rPr>
                <w:rFonts w:hint="eastAsia" w:ascii="宋体" w:hAnsi="宋体" w:eastAsia="宋体" w:cs="宋体"/>
                <w:b w:val="0"/>
                <w:bCs w:val="0"/>
                <w:i w:val="0"/>
                <w:iCs w:val="0"/>
                <w:color w:val="000000"/>
                <w:kern w:val="0"/>
                <w:sz w:val="22"/>
                <w:szCs w:val="22"/>
                <w:u w:val="none"/>
                <w:lang w:val="en-US" w:eastAsia="zh-CN" w:bidi="ar"/>
              </w:rPr>
              <w:t>1</w:t>
            </w:r>
          </w:p>
        </w:tc>
        <w:tc>
          <w:tcPr>
            <w:tcW w:w="4047"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b w:val="0"/>
                <w:bCs w:val="0"/>
                <w:i w:val="0"/>
                <w:iCs w:val="0"/>
                <w:color w:val="000000"/>
                <w:kern w:val="0"/>
                <w:sz w:val="22"/>
                <w:szCs w:val="22"/>
                <w:u w:val="none"/>
                <w:lang w:val="en-US" w:eastAsia="zh-CN" w:bidi="ar"/>
              </w:rPr>
            </w:pPr>
            <w:r>
              <w:rPr>
                <w:rFonts w:hint="eastAsia" w:ascii="宋体" w:hAnsi="宋体" w:eastAsia="宋体" w:cs="宋体"/>
                <w:b w:val="0"/>
                <w:bCs w:val="0"/>
                <w:i w:val="0"/>
                <w:iCs w:val="0"/>
                <w:color w:val="000000"/>
                <w:kern w:val="0"/>
                <w:sz w:val="22"/>
                <w:szCs w:val="22"/>
                <w:u w:val="none"/>
                <w:lang w:val="en-US" w:eastAsia="zh-CN" w:bidi="ar"/>
              </w:rPr>
              <w:t>上海高建物业有限公司</w:t>
            </w:r>
          </w:p>
        </w:tc>
        <w:tc>
          <w:tcPr>
            <w:tcW w:w="1453"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b w:val="0"/>
                <w:bCs w:val="0"/>
                <w:i w:val="0"/>
                <w:iCs w:val="0"/>
                <w:color w:val="000000"/>
                <w:kern w:val="0"/>
                <w:sz w:val="22"/>
                <w:szCs w:val="22"/>
                <w:u w:val="none"/>
                <w:lang w:val="en-US" w:eastAsia="zh-CN" w:bidi="ar"/>
              </w:rPr>
            </w:pPr>
            <w:r>
              <w:rPr>
                <w:rFonts w:hint="eastAsia" w:ascii="宋体" w:hAnsi="宋体" w:eastAsia="宋体" w:cs="宋体"/>
                <w:b w:val="0"/>
                <w:bCs w:val="0"/>
                <w:i w:val="0"/>
                <w:iCs w:val="0"/>
                <w:color w:val="000000"/>
                <w:kern w:val="0"/>
                <w:sz w:val="22"/>
                <w:szCs w:val="22"/>
                <w:u w:val="none"/>
                <w:lang w:val="en-US" w:eastAsia="zh-CN" w:bidi="ar"/>
              </w:rPr>
              <w:t>3852</w:t>
            </w:r>
          </w:p>
        </w:tc>
        <w:tc>
          <w:tcPr>
            <w:tcW w:w="1375"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b w:val="0"/>
                <w:bCs w:val="0"/>
                <w:i w:val="0"/>
                <w:iCs w:val="0"/>
                <w:color w:val="000000"/>
                <w:kern w:val="0"/>
                <w:sz w:val="22"/>
                <w:szCs w:val="22"/>
                <w:u w:val="none"/>
                <w:lang w:val="en-US" w:eastAsia="zh-CN" w:bidi="ar"/>
              </w:rPr>
            </w:pPr>
            <w:r>
              <w:rPr>
                <w:rFonts w:hint="eastAsia" w:ascii="宋体" w:hAnsi="宋体" w:eastAsia="宋体" w:cs="宋体"/>
                <w:b w:val="0"/>
                <w:bCs w:val="0"/>
                <w:i w:val="0"/>
                <w:iCs w:val="0"/>
                <w:color w:val="000000"/>
                <w:kern w:val="0"/>
                <w:sz w:val="22"/>
                <w:szCs w:val="22"/>
                <w:u w:val="none"/>
                <w:lang w:val="en-US" w:eastAsia="zh-CN" w:bidi="ar"/>
              </w:rPr>
              <w:t>3158</w:t>
            </w:r>
          </w:p>
        </w:tc>
        <w:tc>
          <w:tcPr>
            <w:tcW w:w="1235"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b w:val="0"/>
                <w:bCs w:val="0"/>
                <w:i w:val="0"/>
                <w:iCs w:val="0"/>
                <w:color w:val="000000"/>
                <w:kern w:val="0"/>
                <w:sz w:val="22"/>
                <w:szCs w:val="22"/>
                <w:u w:val="none"/>
                <w:lang w:val="en-US" w:eastAsia="zh-CN" w:bidi="ar"/>
              </w:rPr>
            </w:pPr>
            <w:r>
              <w:rPr>
                <w:rFonts w:hint="eastAsia" w:ascii="宋体" w:hAnsi="宋体" w:eastAsia="宋体" w:cs="宋体"/>
                <w:b w:val="0"/>
                <w:bCs w:val="0"/>
                <w:i w:val="0"/>
                <w:iCs w:val="0"/>
                <w:color w:val="000000"/>
                <w:kern w:val="0"/>
                <w:sz w:val="22"/>
                <w:szCs w:val="22"/>
                <w:u w:val="none"/>
                <w:lang w:val="en-US" w:eastAsia="zh-CN" w:bidi="ar"/>
              </w:rPr>
              <w:t>10.6</w:t>
            </w:r>
          </w:p>
        </w:tc>
        <w:tc>
          <w:tcPr>
            <w:tcW w:w="1235"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b w:val="0"/>
                <w:bCs w:val="0"/>
                <w:i w:val="0"/>
                <w:iCs w:val="0"/>
                <w:color w:val="000000"/>
                <w:kern w:val="0"/>
                <w:sz w:val="22"/>
                <w:szCs w:val="22"/>
                <w:u w:val="none"/>
                <w:lang w:val="en-US" w:eastAsia="zh-CN" w:bidi="ar"/>
              </w:rPr>
            </w:pPr>
            <w:r>
              <w:rPr>
                <w:rFonts w:hint="eastAsia" w:ascii="宋体" w:hAnsi="宋体" w:eastAsia="宋体" w:cs="宋体"/>
                <w:b w:val="0"/>
                <w:bCs w:val="0"/>
                <w:i w:val="0"/>
                <w:iCs w:val="0"/>
                <w:color w:val="000000"/>
                <w:kern w:val="0"/>
                <w:sz w:val="22"/>
                <w:szCs w:val="22"/>
                <w:u w:val="none"/>
                <w:lang w:val="en-US" w:eastAsia="zh-CN" w:bidi="ar"/>
              </w:rPr>
              <w:t>0.066</w:t>
            </w:r>
          </w:p>
        </w:tc>
      </w:tr>
      <w:tr>
        <w:trPr>
          <w:trHeight w:val="336" w:hRule="atLeast"/>
        </w:trPr>
        <w:tc>
          <w:tcPr>
            <w:tcW w:w="531"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b w:val="0"/>
                <w:bCs w:val="0"/>
                <w:i w:val="0"/>
                <w:iCs w:val="0"/>
                <w:color w:val="000000"/>
                <w:kern w:val="0"/>
                <w:sz w:val="22"/>
                <w:szCs w:val="22"/>
                <w:u w:val="none"/>
                <w:lang w:val="en-US" w:eastAsia="zh-CN" w:bidi="ar"/>
              </w:rPr>
            </w:pPr>
            <w:r>
              <w:rPr>
                <w:rFonts w:hint="eastAsia" w:ascii="宋体" w:hAnsi="宋体" w:eastAsia="宋体" w:cs="宋体"/>
                <w:b w:val="0"/>
                <w:bCs w:val="0"/>
                <w:i w:val="0"/>
                <w:iCs w:val="0"/>
                <w:color w:val="000000"/>
                <w:kern w:val="0"/>
                <w:sz w:val="22"/>
                <w:szCs w:val="22"/>
                <w:u w:val="none"/>
                <w:lang w:val="en-US" w:eastAsia="zh-CN" w:bidi="ar"/>
              </w:rPr>
              <w:t>2</w:t>
            </w:r>
          </w:p>
        </w:tc>
        <w:tc>
          <w:tcPr>
            <w:tcW w:w="4047"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b w:val="0"/>
                <w:bCs w:val="0"/>
                <w:i w:val="0"/>
                <w:iCs w:val="0"/>
                <w:color w:val="000000"/>
                <w:kern w:val="0"/>
                <w:sz w:val="22"/>
                <w:szCs w:val="22"/>
                <w:u w:val="none"/>
                <w:lang w:val="en-US" w:eastAsia="zh-CN" w:bidi="ar"/>
              </w:rPr>
            </w:pPr>
            <w:r>
              <w:rPr>
                <w:rFonts w:hint="eastAsia" w:ascii="宋体" w:hAnsi="宋体" w:eastAsia="宋体" w:cs="宋体"/>
                <w:b w:val="0"/>
                <w:bCs w:val="0"/>
                <w:i w:val="0"/>
                <w:iCs w:val="0"/>
                <w:color w:val="000000"/>
                <w:kern w:val="0"/>
                <w:sz w:val="22"/>
                <w:szCs w:val="22"/>
                <w:u w:val="none"/>
                <w:lang w:val="en-US" w:eastAsia="zh-CN" w:bidi="ar"/>
              </w:rPr>
              <w:t>上海衡复物业有限公司</w:t>
            </w:r>
          </w:p>
        </w:tc>
        <w:tc>
          <w:tcPr>
            <w:tcW w:w="1453"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b w:val="0"/>
                <w:bCs w:val="0"/>
                <w:i w:val="0"/>
                <w:iCs w:val="0"/>
                <w:color w:val="000000"/>
                <w:kern w:val="0"/>
                <w:sz w:val="22"/>
                <w:szCs w:val="22"/>
                <w:u w:val="none"/>
                <w:lang w:val="en-US" w:eastAsia="zh-CN" w:bidi="ar"/>
              </w:rPr>
            </w:pPr>
            <w:r>
              <w:rPr>
                <w:rFonts w:hint="eastAsia" w:ascii="宋体" w:hAnsi="宋体" w:eastAsia="宋体" w:cs="宋体"/>
                <w:b w:val="0"/>
                <w:bCs w:val="0"/>
                <w:i w:val="0"/>
                <w:iCs w:val="0"/>
                <w:color w:val="000000"/>
                <w:kern w:val="0"/>
                <w:sz w:val="22"/>
                <w:szCs w:val="22"/>
                <w:u w:val="none"/>
                <w:lang w:val="en-US" w:eastAsia="zh-CN" w:bidi="ar"/>
              </w:rPr>
              <w:t>3320</w:t>
            </w:r>
          </w:p>
        </w:tc>
        <w:tc>
          <w:tcPr>
            <w:tcW w:w="1375"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b w:val="0"/>
                <w:bCs w:val="0"/>
                <w:i w:val="0"/>
                <w:iCs w:val="0"/>
                <w:color w:val="000000"/>
                <w:kern w:val="0"/>
                <w:sz w:val="22"/>
                <w:szCs w:val="22"/>
                <w:u w:val="none"/>
                <w:lang w:val="en-US" w:eastAsia="zh-CN" w:bidi="ar"/>
              </w:rPr>
            </w:pPr>
            <w:r>
              <w:rPr>
                <w:rFonts w:hint="eastAsia" w:ascii="宋体" w:hAnsi="宋体" w:eastAsia="宋体" w:cs="宋体"/>
                <w:b w:val="0"/>
                <w:bCs w:val="0"/>
                <w:i w:val="0"/>
                <w:iCs w:val="0"/>
                <w:color w:val="000000"/>
                <w:kern w:val="0"/>
                <w:sz w:val="22"/>
                <w:szCs w:val="22"/>
                <w:u w:val="none"/>
                <w:lang w:val="en-US" w:eastAsia="zh-CN" w:bidi="ar"/>
              </w:rPr>
              <w:t>2491</w:t>
            </w:r>
          </w:p>
        </w:tc>
        <w:tc>
          <w:tcPr>
            <w:tcW w:w="1235"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b w:val="0"/>
                <w:bCs w:val="0"/>
                <w:i w:val="0"/>
                <w:iCs w:val="0"/>
                <w:color w:val="000000"/>
                <w:kern w:val="0"/>
                <w:sz w:val="22"/>
                <w:szCs w:val="22"/>
                <w:u w:val="none"/>
                <w:lang w:val="en-US" w:eastAsia="zh-CN" w:bidi="ar"/>
              </w:rPr>
            </w:pPr>
            <w:r>
              <w:rPr>
                <w:rFonts w:hint="eastAsia" w:ascii="宋体" w:hAnsi="宋体" w:eastAsia="宋体" w:cs="宋体"/>
                <w:b w:val="0"/>
                <w:bCs w:val="0"/>
                <w:i w:val="0"/>
                <w:iCs w:val="0"/>
                <w:color w:val="000000"/>
                <w:kern w:val="0"/>
                <w:sz w:val="22"/>
                <w:szCs w:val="22"/>
                <w:u w:val="none"/>
                <w:lang w:val="en-US" w:eastAsia="zh-CN" w:bidi="ar"/>
              </w:rPr>
              <w:t>8.36</w:t>
            </w:r>
          </w:p>
        </w:tc>
        <w:tc>
          <w:tcPr>
            <w:tcW w:w="1235"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b w:val="0"/>
                <w:bCs w:val="0"/>
                <w:i w:val="0"/>
                <w:iCs w:val="0"/>
                <w:color w:val="000000"/>
                <w:kern w:val="0"/>
                <w:sz w:val="22"/>
                <w:szCs w:val="22"/>
                <w:u w:val="none"/>
                <w:lang w:val="en-US" w:eastAsia="zh-CN" w:bidi="ar"/>
              </w:rPr>
            </w:pPr>
            <w:r>
              <w:rPr>
                <w:rFonts w:hint="eastAsia" w:ascii="宋体" w:hAnsi="宋体" w:eastAsia="宋体" w:cs="宋体"/>
                <w:b w:val="0"/>
                <w:bCs w:val="0"/>
                <w:i w:val="0"/>
                <w:iCs w:val="0"/>
                <w:color w:val="000000"/>
                <w:kern w:val="0"/>
                <w:sz w:val="22"/>
                <w:szCs w:val="22"/>
                <w:u w:val="none"/>
                <w:lang w:val="en-US" w:eastAsia="zh-CN" w:bidi="ar"/>
              </w:rPr>
              <w:t>0.081</w:t>
            </w:r>
          </w:p>
        </w:tc>
      </w:tr>
      <w:tr>
        <w:trPr>
          <w:trHeight w:val="336" w:hRule="atLeast"/>
        </w:trPr>
        <w:tc>
          <w:tcPr>
            <w:tcW w:w="531"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b w:val="0"/>
                <w:bCs w:val="0"/>
                <w:i w:val="0"/>
                <w:iCs w:val="0"/>
                <w:color w:val="000000"/>
                <w:kern w:val="0"/>
                <w:sz w:val="22"/>
                <w:szCs w:val="22"/>
                <w:u w:val="none"/>
                <w:lang w:val="en-US" w:eastAsia="zh-CN" w:bidi="ar"/>
              </w:rPr>
            </w:pPr>
            <w:r>
              <w:rPr>
                <w:rFonts w:hint="eastAsia" w:ascii="宋体" w:hAnsi="宋体" w:eastAsia="宋体" w:cs="宋体"/>
                <w:b w:val="0"/>
                <w:bCs w:val="0"/>
                <w:i w:val="0"/>
                <w:iCs w:val="0"/>
                <w:color w:val="000000"/>
                <w:kern w:val="0"/>
                <w:sz w:val="22"/>
                <w:szCs w:val="22"/>
                <w:u w:val="none"/>
                <w:lang w:val="en-US" w:eastAsia="zh-CN" w:bidi="ar"/>
              </w:rPr>
              <w:t>3</w:t>
            </w:r>
          </w:p>
        </w:tc>
        <w:tc>
          <w:tcPr>
            <w:tcW w:w="4047"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b w:val="0"/>
                <w:bCs w:val="0"/>
                <w:i w:val="0"/>
                <w:iCs w:val="0"/>
                <w:color w:val="000000"/>
                <w:kern w:val="0"/>
                <w:sz w:val="22"/>
                <w:szCs w:val="22"/>
                <w:u w:val="none"/>
                <w:lang w:val="en-US" w:eastAsia="zh-CN" w:bidi="ar"/>
              </w:rPr>
            </w:pPr>
            <w:r>
              <w:rPr>
                <w:rFonts w:hint="eastAsia" w:ascii="宋体" w:hAnsi="宋体" w:eastAsia="宋体" w:cs="宋体"/>
                <w:b w:val="0"/>
                <w:bCs w:val="0"/>
                <w:i w:val="0"/>
                <w:iCs w:val="0"/>
                <w:color w:val="000000"/>
                <w:kern w:val="0"/>
                <w:sz w:val="22"/>
                <w:szCs w:val="22"/>
                <w:u w:val="none"/>
                <w:lang w:val="en-US" w:eastAsia="zh-CN" w:bidi="ar"/>
              </w:rPr>
              <w:t>上海徐房物业有限公司</w:t>
            </w:r>
          </w:p>
        </w:tc>
        <w:tc>
          <w:tcPr>
            <w:tcW w:w="1453"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b w:val="0"/>
                <w:bCs w:val="0"/>
                <w:i w:val="0"/>
                <w:iCs w:val="0"/>
                <w:color w:val="000000"/>
                <w:kern w:val="0"/>
                <w:sz w:val="22"/>
                <w:szCs w:val="22"/>
                <w:u w:val="none"/>
                <w:lang w:val="en-US" w:eastAsia="zh-CN" w:bidi="ar"/>
              </w:rPr>
            </w:pPr>
            <w:r>
              <w:rPr>
                <w:rFonts w:hint="eastAsia" w:ascii="宋体" w:hAnsi="宋体" w:eastAsia="宋体" w:cs="宋体"/>
                <w:b w:val="0"/>
                <w:bCs w:val="0"/>
                <w:i w:val="0"/>
                <w:iCs w:val="0"/>
                <w:color w:val="000000"/>
                <w:kern w:val="0"/>
                <w:sz w:val="22"/>
                <w:szCs w:val="22"/>
                <w:u w:val="none"/>
                <w:lang w:val="en-US" w:eastAsia="zh-CN" w:bidi="ar"/>
              </w:rPr>
              <w:t>2486</w:t>
            </w:r>
          </w:p>
        </w:tc>
        <w:tc>
          <w:tcPr>
            <w:tcW w:w="1375"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b w:val="0"/>
                <w:bCs w:val="0"/>
                <w:i w:val="0"/>
                <w:iCs w:val="0"/>
                <w:color w:val="000000"/>
                <w:kern w:val="0"/>
                <w:sz w:val="22"/>
                <w:szCs w:val="22"/>
                <w:u w:val="none"/>
                <w:lang w:val="en-US" w:eastAsia="zh-CN" w:bidi="ar"/>
              </w:rPr>
            </w:pPr>
            <w:r>
              <w:rPr>
                <w:rFonts w:hint="eastAsia" w:ascii="宋体" w:hAnsi="宋体" w:eastAsia="宋体" w:cs="宋体"/>
                <w:b w:val="0"/>
                <w:bCs w:val="0"/>
                <w:i w:val="0"/>
                <w:iCs w:val="0"/>
                <w:color w:val="000000"/>
                <w:kern w:val="0"/>
                <w:sz w:val="22"/>
                <w:szCs w:val="22"/>
                <w:u w:val="none"/>
                <w:lang w:val="en-US" w:eastAsia="zh-CN" w:bidi="ar"/>
              </w:rPr>
              <w:t>1603</w:t>
            </w:r>
          </w:p>
        </w:tc>
        <w:tc>
          <w:tcPr>
            <w:tcW w:w="1235"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b w:val="0"/>
                <w:bCs w:val="0"/>
                <w:i w:val="0"/>
                <w:iCs w:val="0"/>
                <w:color w:val="000000"/>
                <w:kern w:val="0"/>
                <w:sz w:val="22"/>
                <w:szCs w:val="22"/>
                <w:u w:val="none"/>
                <w:lang w:val="en-US" w:eastAsia="zh-CN" w:bidi="ar"/>
              </w:rPr>
            </w:pPr>
            <w:r>
              <w:rPr>
                <w:rFonts w:hint="eastAsia" w:ascii="宋体" w:hAnsi="宋体" w:eastAsia="宋体" w:cs="宋体"/>
                <w:b w:val="0"/>
                <w:bCs w:val="0"/>
                <w:i w:val="0"/>
                <w:iCs w:val="0"/>
                <w:color w:val="000000"/>
                <w:kern w:val="0"/>
                <w:sz w:val="22"/>
                <w:szCs w:val="22"/>
                <w:u w:val="none"/>
                <w:lang w:val="en-US" w:eastAsia="zh-CN" w:bidi="ar"/>
              </w:rPr>
              <w:t>5.38</w:t>
            </w:r>
          </w:p>
        </w:tc>
        <w:tc>
          <w:tcPr>
            <w:tcW w:w="1235"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b w:val="0"/>
                <w:bCs w:val="0"/>
                <w:i w:val="0"/>
                <w:iCs w:val="0"/>
                <w:color w:val="000000"/>
                <w:kern w:val="0"/>
                <w:sz w:val="22"/>
                <w:szCs w:val="22"/>
                <w:u w:val="none"/>
                <w:lang w:val="en-US" w:eastAsia="zh-CN" w:bidi="ar"/>
              </w:rPr>
            </w:pPr>
            <w:r>
              <w:rPr>
                <w:rFonts w:hint="eastAsia" w:ascii="宋体" w:hAnsi="宋体" w:eastAsia="宋体" w:cs="宋体"/>
                <w:b w:val="0"/>
                <w:bCs w:val="0"/>
                <w:i w:val="0"/>
                <w:iCs w:val="0"/>
                <w:color w:val="000000"/>
                <w:kern w:val="0"/>
                <w:sz w:val="22"/>
                <w:szCs w:val="22"/>
                <w:u w:val="none"/>
                <w:lang w:val="en-US" w:eastAsia="zh-CN" w:bidi="ar"/>
              </w:rPr>
              <w:t>0.046</w:t>
            </w:r>
          </w:p>
        </w:tc>
      </w:tr>
      <w:tr>
        <w:trPr>
          <w:trHeight w:val="336" w:hRule="atLeast"/>
        </w:trPr>
        <w:tc>
          <w:tcPr>
            <w:tcW w:w="531"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b w:val="0"/>
                <w:bCs w:val="0"/>
                <w:i w:val="0"/>
                <w:iCs w:val="0"/>
                <w:color w:val="000000"/>
                <w:kern w:val="0"/>
                <w:sz w:val="22"/>
                <w:szCs w:val="22"/>
                <w:u w:val="none"/>
                <w:lang w:val="en-US" w:eastAsia="zh-CN" w:bidi="ar"/>
              </w:rPr>
            </w:pPr>
            <w:r>
              <w:rPr>
                <w:rFonts w:hint="eastAsia" w:ascii="宋体" w:hAnsi="宋体" w:eastAsia="宋体" w:cs="宋体"/>
                <w:b w:val="0"/>
                <w:bCs w:val="0"/>
                <w:i w:val="0"/>
                <w:iCs w:val="0"/>
                <w:color w:val="000000"/>
                <w:kern w:val="0"/>
                <w:sz w:val="22"/>
                <w:szCs w:val="22"/>
                <w:u w:val="none"/>
                <w:lang w:val="en-US" w:eastAsia="zh-CN" w:bidi="ar"/>
              </w:rPr>
              <w:t>4</w:t>
            </w:r>
          </w:p>
        </w:tc>
        <w:tc>
          <w:tcPr>
            <w:tcW w:w="4047"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b w:val="0"/>
                <w:bCs w:val="0"/>
                <w:i w:val="0"/>
                <w:iCs w:val="0"/>
                <w:color w:val="000000"/>
                <w:kern w:val="0"/>
                <w:sz w:val="22"/>
                <w:szCs w:val="22"/>
                <w:u w:val="none"/>
                <w:lang w:val="en-US" w:eastAsia="zh-CN" w:bidi="ar"/>
              </w:rPr>
            </w:pPr>
            <w:r>
              <w:rPr>
                <w:rFonts w:hint="eastAsia" w:ascii="宋体" w:hAnsi="宋体" w:eastAsia="宋体" w:cs="宋体"/>
                <w:b w:val="0"/>
                <w:bCs w:val="0"/>
                <w:i w:val="0"/>
                <w:iCs w:val="0"/>
                <w:color w:val="000000"/>
                <w:kern w:val="0"/>
                <w:sz w:val="22"/>
                <w:szCs w:val="22"/>
                <w:u w:val="none"/>
                <w:lang w:val="en-US" w:eastAsia="zh-CN" w:bidi="ar"/>
              </w:rPr>
              <w:t>上海汇成物业有限公司</w:t>
            </w:r>
          </w:p>
        </w:tc>
        <w:tc>
          <w:tcPr>
            <w:tcW w:w="1453"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b w:val="0"/>
                <w:bCs w:val="0"/>
                <w:i w:val="0"/>
                <w:iCs w:val="0"/>
                <w:color w:val="000000"/>
                <w:kern w:val="0"/>
                <w:sz w:val="22"/>
                <w:szCs w:val="22"/>
                <w:u w:val="none"/>
                <w:lang w:val="en-US" w:eastAsia="zh-CN" w:bidi="ar"/>
              </w:rPr>
            </w:pPr>
            <w:r>
              <w:rPr>
                <w:rFonts w:hint="eastAsia" w:ascii="宋体" w:hAnsi="宋体" w:eastAsia="宋体" w:cs="宋体"/>
                <w:b w:val="0"/>
                <w:bCs w:val="0"/>
                <w:i w:val="0"/>
                <w:iCs w:val="0"/>
                <w:color w:val="000000"/>
                <w:kern w:val="0"/>
                <w:sz w:val="22"/>
                <w:szCs w:val="22"/>
                <w:u w:val="none"/>
                <w:lang w:val="en-US" w:eastAsia="zh-CN" w:bidi="ar"/>
              </w:rPr>
              <w:t>1409</w:t>
            </w:r>
          </w:p>
        </w:tc>
        <w:tc>
          <w:tcPr>
            <w:tcW w:w="1375"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b w:val="0"/>
                <w:bCs w:val="0"/>
                <w:i w:val="0"/>
                <w:iCs w:val="0"/>
                <w:color w:val="000000"/>
                <w:kern w:val="0"/>
                <w:sz w:val="22"/>
                <w:szCs w:val="22"/>
                <w:u w:val="none"/>
                <w:lang w:val="en-US" w:eastAsia="zh-CN" w:bidi="ar"/>
              </w:rPr>
            </w:pPr>
            <w:r>
              <w:rPr>
                <w:rFonts w:hint="eastAsia" w:ascii="宋体" w:hAnsi="宋体" w:eastAsia="宋体" w:cs="宋体"/>
                <w:b w:val="0"/>
                <w:bCs w:val="0"/>
                <w:i w:val="0"/>
                <w:iCs w:val="0"/>
                <w:color w:val="000000"/>
                <w:kern w:val="0"/>
                <w:sz w:val="22"/>
                <w:szCs w:val="22"/>
                <w:u w:val="none"/>
                <w:lang w:val="en-US" w:eastAsia="zh-CN" w:bidi="ar"/>
              </w:rPr>
              <w:t>760</w:t>
            </w:r>
          </w:p>
        </w:tc>
        <w:tc>
          <w:tcPr>
            <w:tcW w:w="1235"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b w:val="0"/>
                <w:bCs w:val="0"/>
                <w:i w:val="0"/>
                <w:iCs w:val="0"/>
                <w:color w:val="000000"/>
                <w:kern w:val="0"/>
                <w:sz w:val="22"/>
                <w:szCs w:val="22"/>
                <w:u w:val="none"/>
                <w:lang w:val="en-US" w:eastAsia="zh-CN" w:bidi="ar"/>
              </w:rPr>
            </w:pPr>
            <w:r>
              <w:rPr>
                <w:rFonts w:hint="eastAsia" w:ascii="宋体" w:hAnsi="宋体" w:eastAsia="宋体" w:cs="宋体"/>
                <w:b w:val="0"/>
                <w:bCs w:val="0"/>
                <w:i w:val="0"/>
                <w:iCs w:val="0"/>
                <w:color w:val="000000"/>
                <w:kern w:val="0"/>
                <w:sz w:val="22"/>
                <w:szCs w:val="22"/>
                <w:u w:val="none"/>
                <w:lang w:val="en-US" w:eastAsia="zh-CN" w:bidi="ar"/>
              </w:rPr>
              <w:t>2.55</w:t>
            </w:r>
          </w:p>
        </w:tc>
        <w:tc>
          <w:tcPr>
            <w:tcW w:w="1235"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b w:val="0"/>
                <w:bCs w:val="0"/>
                <w:i w:val="0"/>
                <w:iCs w:val="0"/>
                <w:color w:val="000000"/>
                <w:kern w:val="0"/>
                <w:sz w:val="22"/>
                <w:szCs w:val="22"/>
                <w:u w:val="none"/>
                <w:lang w:val="en-US" w:eastAsia="zh-CN" w:bidi="ar"/>
              </w:rPr>
            </w:pPr>
            <w:r>
              <w:rPr>
                <w:rFonts w:hint="eastAsia" w:ascii="宋体" w:hAnsi="宋体" w:eastAsia="宋体" w:cs="宋体"/>
                <w:b w:val="0"/>
                <w:bCs w:val="0"/>
                <w:i w:val="0"/>
                <w:iCs w:val="0"/>
                <w:color w:val="000000"/>
                <w:kern w:val="0"/>
                <w:sz w:val="22"/>
                <w:szCs w:val="22"/>
                <w:u w:val="none"/>
                <w:lang w:val="en-US" w:eastAsia="zh-CN" w:bidi="ar"/>
              </w:rPr>
              <w:t>0.041</w:t>
            </w:r>
          </w:p>
        </w:tc>
      </w:tr>
      <w:tr>
        <w:trPr>
          <w:trHeight w:val="336" w:hRule="atLeast"/>
        </w:trPr>
        <w:tc>
          <w:tcPr>
            <w:tcW w:w="531"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b w:val="0"/>
                <w:bCs w:val="0"/>
                <w:i w:val="0"/>
                <w:iCs w:val="0"/>
                <w:color w:val="000000"/>
                <w:kern w:val="0"/>
                <w:sz w:val="22"/>
                <w:szCs w:val="22"/>
                <w:u w:val="none"/>
                <w:lang w:val="en-US" w:eastAsia="zh-CN" w:bidi="ar"/>
              </w:rPr>
            </w:pPr>
            <w:r>
              <w:rPr>
                <w:rFonts w:hint="eastAsia" w:ascii="宋体" w:hAnsi="宋体" w:eastAsia="宋体" w:cs="宋体"/>
                <w:b w:val="0"/>
                <w:bCs w:val="0"/>
                <w:i w:val="0"/>
                <w:iCs w:val="0"/>
                <w:color w:val="000000"/>
                <w:kern w:val="0"/>
                <w:sz w:val="22"/>
                <w:szCs w:val="22"/>
                <w:u w:val="none"/>
                <w:lang w:val="en-US" w:eastAsia="zh-CN" w:bidi="ar"/>
              </w:rPr>
              <w:t>5</w:t>
            </w:r>
          </w:p>
        </w:tc>
        <w:tc>
          <w:tcPr>
            <w:tcW w:w="4047"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b w:val="0"/>
                <w:bCs w:val="0"/>
                <w:i w:val="0"/>
                <w:iCs w:val="0"/>
                <w:color w:val="000000"/>
                <w:kern w:val="0"/>
                <w:sz w:val="22"/>
                <w:szCs w:val="22"/>
                <w:u w:val="none"/>
                <w:lang w:val="en-US" w:eastAsia="zh-CN" w:bidi="ar"/>
              </w:rPr>
            </w:pPr>
            <w:r>
              <w:rPr>
                <w:rFonts w:hint="eastAsia" w:ascii="宋体" w:hAnsi="宋体" w:eastAsia="宋体" w:cs="宋体"/>
                <w:b w:val="0"/>
                <w:bCs w:val="0"/>
                <w:i w:val="0"/>
                <w:iCs w:val="0"/>
                <w:color w:val="000000"/>
                <w:kern w:val="0"/>
                <w:sz w:val="22"/>
                <w:szCs w:val="22"/>
                <w:u w:val="none"/>
                <w:lang w:val="en-US" w:eastAsia="zh-CN" w:bidi="ar"/>
              </w:rPr>
              <w:t>上海中海物业管理有限公司</w:t>
            </w:r>
          </w:p>
        </w:tc>
        <w:tc>
          <w:tcPr>
            <w:tcW w:w="1453"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b w:val="0"/>
                <w:bCs w:val="0"/>
                <w:i w:val="0"/>
                <w:iCs w:val="0"/>
                <w:color w:val="000000"/>
                <w:kern w:val="0"/>
                <w:sz w:val="22"/>
                <w:szCs w:val="22"/>
                <w:u w:val="none"/>
                <w:lang w:val="en-US" w:eastAsia="zh-CN" w:bidi="ar"/>
              </w:rPr>
            </w:pPr>
            <w:r>
              <w:rPr>
                <w:rFonts w:hint="eastAsia" w:ascii="宋体" w:hAnsi="宋体" w:eastAsia="宋体" w:cs="宋体"/>
                <w:b w:val="0"/>
                <w:bCs w:val="0"/>
                <w:i w:val="0"/>
                <w:iCs w:val="0"/>
                <w:color w:val="000000"/>
                <w:kern w:val="0"/>
                <w:sz w:val="22"/>
                <w:szCs w:val="22"/>
                <w:u w:val="none"/>
                <w:lang w:val="en-US" w:eastAsia="zh-CN" w:bidi="ar"/>
              </w:rPr>
              <w:t>1783</w:t>
            </w:r>
          </w:p>
        </w:tc>
        <w:tc>
          <w:tcPr>
            <w:tcW w:w="1375"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b w:val="0"/>
                <w:bCs w:val="0"/>
                <w:i w:val="0"/>
                <w:iCs w:val="0"/>
                <w:color w:val="000000"/>
                <w:kern w:val="0"/>
                <w:sz w:val="22"/>
                <w:szCs w:val="22"/>
                <w:u w:val="none"/>
                <w:lang w:val="en-US" w:eastAsia="zh-CN" w:bidi="ar"/>
              </w:rPr>
            </w:pPr>
            <w:r>
              <w:rPr>
                <w:rFonts w:hint="eastAsia" w:ascii="宋体" w:hAnsi="宋体" w:eastAsia="宋体" w:cs="宋体"/>
                <w:b w:val="0"/>
                <w:bCs w:val="0"/>
                <w:i w:val="0"/>
                <w:iCs w:val="0"/>
                <w:color w:val="000000"/>
                <w:kern w:val="0"/>
                <w:sz w:val="22"/>
                <w:szCs w:val="22"/>
                <w:u w:val="none"/>
                <w:lang w:val="en-US" w:eastAsia="zh-CN" w:bidi="ar"/>
              </w:rPr>
              <w:t>693</w:t>
            </w:r>
          </w:p>
        </w:tc>
        <w:tc>
          <w:tcPr>
            <w:tcW w:w="1235"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b w:val="0"/>
                <w:bCs w:val="0"/>
                <w:i w:val="0"/>
                <w:iCs w:val="0"/>
                <w:color w:val="000000"/>
                <w:kern w:val="0"/>
                <w:sz w:val="22"/>
                <w:szCs w:val="22"/>
                <w:u w:val="none"/>
                <w:lang w:val="en-US" w:eastAsia="zh-CN" w:bidi="ar"/>
              </w:rPr>
            </w:pPr>
            <w:r>
              <w:rPr>
                <w:rFonts w:hint="eastAsia" w:ascii="宋体" w:hAnsi="宋体" w:eastAsia="宋体" w:cs="宋体"/>
                <w:b w:val="0"/>
                <w:bCs w:val="0"/>
                <w:i w:val="0"/>
                <w:iCs w:val="0"/>
                <w:color w:val="000000"/>
                <w:kern w:val="0"/>
                <w:sz w:val="22"/>
                <w:szCs w:val="22"/>
                <w:u w:val="none"/>
                <w:lang w:val="en-US" w:eastAsia="zh-CN" w:bidi="ar"/>
              </w:rPr>
              <w:t>2.33</w:t>
            </w:r>
          </w:p>
        </w:tc>
        <w:tc>
          <w:tcPr>
            <w:tcW w:w="1235"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b w:val="0"/>
                <w:bCs w:val="0"/>
                <w:i w:val="0"/>
                <w:iCs w:val="0"/>
                <w:color w:val="000000"/>
                <w:kern w:val="0"/>
                <w:sz w:val="22"/>
                <w:szCs w:val="22"/>
                <w:u w:val="none"/>
                <w:lang w:val="en-US" w:eastAsia="zh-CN" w:bidi="ar"/>
              </w:rPr>
            </w:pPr>
            <w:r>
              <w:rPr>
                <w:rFonts w:hint="eastAsia" w:ascii="宋体" w:hAnsi="宋体" w:eastAsia="宋体" w:cs="宋体"/>
                <w:b w:val="0"/>
                <w:bCs w:val="0"/>
                <w:i w:val="0"/>
                <w:iCs w:val="0"/>
                <w:color w:val="000000"/>
                <w:kern w:val="0"/>
                <w:sz w:val="22"/>
                <w:szCs w:val="22"/>
                <w:u w:val="none"/>
                <w:lang w:val="en-US" w:eastAsia="zh-CN" w:bidi="ar"/>
              </w:rPr>
              <w:t>0.090</w:t>
            </w:r>
          </w:p>
        </w:tc>
      </w:tr>
      <w:tr>
        <w:trPr>
          <w:trHeight w:val="336" w:hRule="atLeast"/>
        </w:trPr>
        <w:tc>
          <w:tcPr>
            <w:tcW w:w="531"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b w:val="0"/>
                <w:bCs w:val="0"/>
                <w:i w:val="0"/>
                <w:iCs w:val="0"/>
                <w:color w:val="000000"/>
                <w:kern w:val="0"/>
                <w:sz w:val="22"/>
                <w:szCs w:val="22"/>
                <w:u w:val="none"/>
                <w:lang w:val="en-US" w:eastAsia="zh-CN" w:bidi="ar"/>
              </w:rPr>
            </w:pPr>
            <w:r>
              <w:rPr>
                <w:rFonts w:hint="eastAsia" w:ascii="宋体" w:hAnsi="宋体" w:eastAsia="宋体" w:cs="宋体"/>
                <w:b w:val="0"/>
                <w:bCs w:val="0"/>
                <w:i w:val="0"/>
                <w:iCs w:val="0"/>
                <w:color w:val="000000"/>
                <w:kern w:val="0"/>
                <w:sz w:val="22"/>
                <w:szCs w:val="22"/>
                <w:u w:val="none"/>
                <w:lang w:val="en-US" w:eastAsia="zh-CN" w:bidi="ar"/>
              </w:rPr>
              <w:t>6</w:t>
            </w:r>
          </w:p>
        </w:tc>
        <w:tc>
          <w:tcPr>
            <w:tcW w:w="4047"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b w:val="0"/>
                <w:bCs w:val="0"/>
                <w:i w:val="0"/>
                <w:iCs w:val="0"/>
                <w:color w:val="000000"/>
                <w:kern w:val="0"/>
                <w:sz w:val="22"/>
                <w:szCs w:val="22"/>
                <w:u w:val="none"/>
                <w:lang w:val="en-US" w:eastAsia="zh-CN" w:bidi="ar"/>
              </w:rPr>
            </w:pPr>
            <w:r>
              <w:rPr>
                <w:rFonts w:hint="eastAsia" w:ascii="宋体" w:hAnsi="宋体" w:eastAsia="宋体" w:cs="宋体"/>
                <w:b w:val="0"/>
                <w:bCs w:val="0"/>
                <w:i w:val="0"/>
                <w:iCs w:val="0"/>
                <w:color w:val="000000"/>
                <w:kern w:val="0"/>
                <w:sz w:val="22"/>
                <w:szCs w:val="22"/>
                <w:u w:val="none"/>
                <w:lang w:val="en-US" w:eastAsia="zh-CN" w:bidi="ar"/>
              </w:rPr>
              <w:t>秀澜（上海）物业管理有限公司</w:t>
            </w:r>
          </w:p>
        </w:tc>
        <w:tc>
          <w:tcPr>
            <w:tcW w:w="1453"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b w:val="0"/>
                <w:bCs w:val="0"/>
                <w:i w:val="0"/>
                <w:iCs w:val="0"/>
                <w:color w:val="000000"/>
                <w:kern w:val="0"/>
                <w:sz w:val="22"/>
                <w:szCs w:val="22"/>
                <w:u w:val="none"/>
                <w:lang w:val="en-US" w:eastAsia="zh-CN" w:bidi="ar"/>
              </w:rPr>
            </w:pPr>
            <w:r>
              <w:rPr>
                <w:rFonts w:hint="eastAsia" w:ascii="宋体" w:hAnsi="宋体" w:eastAsia="宋体" w:cs="宋体"/>
                <w:b w:val="0"/>
                <w:bCs w:val="0"/>
                <w:i w:val="0"/>
                <w:iCs w:val="0"/>
                <w:color w:val="000000"/>
                <w:kern w:val="0"/>
                <w:sz w:val="22"/>
                <w:szCs w:val="22"/>
                <w:u w:val="none"/>
                <w:lang w:val="en-US" w:eastAsia="zh-CN" w:bidi="ar"/>
              </w:rPr>
              <w:t>788</w:t>
            </w:r>
          </w:p>
        </w:tc>
        <w:tc>
          <w:tcPr>
            <w:tcW w:w="1375"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b w:val="0"/>
                <w:bCs w:val="0"/>
                <w:i w:val="0"/>
                <w:iCs w:val="0"/>
                <w:color w:val="000000"/>
                <w:kern w:val="0"/>
                <w:sz w:val="22"/>
                <w:szCs w:val="22"/>
                <w:u w:val="none"/>
                <w:lang w:val="en-US" w:eastAsia="zh-CN" w:bidi="ar"/>
              </w:rPr>
            </w:pPr>
            <w:r>
              <w:rPr>
                <w:rFonts w:hint="eastAsia" w:ascii="宋体" w:hAnsi="宋体" w:eastAsia="宋体" w:cs="宋体"/>
                <w:b w:val="0"/>
                <w:bCs w:val="0"/>
                <w:i w:val="0"/>
                <w:iCs w:val="0"/>
                <w:color w:val="000000"/>
                <w:kern w:val="0"/>
                <w:sz w:val="22"/>
                <w:szCs w:val="22"/>
                <w:u w:val="none"/>
                <w:lang w:val="en-US" w:eastAsia="zh-CN" w:bidi="ar"/>
              </w:rPr>
              <w:t>575</w:t>
            </w:r>
          </w:p>
        </w:tc>
        <w:tc>
          <w:tcPr>
            <w:tcW w:w="1235"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b w:val="0"/>
                <w:bCs w:val="0"/>
                <w:i w:val="0"/>
                <w:iCs w:val="0"/>
                <w:color w:val="000000"/>
                <w:kern w:val="0"/>
                <w:sz w:val="22"/>
                <w:szCs w:val="22"/>
                <w:u w:val="none"/>
                <w:lang w:val="en-US" w:eastAsia="zh-CN" w:bidi="ar"/>
              </w:rPr>
            </w:pPr>
            <w:r>
              <w:rPr>
                <w:rFonts w:hint="eastAsia" w:ascii="宋体" w:hAnsi="宋体" w:eastAsia="宋体" w:cs="宋体"/>
                <w:b w:val="0"/>
                <w:bCs w:val="0"/>
                <w:i w:val="0"/>
                <w:iCs w:val="0"/>
                <w:color w:val="000000"/>
                <w:kern w:val="0"/>
                <w:sz w:val="22"/>
                <w:szCs w:val="22"/>
                <w:u w:val="none"/>
                <w:lang w:val="en-US" w:eastAsia="zh-CN" w:bidi="ar"/>
              </w:rPr>
              <w:t>1.93</w:t>
            </w:r>
          </w:p>
        </w:tc>
        <w:tc>
          <w:tcPr>
            <w:tcW w:w="1235"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b w:val="0"/>
                <w:bCs w:val="0"/>
                <w:i w:val="0"/>
                <w:iCs w:val="0"/>
                <w:color w:val="000000"/>
                <w:kern w:val="0"/>
                <w:sz w:val="22"/>
                <w:szCs w:val="22"/>
                <w:u w:val="none"/>
                <w:lang w:val="en-US" w:eastAsia="zh-CN" w:bidi="ar"/>
              </w:rPr>
            </w:pPr>
            <w:r>
              <w:rPr>
                <w:rFonts w:hint="eastAsia" w:ascii="宋体" w:hAnsi="宋体" w:eastAsia="宋体" w:cs="宋体"/>
                <w:b w:val="0"/>
                <w:bCs w:val="0"/>
                <w:i w:val="0"/>
                <w:iCs w:val="0"/>
                <w:color w:val="000000"/>
                <w:kern w:val="0"/>
                <w:sz w:val="22"/>
                <w:szCs w:val="22"/>
                <w:u w:val="none"/>
                <w:lang w:val="en-US" w:eastAsia="zh-CN" w:bidi="ar"/>
              </w:rPr>
              <w:t>0.053</w:t>
            </w:r>
          </w:p>
        </w:tc>
      </w:tr>
      <w:tr>
        <w:trPr>
          <w:trHeight w:val="336" w:hRule="atLeast"/>
        </w:trPr>
        <w:tc>
          <w:tcPr>
            <w:tcW w:w="531"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b w:val="0"/>
                <w:bCs w:val="0"/>
                <w:i w:val="0"/>
                <w:iCs w:val="0"/>
                <w:color w:val="000000"/>
                <w:kern w:val="0"/>
                <w:sz w:val="22"/>
                <w:szCs w:val="22"/>
                <w:u w:val="none"/>
                <w:lang w:val="en-US" w:eastAsia="zh-CN" w:bidi="ar"/>
              </w:rPr>
            </w:pPr>
            <w:r>
              <w:rPr>
                <w:rFonts w:hint="eastAsia" w:ascii="宋体" w:hAnsi="宋体" w:eastAsia="宋体" w:cs="宋体"/>
                <w:b w:val="0"/>
                <w:bCs w:val="0"/>
                <w:i w:val="0"/>
                <w:iCs w:val="0"/>
                <w:color w:val="000000"/>
                <w:kern w:val="0"/>
                <w:sz w:val="22"/>
                <w:szCs w:val="22"/>
                <w:u w:val="none"/>
                <w:lang w:val="en-US" w:eastAsia="zh-CN" w:bidi="ar"/>
              </w:rPr>
              <w:t>7</w:t>
            </w:r>
          </w:p>
        </w:tc>
        <w:tc>
          <w:tcPr>
            <w:tcW w:w="4047"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b w:val="0"/>
                <w:bCs w:val="0"/>
                <w:i w:val="0"/>
                <w:iCs w:val="0"/>
                <w:color w:val="000000"/>
                <w:kern w:val="0"/>
                <w:sz w:val="22"/>
                <w:szCs w:val="22"/>
                <w:u w:val="none"/>
                <w:lang w:val="en-US" w:eastAsia="zh-CN" w:bidi="ar"/>
              </w:rPr>
            </w:pPr>
            <w:r>
              <w:rPr>
                <w:rFonts w:hint="eastAsia" w:ascii="宋体" w:hAnsi="宋体" w:eastAsia="宋体" w:cs="宋体"/>
                <w:b w:val="0"/>
                <w:bCs w:val="0"/>
                <w:i w:val="0"/>
                <w:iCs w:val="0"/>
                <w:color w:val="000000"/>
                <w:kern w:val="0"/>
                <w:sz w:val="22"/>
                <w:szCs w:val="22"/>
                <w:u w:val="none"/>
                <w:lang w:val="en-US" w:eastAsia="zh-CN" w:bidi="ar"/>
              </w:rPr>
              <w:t>上海安得物业管理有限公司</w:t>
            </w:r>
          </w:p>
        </w:tc>
        <w:tc>
          <w:tcPr>
            <w:tcW w:w="1453"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b w:val="0"/>
                <w:bCs w:val="0"/>
                <w:i w:val="0"/>
                <w:iCs w:val="0"/>
                <w:color w:val="000000"/>
                <w:kern w:val="0"/>
                <w:sz w:val="22"/>
                <w:szCs w:val="22"/>
                <w:u w:val="none"/>
                <w:lang w:val="en-US" w:eastAsia="zh-CN" w:bidi="ar"/>
              </w:rPr>
            </w:pPr>
            <w:r>
              <w:rPr>
                <w:rFonts w:hint="eastAsia" w:ascii="宋体" w:hAnsi="宋体" w:eastAsia="宋体" w:cs="宋体"/>
                <w:b w:val="0"/>
                <w:bCs w:val="0"/>
                <w:i w:val="0"/>
                <w:iCs w:val="0"/>
                <w:color w:val="000000"/>
                <w:kern w:val="0"/>
                <w:sz w:val="22"/>
                <w:szCs w:val="22"/>
                <w:u w:val="none"/>
                <w:lang w:val="en-US" w:eastAsia="zh-CN" w:bidi="ar"/>
              </w:rPr>
              <w:t>699</w:t>
            </w:r>
          </w:p>
        </w:tc>
        <w:tc>
          <w:tcPr>
            <w:tcW w:w="1375"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b w:val="0"/>
                <w:bCs w:val="0"/>
                <w:i w:val="0"/>
                <w:iCs w:val="0"/>
                <w:color w:val="000000"/>
                <w:kern w:val="0"/>
                <w:sz w:val="22"/>
                <w:szCs w:val="22"/>
                <w:u w:val="none"/>
                <w:lang w:val="en-US" w:eastAsia="zh-CN" w:bidi="ar"/>
              </w:rPr>
            </w:pPr>
            <w:r>
              <w:rPr>
                <w:rFonts w:hint="eastAsia" w:ascii="宋体" w:hAnsi="宋体" w:eastAsia="宋体" w:cs="宋体"/>
                <w:b w:val="0"/>
                <w:bCs w:val="0"/>
                <w:i w:val="0"/>
                <w:iCs w:val="0"/>
                <w:color w:val="000000"/>
                <w:kern w:val="0"/>
                <w:sz w:val="22"/>
                <w:szCs w:val="22"/>
                <w:u w:val="none"/>
                <w:lang w:val="en-US" w:eastAsia="zh-CN" w:bidi="ar"/>
              </w:rPr>
              <w:t>565</w:t>
            </w:r>
          </w:p>
        </w:tc>
        <w:tc>
          <w:tcPr>
            <w:tcW w:w="1235"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b w:val="0"/>
                <w:bCs w:val="0"/>
                <w:i w:val="0"/>
                <w:iCs w:val="0"/>
                <w:color w:val="000000"/>
                <w:kern w:val="0"/>
                <w:sz w:val="22"/>
                <w:szCs w:val="22"/>
                <w:u w:val="none"/>
                <w:lang w:val="en-US" w:eastAsia="zh-CN" w:bidi="ar"/>
              </w:rPr>
            </w:pPr>
            <w:r>
              <w:rPr>
                <w:rFonts w:hint="eastAsia" w:ascii="宋体" w:hAnsi="宋体" w:eastAsia="宋体" w:cs="宋体"/>
                <w:b w:val="0"/>
                <w:bCs w:val="0"/>
                <w:i w:val="0"/>
                <w:iCs w:val="0"/>
                <w:color w:val="000000"/>
                <w:kern w:val="0"/>
                <w:sz w:val="22"/>
                <w:szCs w:val="22"/>
                <w:u w:val="none"/>
                <w:lang w:val="en-US" w:eastAsia="zh-CN" w:bidi="ar"/>
              </w:rPr>
              <w:t>1.9</w:t>
            </w:r>
          </w:p>
        </w:tc>
        <w:tc>
          <w:tcPr>
            <w:tcW w:w="1235"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b w:val="0"/>
                <w:bCs w:val="0"/>
                <w:i w:val="0"/>
                <w:iCs w:val="0"/>
                <w:color w:val="000000"/>
                <w:kern w:val="0"/>
                <w:sz w:val="22"/>
                <w:szCs w:val="22"/>
                <w:u w:val="none"/>
                <w:lang w:val="en-US" w:eastAsia="zh-CN" w:bidi="ar"/>
              </w:rPr>
            </w:pPr>
            <w:r>
              <w:rPr>
                <w:rFonts w:hint="eastAsia" w:ascii="宋体" w:hAnsi="宋体" w:eastAsia="宋体" w:cs="宋体"/>
                <w:b w:val="0"/>
                <w:bCs w:val="0"/>
                <w:i w:val="0"/>
                <w:iCs w:val="0"/>
                <w:color w:val="000000"/>
                <w:kern w:val="0"/>
                <w:sz w:val="22"/>
                <w:szCs w:val="22"/>
                <w:u w:val="none"/>
                <w:lang w:val="en-US" w:eastAsia="zh-CN" w:bidi="ar"/>
              </w:rPr>
              <w:t>0.052</w:t>
            </w:r>
          </w:p>
        </w:tc>
      </w:tr>
      <w:tr>
        <w:trPr>
          <w:trHeight w:val="336" w:hRule="atLeast"/>
        </w:trPr>
        <w:tc>
          <w:tcPr>
            <w:tcW w:w="531"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b w:val="0"/>
                <w:bCs w:val="0"/>
                <w:i w:val="0"/>
                <w:iCs w:val="0"/>
                <w:color w:val="000000"/>
                <w:kern w:val="0"/>
                <w:sz w:val="22"/>
                <w:szCs w:val="22"/>
                <w:u w:val="none"/>
                <w:lang w:val="en-US" w:eastAsia="zh-CN" w:bidi="ar"/>
              </w:rPr>
            </w:pPr>
            <w:r>
              <w:rPr>
                <w:rFonts w:hint="eastAsia" w:ascii="宋体" w:hAnsi="宋体" w:eastAsia="宋体" w:cs="宋体"/>
                <w:b w:val="0"/>
                <w:bCs w:val="0"/>
                <w:i w:val="0"/>
                <w:iCs w:val="0"/>
                <w:color w:val="000000"/>
                <w:kern w:val="0"/>
                <w:sz w:val="22"/>
                <w:szCs w:val="22"/>
                <w:u w:val="none"/>
                <w:lang w:val="en-US" w:eastAsia="zh-CN" w:bidi="ar"/>
              </w:rPr>
              <w:t>8</w:t>
            </w:r>
          </w:p>
        </w:tc>
        <w:tc>
          <w:tcPr>
            <w:tcW w:w="4047"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b w:val="0"/>
                <w:bCs w:val="0"/>
                <w:i w:val="0"/>
                <w:iCs w:val="0"/>
                <w:color w:val="000000"/>
                <w:kern w:val="0"/>
                <w:sz w:val="22"/>
                <w:szCs w:val="22"/>
                <w:u w:val="none"/>
                <w:lang w:val="en-US" w:eastAsia="zh-CN" w:bidi="ar"/>
              </w:rPr>
            </w:pPr>
            <w:r>
              <w:rPr>
                <w:rFonts w:hint="eastAsia" w:ascii="宋体" w:hAnsi="宋体" w:eastAsia="宋体" w:cs="宋体"/>
                <w:b w:val="0"/>
                <w:bCs w:val="0"/>
                <w:i w:val="0"/>
                <w:iCs w:val="0"/>
                <w:color w:val="000000"/>
                <w:kern w:val="0"/>
                <w:sz w:val="22"/>
                <w:szCs w:val="22"/>
                <w:u w:val="none"/>
                <w:lang w:val="en-US" w:eastAsia="zh-CN" w:bidi="ar"/>
              </w:rPr>
              <w:t>上海轻工物业管理有限公司</w:t>
            </w:r>
          </w:p>
        </w:tc>
        <w:tc>
          <w:tcPr>
            <w:tcW w:w="1453"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b w:val="0"/>
                <w:bCs w:val="0"/>
                <w:i w:val="0"/>
                <w:iCs w:val="0"/>
                <w:color w:val="000000"/>
                <w:kern w:val="0"/>
                <w:sz w:val="22"/>
                <w:szCs w:val="22"/>
                <w:u w:val="none"/>
                <w:lang w:val="en-US" w:eastAsia="zh-CN" w:bidi="ar"/>
              </w:rPr>
            </w:pPr>
            <w:r>
              <w:rPr>
                <w:rFonts w:hint="eastAsia" w:ascii="宋体" w:hAnsi="宋体" w:eastAsia="宋体" w:cs="宋体"/>
                <w:b w:val="0"/>
                <w:bCs w:val="0"/>
                <w:i w:val="0"/>
                <w:iCs w:val="0"/>
                <w:color w:val="000000"/>
                <w:kern w:val="0"/>
                <w:sz w:val="22"/>
                <w:szCs w:val="22"/>
                <w:u w:val="none"/>
                <w:lang w:val="en-US" w:eastAsia="zh-CN" w:bidi="ar"/>
              </w:rPr>
              <w:t>556</w:t>
            </w:r>
          </w:p>
        </w:tc>
        <w:tc>
          <w:tcPr>
            <w:tcW w:w="1375"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b w:val="0"/>
                <w:bCs w:val="0"/>
                <w:i w:val="0"/>
                <w:iCs w:val="0"/>
                <w:color w:val="000000"/>
                <w:kern w:val="0"/>
                <w:sz w:val="22"/>
                <w:szCs w:val="22"/>
                <w:u w:val="none"/>
                <w:lang w:val="en-US" w:eastAsia="zh-CN" w:bidi="ar"/>
              </w:rPr>
            </w:pPr>
            <w:r>
              <w:rPr>
                <w:rFonts w:hint="eastAsia" w:ascii="宋体" w:hAnsi="宋体" w:eastAsia="宋体" w:cs="宋体"/>
                <w:b w:val="0"/>
                <w:bCs w:val="0"/>
                <w:i w:val="0"/>
                <w:iCs w:val="0"/>
                <w:color w:val="000000"/>
                <w:kern w:val="0"/>
                <w:sz w:val="22"/>
                <w:szCs w:val="22"/>
                <w:u w:val="none"/>
                <w:lang w:val="en-US" w:eastAsia="zh-CN" w:bidi="ar"/>
              </w:rPr>
              <w:t>547</w:t>
            </w:r>
          </w:p>
        </w:tc>
        <w:tc>
          <w:tcPr>
            <w:tcW w:w="1235"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b w:val="0"/>
                <w:bCs w:val="0"/>
                <w:i w:val="0"/>
                <w:iCs w:val="0"/>
                <w:color w:val="000000"/>
                <w:kern w:val="0"/>
                <w:sz w:val="22"/>
                <w:szCs w:val="22"/>
                <w:u w:val="none"/>
                <w:lang w:val="en-US" w:eastAsia="zh-CN" w:bidi="ar"/>
              </w:rPr>
            </w:pPr>
            <w:r>
              <w:rPr>
                <w:rFonts w:hint="eastAsia" w:ascii="宋体" w:hAnsi="宋体" w:eastAsia="宋体" w:cs="宋体"/>
                <w:b w:val="0"/>
                <w:bCs w:val="0"/>
                <w:i w:val="0"/>
                <w:iCs w:val="0"/>
                <w:color w:val="000000"/>
                <w:kern w:val="0"/>
                <w:sz w:val="22"/>
                <w:szCs w:val="22"/>
                <w:u w:val="none"/>
                <w:lang w:val="en-US" w:eastAsia="zh-CN" w:bidi="ar"/>
              </w:rPr>
              <w:t>1.84</w:t>
            </w:r>
          </w:p>
        </w:tc>
        <w:tc>
          <w:tcPr>
            <w:tcW w:w="1235"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b w:val="0"/>
                <w:bCs w:val="0"/>
                <w:i w:val="0"/>
                <w:iCs w:val="0"/>
                <w:color w:val="000000"/>
                <w:kern w:val="0"/>
                <w:sz w:val="22"/>
                <w:szCs w:val="22"/>
                <w:u w:val="none"/>
                <w:lang w:val="en-US" w:eastAsia="zh-CN" w:bidi="ar"/>
              </w:rPr>
            </w:pPr>
            <w:r>
              <w:rPr>
                <w:rFonts w:hint="eastAsia" w:ascii="宋体" w:hAnsi="宋体" w:eastAsia="宋体" w:cs="宋体"/>
                <w:b w:val="0"/>
                <w:bCs w:val="0"/>
                <w:i w:val="0"/>
                <w:iCs w:val="0"/>
                <w:color w:val="000000"/>
                <w:kern w:val="0"/>
                <w:sz w:val="22"/>
                <w:szCs w:val="22"/>
                <w:u w:val="none"/>
                <w:lang w:val="en-US" w:eastAsia="zh-CN" w:bidi="ar"/>
              </w:rPr>
              <w:t>0.056</w:t>
            </w:r>
          </w:p>
        </w:tc>
      </w:tr>
      <w:tr>
        <w:trPr>
          <w:trHeight w:val="336" w:hRule="atLeast"/>
        </w:trPr>
        <w:tc>
          <w:tcPr>
            <w:tcW w:w="531"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b w:val="0"/>
                <w:bCs w:val="0"/>
                <w:i w:val="0"/>
                <w:iCs w:val="0"/>
                <w:color w:val="000000"/>
                <w:kern w:val="0"/>
                <w:sz w:val="22"/>
                <w:szCs w:val="22"/>
                <w:u w:val="none"/>
                <w:lang w:val="en-US" w:eastAsia="zh-CN" w:bidi="ar"/>
              </w:rPr>
            </w:pPr>
            <w:r>
              <w:rPr>
                <w:rFonts w:hint="eastAsia" w:ascii="宋体" w:hAnsi="宋体" w:eastAsia="宋体" w:cs="宋体"/>
                <w:b w:val="0"/>
                <w:bCs w:val="0"/>
                <w:i w:val="0"/>
                <w:iCs w:val="0"/>
                <w:color w:val="000000"/>
                <w:kern w:val="0"/>
                <w:sz w:val="22"/>
                <w:szCs w:val="22"/>
                <w:u w:val="none"/>
                <w:lang w:val="en-US" w:eastAsia="zh-CN" w:bidi="ar"/>
              </w:rPr>
              <w:t>9</w:t>
            </w:r>
          </w:p>
        </w:tc>
        <w:tc>
          <w:tcPr>
            <w:tcW w:w="4047"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b w:val="0"/>
                <w:bCs w:val="0"/>
                <w:i w:val="0"/>
                <w:iCs w:val="0"/>
                <w:color w:val="000000"/>
                <w:kern w:val="0"/>
                <w:sz w:val="22"/>
                <w:szCs w:val="22"/>
                <w:u w:val="none"/>
                <w:lang w:val="en-US" w:eastAsia="zh-CN" w:bidi="ar"/>
              </w:rPr>
            </w:pPr>
            <w:r>
              <w:rPr>
                <w:rFonts w:hint="eastAsia" w:ascii="宋体" w:hAnsi="宋体" w:eastAsia="宋体" w:cs="宋体"/>
                <w:b w:val="0"/>
                <w:bCs w:val="0"/>
                <w:i w:val="0"/>
                <w:iCs w:val="0"/>
                <w:color w:val="000000"/>
                <w:kern w:val="0"/>
                <w:sz w:val="22"/>
                <w:szCs w:val="22"/>
                <w:u w:val="none"/>
                <w:lang w:val="en-US" w:eastAsia="zh-CN" w:bidi="ar"/>
              </w:rPr>
              <w:t>上海中星集团申城物业有限公司</w:t>
            </w:r>
          </w:p>
        </w:tc>
        <w:tc>
          <w:tcPr>
            <w:tcW w:w="1453"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b w:val="0"/>
                <w:bCs w:val="0"/>
                <w:i w:val="0"/>
                <w:iCs w:val="0"/>
                <w:color w:val="000000"/>
                <w:kern w:val="0"/>
                <w:sz w:val="22"/>
                <w:szCs w:val="22"/>
                <w:u w:val="none"/>
                <w:lang w:val="en-US" w:eastAsia="zh-CN" w:bidi="ar"/>
              </w:rPr>
            </w:pPr>
            <w:r>
              <w:rPr>
                <w:rFonts w:hint="eastAsia" w:ascii="宋体" w:hAnsi="宋体" w:eastAsia="宋体" w:cs="宋体"/>
                <w:b w:val="0"/>
                <w:bCs w:val="0"/>
                <w:i w:val="0"/>
                <w:iCs w:val="0"/>
                <w:color w:val="000000"/>
                <w:kern w:val="0"/>
                <w:sz w:val="22"/>
                <w:szCs w:val="22"/>
                <w:u w:val="none"/>
                <w:lang w:val="en-US" w:eastAsia="zh-CN" w:bidi="ar"/>
              </w:rPr>
              <w:t>534</w:t>
            </w:r>
          </w:p>
        </w:tc>
        <w:tc>
          <w:tcPr>
            <w:tcW w:w="1375"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b w:val="0"/>
                <w:bCs w:val="0"/>
                <w:i w:val="0"/>
                <w:iCs w:val="0"/>
                <w:color w:val="000000"/>
                <w:kern w:val="0"/>
                <w:sz w:val="22"/>
                <w:szCs w:val="22"/>
                <w:u w:val="none"/>
                <w:lang w:val="en-US" w:eastAsia="zh-CN" w:bidi="ar"/>
              </w:rPr>
            </w:pPr>
            <w:r>
              <w:rPr>
                <w:rFonts w:hint="eastAsia" w:ascii="宋体" w:hAnsi="宋体" w:eastAsia="宋体" w:cs="宋体"/>
                <w:b w:val="0"/>
                <w:bCs w:val="0"/>
                <w:i w:val="0"/>
                <w:iCs w:val="0"/>
                <w:color w:val="000000"/>
                <w:kern w:val="0"/>
                <w:sz w:val="22"/>
                <w:szCs w:val="22"/>
                <w:u w:val="none"/>
                <w:lang w:val="en-US" w:eastAsia="zh-CN" w:bidi="ar"/>
              </w:rPr>
              <w:t>517</w:t>
            </w:r>
          </w:p>
        </w:tc>
        <w:tc>
          <w:tcPr>
            <w:tcW w:w="1235"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b w:val="0"/>
                <w:bCs w:val="0"/>
                <w:i w:val="0"/>
                <w:iCs w:val="0"/>
                <w:color w:val="000000"/>
                <w:kern w:val="0"/>
                <w:sz w:val="22"/>
                <w:szCs w:val="22"/>
                <w:u w:val="none"/>
                <w:lang w:val="en-US" w:eastAsia="zh-CN" w:bidi="ar"/>
              </w:rPr>
            </w:pPr>
            <w:r>
              <w:rPr>
                <w:rFonts w:hint="eastAsia" w:ascii="宋体" w:hAnsi="宋体" w:eastAsia="宋体" w:cs="宋体"/>
                <w:b w:val="0"/>
                <w:bCs w:val="0"/>
                <w:i w:val="0"/>
                <w:iCs w:val="0"/>
                <w:color w:val="000000"/>
                <w:kern w:val="0"/>
                <w:sz w:val="22"/>
                <w:szCs w:val="22"/>
                <w:u w:val="none"/>
                <w:lang w:val="en-US" w:eastAsia="zh-CN" w:bidi="ar"/>
              </w:rPr>
              <w:t>1.74</w:t>
            </w:r>
          </w:p>
        </w:tc>
        <w:tc>
          <w:tcPr>
            <w:tcW w:w="1235"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b w:val="0"/>
                <w:bCs w:val="0"/>
                <w:i w:val="0"/>
                <w:iCs w:val="0"/>
                <w:color w:val="000000"/>
                <w:kern w:val="0"/>
                <w:sz w:val="22"/>
                <w:szCs w:val="22"/>
                <w:u w:val="none"/>
                <w:lang w:val="en-US" w:eastAsia="zh-CN" w:bidi="ar"/>
              </w:rPr>
            </w:pPr>
            <w:r>
              <w:rPr>
                <w:rFonts w:hint="eastAsia" w:ascii="宋体" w:hAnsi="宋体" w:eastAsia="宋体" w:cs="宋体"/>
                <w:b w:val="0"/>
                <w:bCs w:val="0"/>
                <w:i w:val="0"/>
                <w:iCs w:val="0"/>
                <w:color w:val="000000"/>
                <w:kern w:val="0"/>
                <w:sz w:val="22"/>
                <w:szCs w:val="22"/>
                <w:u w:val="none"/>
                <w:lang w:val="en-US" w:eastAsia="zh-CN" w:bidi="ar"/>
              </w:rPr>
              <w:t>0.035</w:t>
            </w:r>
          </w:p>
        </w:tc>
      </w:tr>
      <w:tr>
        <w:trPr>
          <w:trHeight w:val="336" w:hRule="atLeast"/>
        </w:trPr>
        <w:tc>
          <w:tcPr>
            <w:tcW w:w="531"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b w:val="0"/>
                <w:bCs w:val="0"/>
                <w:i w:val="0"/>
                <w:iCs w:val="0"/>
                <w:color w:val="000000"/>
                <w:kern w:val="0"/>
                <w:sz w:val="22"/>
                <w:szCs w:val="22"/>
                <w:u w:val="none"/>
                <w:lang w:val="en-US" w:eastAsia="zh-CN" w:bidi="ar"/>
              </w:rPr>
            </w:pPr>
            <w:r>
              <w:rPr>
                <w:rFonts w:hint="eastAsia" w:ascii="宋体" w:hAnsi="宋体" w:eastAsia="宋体" w:cs="宋体"/>
                <w:b w:val="0"/>
                <w:bCs w:val="0"/>
                <w:i w:val="0"/>
                <w:iCs w:val="0"/>
                <w:color w:val="000000"/>
                <w:kern w:val="0"/>
                <w:sz w:val="22"/>
                <w:szCs w:val="22"/>
                <w:u w:val="none"/>
                <w:lang w:val="en-US" w:eastAsia="zh-CN" w:bidi="ar"/>
              </w:rPr>
              <w:t>10</w:t>
            </w:r>
          </w:p>
        </w:tc>
        <w:tc>
          <w:tcPr>
            <w:tcW w:w="4047"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b w:val="0"/>
                <w:bCs w:val="0"/>
                <w:i w:val="0"/>
                <w:iCs w:val="0"/>
                <w:color w:val="000000"/>
                <w:kern w:val="0"/>
                <w:sz w:val="22"/>
                <w:szCs w:val="22"/>
                <w:u w:val="none"/>
                <w:lang w:val="en-US" w:eastAsia="zh-CN" w:bidi="ar"/>
              </w:rPr>
            </w:pPr>
            <w:r>
              <w:rPr>
                <w:rFonts w:hint="eastAsia" w:ascii="宋体" w:hAnsi="宋体" w:eastAsia="宋体" w:cs="宋体"/>
                <w:b w:val="0"/>
                <w:bCs w:val="0"/>
                <w:i w:val="0"/>
                <w:iCs w:val="0"/>
                <w:color w:val="000000"/>
                <w:kern w:val="0"/>
                <w:sz w:val="22"/>
                <w:szCs w:val="22"/>
                <w:u w:val="none"/>
                <w:lang w:val="en-US" w:eastAsia="zh-CN" w:bidi="ar"/>
              </w:rPr>
              <w:t>上海润美物业管理有限公司</w:t>
            </w:r>
          </w:p>
        </w:tc>
        <w:tc>
          <w:tcPr>
            <w:tcW w:w="1453"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b w:val="0"/>
                <w:bCs w:val="0"/>
                <w:i w:val="0"/>
                <w:iCs w:val="0"/>
                <w:color w:val="000000"/>
                <w:kern w:val="0"/>
                <w:sz w:val="22"/>
                <w:szCs w:val="22"/>
                <w:u w:val="none"/>
                <w:lang w:val="en-US" w:eastAsia="zh-CN" w:bidi="ar"/>
              </w:rPr>
            </w:pPr>
            <w:r>
              <w:rPr>
                <w:rFonts w:hint="eastAsia" w:ascii="宋体" w:hAnsi="宋体" w:eastAsia="宋体" w:cs="宋体"/>
                <w:b w:val="0"/>
                <w:bCs w:val="0"/>
                <w:i w:val="0"/>
                <w:iCs w:val="0"/>
                <w:color w:val="000000"/>
                <w:kern w:val="0"/>
                <w:sz w:val="22"/>
                <w:szCs w:val="22"/>
                <w:u w:val="none"/>
                <w:lang w:val="en-US" w:eastAsia="zh-CN" w:bidi="ar"/>
              </w:rPr>
              <w:t>464</w:t>
            </w:r>
          </w:p>
        </w:tc>
        <w:tc>
          <w:tcPr>
            <w:tcW w:w="1375"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b w:val="0"/>
                <w:bCs w:val="0"/>
                <w:i w:val="0"/>
                <w:iCs w:val="0"/>
                <w:color w:val="000000"/>
                <w:kern w:val="0"/>
                <w:sz w:val="22"/>
                <w:szCs w:val="22"/>
                <w:u w:val="none"/>
                <w:lang w:val="en-US" w:eastAsia="zh-CN" w:bidi="ar"/>
              </w:rPr>
            </w:pPr>
            <w:r>
              <w:rPr>
                <w:rFonts w:hint="eastAsia" w:ascii="宋体" w:hAnsi="宋体" w:eastAsia="宋体" w:cs="宋体"/>
                <w:b w:val="0"/>
                <w:bCs w:val="0"/>
                <w:i w:val="0"/>
                <w:iCs w:val="0"/>
                <w:color w:val="000000"/>
                <w:kern w:val="0"/>
                <w:sz w:val="22"/>
                <w:szCs w:val="22"/>
                <w:u w:val="none"/>
                <w:lang w:val="en-US" w:eastAsia="zh-CN" w:bidi="ar"/>
              </w:rPr>
              <w:t>499</w:t>
            </w:r>
          </w:p>
        </w:tc>
        <w:tc>
          <w:tcPr>
            <w:tcW w:w="1235"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b w:val="0"/>
                <w:bCs w:val="0"/>
                <w:i w:val="0"/>
                <w:iCs w:val="0"/>
                <w:color w:val="000000"/>
                <w:kern w:val="0"/>
                <w:sz w:val="22"/>
                <w:szCs w:val="22"/>
                <w:u w:val="none"/>
                <w:lang w:val="en-US" w:eastAsia="zh-CN" w:bidi="ar"/>
              </w:rPr>
            </w:pPr>
            <w:r>
              <w:rPr>
                <w:rFonts w:hint="eastAsia" w:ascii="宋体" w:hAnsi="宋体" w:eastAsia="宋体" w:cs="宋体"/>
                <w:b w:val="0"/>
                <w:bCs w:val="0"/>
                <w:i w:val="0"/>
                <w:iCs w:val="0"/>
                <w:color w:val="000000"/>
                <w:kern w:val="0"/>
                <w:sz w:val="22"/>
                <w:szCs w:val="22"/>
                <w:u w:val="none"/>
                <w:lang w:val="en-US" w:eastAsia="zh-CN" w:bidi="ar"/>
              </w:rPr>
              <w:t>1.67</w:t>
            </w:r>
          </w:p>
        </w:tc>
        <w:tc>
          <w:tcPr>
            <w:tcW w:w="1235"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b w:val="0"/>
                <w:bCs w:val="0"/>
                <w:i w:val="0"/>
                <w:iCs w:val="0"/>
                <w:color w:val="000000"/>
                <w:kern w:val="0"/>
                <w:sz w:val="22"/>
                <w:szCs w:val="22"/>
                <w:u w:val="none"/>
                <w:lang w:val="en-US" w:eastAsia="zh-CN" w:bidi="ar"/>
              </w:rPr>
            </w:pPr>
            <w:r>
              <w:rPr>
                <w:rFonts w:hint="eastAsia" w:ascii="宋体" w:hAnsi="宋体" w:eastAsia="宋体" w:cs="宋体"/>
                <w:b w:val="0"/>
                <w:bCs w:val="0"/>
                <w:i w:val="0"/>
                <w:iCs w:val="0"/>
                <w:color w:val="000000"/>
                <w:kern w:val="0"/>
                <w:sz w:val="22"/>
                <w:szCs w:val="22"/>
                <w:u w:val="none"/>
                <w:lang w:val="en-US" w:eastAsia="zh-CN" w:bidi="ar"/>
              </w:rPr>
              <w:t>0.101</w:t>
            </w:r>
          </w:p>
        </w:tc>
      </w:tr>
    </w:tbl>
    <w:p>
      <w:pPr>
        <w:spacing w:before="120" w:after="120" w:line="288" w:lineRule="auto"/>
        <w:ind w:left="0"/>
        <w:jc w:val="left"/>
        <w:rPr>
          <w:rFonts w:ascii="Arial" w:hAnsi="Arial" w:eastAsia="等线" w:cs="Arial"/>
          <w:sz w:val="22"/>
        </w:rPr>
      </w:pPr>
    </w:p>
    <w:p>
      <w:pPr>
        <w:spacing w:before="120" w:after="120" w:line="360" w:lineRule="auto"/>
        <w:ind w:left="0" w:firstLine="560" w:firstLineChars="200"/>
        <w:jc w:val="left"/>
        <w:rPr>
          <w:rFonts w:hint="eastAsia" w:ascii="宋体" w:hAnsi="宋体" w:eastAsia="宋体" w:cs="宋体"/>
          <w:sz w:val="28"/>
          <w:szCs w:val="28"/>
        </w:rPr>
      </w:pPr>
      <w:r>
        <w:rPr>
          <w:rFonts w:hint="eastAsia" w:ascii="宋体" w:hAnsi="宋体" w:eastAsia="宋体" w:cs="宋体"/>
          <w:sz w:val="28"/>
          <w:szCs w:val="28"/>
        </w:rPr>
        <w:t>在服务小区数量≥5的物业服务企业中，上海高建物业有限公司、上海衡复物业有限公司、上海徐房物业有限公司核心诉求工单量连续两年位居前三，2025年工单量分别为3158条、2491条、1603条，合计占全区核心诉求总量的29.9%）。从同比变化来看，三家企业均实现工单量显著下降，整改成效突出：高建物业2024年工单量3852条，2025年同比下降17.9%；衡复物业2024年工单量3320条，同比下降25.0%；徐房物业2024年工单量2486条，同比下降35.5%，降幅为三家企业最大。</w:t>
      </w:r>
    </w:p>
    <w:p>
      <w:pPr>
        <w:spacing w:before="120" w:after="120" w:line="360" w:lineRule="auto"/>
        <w:ind w:left="0" w:firstLine="560" w:firstLineChars="200"/>
        <w:jc w:val="left"/>
        <w:rPr>
          <w:rFonts w:hint="eastAsia" w:ascii="宋体" w:hAnsi="宋体" w:eastAsia="宋体" w:cs="宋体"/>
          <w:sz w:val="28"/>
          <w:szCs w:val="28"/>
        </w:rPr>
      </w:pPr>
      <w:bookmarkStart w:id="15" w:name="heading_15"/>
      <w:r>
        <w:rPr>
          <w:rFonts w:hint="eastAsia" w:ascii="宋体" w:hAnsi="宋体" w:eastAsia="宋体" w:cs="宋体"/>
          <w:sz w:val="28"/>
          <w:szCs w:val="28"/>
        </w:rPr>
        <w:t>工单量分布与企业服务覆盖范围、服务小区类型高度相关，其中高建物业以服务77个小区的规模位居服务小区数首位，2025年占比10.6%，核心诉求集中于房屋维修、物业收费、群租治理三类，其中物业收费类投诉占比达17.2%，高于行业平均水平，主要因服务升级与物业费调价协同推进不足，居民认可度仍有提升空间。衡复物业服务小区数达98个，为全区最多，2025年占比8.36%，因服务多个历史风貌区小区，核心诉求侧重风貌保护配套服务、房屋维修及消防管理，凭借专业化服务团队，实现工单量大幅下降的显著成效。徐房物业作为区域龙头国企，服务57个小区，2025年占比5.38%，核心诉求集中于房屋维修、停车管理、旧住房改造三类，得益于深度参与老旧小区改造与“物业+养老”服务模式创新，工单管控成效最为显著。</w:t>
      </w:r>
    </w:p>
    <w:p>
      <w:pPr>
        <w:spacing w:before="120" w:after="120" w:line="360" w:lineRule="auto"/>
        <w:ind w:left="0" w:firstLine="560" w:firstLineChars="200"/>
        <w:jc w:val="left"/>
        <w:rPr>
          <w:rFonts w:hint="eastAsia" w:ascii="宋体" w:hAnsi="宋体" w:eastAsia="宋体" w:cs="宋体"/>
          <w:sz w:val="28"/>
          <w:szCs w:val="28"/>
        </w:rPr>
      </w:pPr>
      <w:r>
        <w:rPr>
          <w:rFonts w:hint="eastAsia" w:ascii="宋体" w:hAnsi="宋体" w:eastAsia="宋体" w:cs="宋体"/>
          <w:sz w:val="28"/>
          <w:szCs w:val="28"/>
        </w:rPr>
        <w:t>此外，上海汇成物业有限公司（2024年1409条、2025年760条，同比下降46.1%）、上海中海物业管理有限公司（2024年1783条、2025年693条，同比下降61.1%）工单量紧随其后，两家企业2025年工单量降幅显著，其中中海物业服务仅8个小区，服务质量仍需重点提升。</w:t>
      </w:r>
    </w:p>
    <w:p>
      <w:pPr>
        <w:keepNext w:val="0"/>
        <w:keepLines w:val="0"/>
        <w:widowControl/>
        <w:suppressLineNumbers w:val="0"/>
        <w:jc w:val="left"/>
        <w:rPr>
          <w:rFonts w:ascii="宋体" w:hAnsi="宋体" w:eastAsia="宋体" w:cs="宋体"/>
          <w:kern w:val="0"/>
          <w:sz w:val="24"/>
          <w:szCs w:val="24"/>
          <w:lang w:val="en-US" w:eastAsia="zh-CN" w:bidi="ar"/>
        </w:rPr>
      </w:pPr>
      <w:r>
        <w:drawing>
          <wp:inline distT="0" distB="0" distL="114300" distR="114300">
            <wp:extent cx="4723765" cy="3283585"/>
            <wp:effectExtent l="0" t="0" r="635" b="1841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5"/>
                    <a:stretch>
                      <a:fillRect/>
                    </a:stretch>
                  </pic:blipFill>
                  <pic:spPr>
                    <a:xfrm>
                      <a:off x="0" y="0"/>
                      <a:ext cx="4723765" cy="3283585"/>
                    </a:xfrm>
                    <a:prstGeom prst="rect">
                      <a:avLst/>
                    </a:prstGeom>
                    <a:noFill/>
                    <a:ln>
                      <a:noFill/>
                    </a:ln>
                  </pic:spPr>
                </pic:pic>
              </a:graphicData>
            </a:graphic>
          </wp:inline>
        </w:drawing>
      </w:r>
    </w:p>
    <w:p>
      <w:pPr>
        <w:keepNext w:val="0"/>
        <w:keepLines w:val="0"/>
        <w:widowControl/>
        <w:suppressLineNumbers w:val="0"/>
        <w:jc w:val="left"/>
        <w:rPr>
          <w:rFonts w:hint="eastAsia" w:ascii="宋体" w:hAnsi="宋体" w:eastAsia="宋体" w:cs="宋体"/>
          <w:sz w:val="28"/>
          <w:szCs w:val="28"/>
        </w:rPr>
      </w:pPr>
      <w:r>
        <w:rPr>
          <w:rFonts w:ascii="宋体" w:hAnsi="宋体" w:eastAsia="宋体" w:cs="宋体"/>
          <w:kern w:val="0"/>
          <w:sz w:val="24"/>
          <w:szCs w:val="24"/>
          <w:lang w:val="en-US" w:eastAsia="zh-CN" w:bidi="ar"/>
        </w:rPr>
        <w:t>注：徐房物业凭借国企优势，深度参与老旧小区改造、优化“物业+养老”服务模式，以35.5%的同比降幅实现工单量大幅下降，树立了老旧小区服务标杆；衡复物业服务小区数量最多且涵盖大量风貌区小区，凭借专业化服务团队，实现25.0%的工单降幅，风貌区服务经验可复制推广；高建物业服务规模大、覆盖范围广，虽工单量同比下降17.9%，但需聚焦物业收费争议痛点，强化沟通协同，进一步降低投诉量；中海物业虽以61.1%的同比降幅实现工单量大幅缩减，但仍需深挖服务短板，针对性提升服务质量；汇成物业工单量同比降幅达46.1%，治理成效突出，受服务区域群租问题影响较大，需持续强化群租管控能力。</w:t>
      </w:r>
    </w:p>
    <w:p>
      <w:pPr>
        <w:spacing w:before="380" w:after="140" w:line="288" w:lineRule="auto"/>
        <w:ind w:left="0"/>
        <w:jc w:val="left"/>
        <w:outlineLvl w:val="0"/>
      </w:pPr>
      <w:r>
        <w:rPr>
          <w:rFonts w:ascii="Arial" w:hAnsi="Arial" w:eastAsia="等线" w:cs="Arial"/>
          <w:b/>
          <w:sz w:val="36"/>
        </w:rPr>
        <w:t>二、物业督管情况</w:t>
      </w:r>
      <w:bookmarkEnd w:id="15"/>
    </w:p>
    <w:p>
      <w:pPr>
        <w:spacing w:before="120" w:after="120" w:line="360" w:lineRule="auto"/>
        <w:ind w:left="0" w:firstLine="560" w:firstLineChars="200"/>
        <w:jc w:val="left"/>
        <w:rPr>
          <w:rFonts w:hint="eastAsia" w:ascii="宋体" w:hAnsi="宋体" w:eastAsia="宋体" w:cs="宋体"/>
          <w:sz w:val="28"/>
          <w:szCs w:val="28"/>
        </w:rPr>
      </w:pPr>
      <w:r>
        <w:rPr>
          <w:rFonts w:hint="eastAsia" w:ascii="宋体" w:hAnsi="宋体" w:eastAsia="宋体" w:cs="宋体"/>
          <w:sz w:val="28"/>
          <w:szCs w:val="28"/>
        </w:rPr>
        <w:t>2025年，徐汇区构建“调研摸底+制度规范+专业赋能+考核倒逼”的全方位物业督管体系，坚持全覆盖、常态化、闭环式原则，全年累计开展各类督查检查5731次，实现全区小区基本全覆盖，有效推动核心诉求工单降幅达18.2%，缓解物业管理顽疾。</w:t>
      </w:r>
    </w:p>
    <w:p>
      <w:pPr>
        <w:spacing w:before="320" w:after="120" w:line="288" w:lineRule="auto"/>
        <w:ind w:left="0"/>
        <w:jc w:val="left"/>
        <w:outlineLvl w:val="1"/>
      </w:pPr>
      <w:bookmarkStart w:id="16" w:name="heading_16"/>
      <w:r>
        <w:rPr>
          <w:rFonts w:ascii="Arial" w:hAnsi="Arial" w:eastAsia="等线" w:cs="Arial"/>
          <w:b/>
          <w:sz w:val="32"/>
        </w:rPr>
        <w:t>2.1 整体情况</w:t>
      </w:r>
      <w:bookmarkEnd w:id="16"/>
    </w:p>
    <w:p>
      <w:pPr>
        <w:keepNext w:val="0"/>
        <w:keepLines w:val="0"/>
        <w:widowControl/>
        <w:suppressLineNumbers w:val="0"/>
        <w:spacing w:before="120" w:after="120"/>
        <w:jc w:val="left"/>
        <w:rPr>
          <w:rFonts w:hint="eastAsia" w:ascii="宋体" w:hAnsi="宋体" w:cs="宋体"/>
          <w:sz w:val="28"/>
          <w:szCs w:val="28"/>
        </w:rPr>
      </w:pPr>
      <w:bookmarkStart w:id="17" w:name="heading_17"/>
      <w:r>
        <w:rPr>
          <w:rFonts w:hint="eastAsia" w:ascii="宋体" w:hAnsi="宋体" w:eastAsia="宋体" w:cs="宋体"/>
          <w:kern w:val="0"/>
          <w:sz w:val="28"/>
          <w:szCs w:val="28"/>
          <w:lang w:val="en-US" w:eastAsia="zh-CN" w:bidi="ar"/>
        </w:rPr>
        <w:t>本次督管工作深度结合2025年度物业满意度与业委会运作两大核心数据，精准定位短板、明确工作靶向，同时健全多层次督管格局，为工作推进提供坚实支撑。</w:t>
      </w:r>
    </w:p>
    <w:p>
      <w:pPr>
        <w:keepNext w:val="0"/>
        <w:keepLines w:val="0"/>
        <w:widowControl/>
        <w:suppressLineNumbers w:val="0"/>
        <w:spacing w:before="120" w:after="120"/>
        <w:jc w:val="left"/>
        <w:rPr>
          <w:rFonts w:hint="eastAsia" w:ascii="宋体" w:hAnsi="宋体" w:cs="宋体"/>
          <w:sz w:val="28"/>
          <w:szCs w:val="28"/>
        </w:rPr>
      </w:pPr>
      <w:r>
        <w:rPr>
          <w:rFonts w:hint="eastAsia" w:ascii="宋体" w:hAnsi="宋体" w:eastAsia="宋体" w:cs="宋体"/>
          <w:kern w:val="0"/>
          <w:sz w:val="28"/>
          <w:szCs w:val="28"/>
          <w:lang w:val="en-US" w:eastAsia="zh-CN" w:bidi="ar"/>
        </w:rPr>
        <w:t>在物业满意度联动方面，本年度物业满意度总体呈现“稳中有升、整体均衡、局部有短板”的特点。满意度</w:t>
      </w:r>
      <w:r>
        <w:rPr>
          <w:rFonts w:hint="eastAsia" w:ascii="宋体" w:hAnsi="宋体" w:cs="宋体"/>
          <w:kern w:val="0"/>
          <w:sz w:val="28"/>
          <w:szCs w:val="28"/>
          <w:lang w:val="en-US" w:eastAsia="zh-CN" w:bidi="ar"/>
        </w:rPr>
        <w:t>测评全覆盖，</w:t>
      </w:r>
      <w:r>
        <w:rPr>
          <w:rFonts w:hint="eastAsia" w:ascii="宋体" w:hAnsi="宋体" w:eastAsia="宋体" w:cs="宋体"/>
          <w:kern w:val="0"/>
          <w:sz w:val="28"/>
          <w:szCs w:val="28"/>
          <w:lang w:val="en-US" w:eastAsia="zh-CN" w:bidi="ar"/>
        </w:rPr>
        <w:t>全区平均得分84.58分，各街镇得分相对集中，最高徐家汇街道（85.87分）与最低湖南路街道（83.58分）差距仅2.29分，整体服务水平均衡；分层来看，商品房小区满意度最优（平均87.21分），混合型、售后房、公房小区依次递减；物业公司层面平均得分86.15分，管理规模与服务质量呈负相关；电梯运行保障表现优异，绿化养护、楼道堆物为主要短板，成为督管重点方向。</w:t>
      </w:r>
    </w:p>
    <w:p>
      <w:pPr>
        <w:keepNext w:val="0"/>
        <w:keepLines w:val="0"/>
        <w:widowControl/>
        <w:suppressLineNumbers w:val="0"/>
        <w:spacing w:before="120" w:after="120"/>
        <w:jc w:val="left"/>
        <w:rPr>
          <w:rFonts w:hint="eastAsia" w:ascii="宋体" w:hAnsi="宋体" w:cs="宋体"/>
          <w:sz w:val="28"/>
          <w:szCs w:val="28"/>
        </w:rPr>
      </w:pPr>
      <w:r>
        <w:rPr>
          <w:rFonts w:hint="eastAsia" w:ascii="宋体" w:hAnsi="宋体" w:eastAsia="宋体" w:cs="宋体"/>
          <w:kern w:val="0"/>
          <w:sz w:val="28"/>
          <w:szCs w:val="28"/>
          <w:lang w:val="en-US" w:eastAsia="zh-CN" w:bidi="ar"/>
        </w:rPr>
        <w:t>在业委会</w:t>
      </w:r>
      <w:r>
        <w:rPr>
          <w:rFonts w:hint="eastAsia" w:ascii="宋体" w:hAnsi="宋体" w:cs="宋体"/>
          <w:kern w:val="0"/>
          <w:sz w:val="28"/>
          <w:szCs w:val="28"/>
          <w:lang w:val="en-US" w:eastAsia="zh-CN" w:bidi="ar"/>
        </w:rPr>
        <w:t>规范化运作评价</w:t>
      </w:r>
      <w:r>
        <w:rPr>
          <w:rFonts w:hint="eastAsia" w:ascii="宋体" w:hAnsi="宋体" w:eastAsia="宋体" w:cs="宋体"/>
          <w:kern w:val="0"/>
          <w:sz w:val="28"/>
          <w:szCs w:val="28"/>
          <w:lang w:val="en-US" w:eastAsia="zh-CN" w:bidi="ar"/>
        </w:rPr>
        <w:t>与</w:t>
      </w:r>
      <w:r>
        <w:rPr>
          <w:rFonts w:hint="eastAsia" w:ascii="宋体" w:hAnsi="宋体" w:cs="宋体"/>
          <w:kern w:val="0"/>
          <w:sz w:val="28"/>
          <w:szCs w:val="28"/>
          <w:lang w:val="en-US" w:eastAsia="zh-CN" w:bidi="ar"/>
        </w:rPr>
        <w:t>年度</w:t>
      </w:r>
      <w:r>
        <w:rPr>
          <w:rFonts w:hint="eastAsia" w:ascii="宋体" w:hAnsi="宋体" w:eastAsia="宋体" w:cs="宋体"/>
          <w:kern w:val="0"/>
          <w:sz w:val="28"/>
          <w:szCs w:val="28"/>
          <w:lang w:val="en-US" w:eastAsia="zh-CN" w:bidi="ar"/>
        </w:rPr>
        <w:t>审计方面，业委会运作</w:t>
      </w:r>
      <w:r>
        <w:rPr>
          <w:rFonts w:hint="eastAsia" w:ascii="宋体" w:hAnsi="宋体" w:cs="宋体"/>
          <w:kern w:val="0"/>
          <w:sz w:val="28"/>
          <w:szCs w:val="28"/>
          <w:lang w:val="en-US" w:eastAsia="zh-CN" w:bidi="ar"/>
        </w:rPr>
        <w:t>评价</w:t>
      </w:r>
      <w:r>
        <w:rPr>
          <w:rFonts w:hint="eastAsia" w:ascii="宋体" w:hAnsi="宋体" w:eastAsia="宋体" w:cs="宋体"/>
          <w:kern w:val="0"/>
          <w:sz w:val="28"/>
          <w:szCs w:val="28"/>
          <w:lang w:val="en-US" w:eastAsia="zh-CN" w:bidi="ar"/>
        </w:rPr>
        <w:t>平均分为81.36分，整体水平良好；优秀、良好小区合计占比67.9%，需改进、不合格小区合计占比11.0%，正常运作业委会得分显著高于换届、瘫痪状态小区，混合型小区表现最佳，售后房小区与老旧小区提升空间较大，各街镇表现差异显著，虹梅街道居首、徐家汇街道需重点改进。同期，完成861个业主大会年度审计，审计完成率88.3%，覆盖13个街镇；774个有效审计结果中，无保留意见占25.3%、保留意见占57.2%、无法表示意见占16.8%，售后房小区审计质量相对较好，混合型房屋相对薄弱。</w:t>
      </w:r>
    </w:p>
    <w:p>
      <w:pPr>
        <w:keepNext w:val="0"/>
        <w:keepLines w:val="0"/>
        <w:widowControl/>
        <w:suppressLineNumbers w:val="0"/>
        <w:spacing w:before="120" w:after="120"/>
        <w:jc w:val="left"/>
        <w:rPr>
          <w:rFonts w:hint="eastAsia" w:ascii="宋体" w:hAnsi="宋体" w:cs="宋体"/>
          <w:sz w:val="28"/>
          <w:szCs w:val="28"/>
        </w:rPr>
      </w:pPr>
      <w:r>
        <w:rPr>
          <w:rFonts w:hint="eastAsia" w:ascii="宋体" w:hAnsi="宋体" w:eastAsia="宋体" w:cs="宋体"/>
          <w:kern w:val="0"/>
          <w:sz w:val="28"/>
          <w:szCs w:val="28"/>
          <w:lang w:val="en-US" w:eastAsia="zh-CN" w:bidi="ar"/>
        </w:rPr>
        <w:t>在督管体系构建方面，形成“日查+双周查+月查+专项查”的全方位督查格局，建立“检查—整改—反馈—巩固”闭环管理机制，联动房管办、区局、市局分级开展检查，同时深化“党建引领+三驾马车”协同机制，联动街道（镇）、公安、消防等部门，形成齐抓共管工作氛围。</w:t>
      </w:r>
    </w:p>
    <w:p>
      <w:pPr>
        <w:spacing w:before="320" w:after="120" w:line="288" w:lineRule="auto"/>
        <w:ind w:left="0"/>
        <w:jc w:val="left"/>
        <w:outlineLvl w:val="1"/>
      </w:pPr>
      <w:r>
        <w:rPr>
          <w:rFonts w:ascii="Arial" w:hAnsi="Arial" w:eastAsia="等线" w:cs="Arial"/>
          <w:b/>
          <w:sz w:val="32"/>
        </w:rPr>
        <w:t>2.2 核心督管举措及实施情况</w:t>
      </w:r>
      <w:bookmarkEnd w:id="17"/>
    </w:p>
    <w:p>
      <w:pPr>
        <w:spacing w:before="300" w:after="120" w:line="288" w:lineRule="auto"/>
        <w:ind w:left="0"/>
        <w:jc w:val="left"/>
        <w:outlineLvl w:val="2"/>
      </w:pPr>
      <w:bookmarkStart w:id="18" w:name="heading_18"/>
      <w:r>
        <w:rPr>
          <w:rFonts w:ascii="Arial" w:hAnsi="Arial" w:eastAsia="等线" w:cs="Arial"/>
          <w:b/>
          <w:sz w:val="30"/>
        </w:rPr>
        <w:t>2.2.1 五查工作：常态化日常监管</w:t>
      </w:r>
      <w:bookmarkEnd w:id="18"/>
    </w:p>
    <w:p>
      <w:pPr>
        <w:spacing w:before="120" w:after="120" w:line="360" w:lineRule="auto"/>
        <w:ind w:left="0" w:firstLine="560" w:firstLineChars="200"/>
        <w:jc w:val="left"/>
        <w:rPr>
          <w:rFonts w:hint="eastAsia" w:ascii="宋体" w:hAnsi="宋体" w:eastAsia="宋体" w:cs="宋体"/>
          <w:sz w:val="28"/>
          <w:szCs w:val="28"/>
        </w:rPr>
      </w:pPr>
      <w:r>
        <w:rPr>
          <w:rFonts w:hint="eastAsia" w:ascii="宋体" w:hAnsi="宋体" w:eastAsia="宋体" w:cs="宋体"/>
          <w:sz w:val="28"/>
          <w:szCs w:val="28"/>
        </w:rPr>
        <w:t>日查平均完成率96.19%，</w:t>
      </w:r>
      <w:r>
        <w:rPr>
          <w:rFonts w:hint="eastAsia" w:ascii="宋体" w:hAnsi="宋体" w:eastAsia="宋体" w:cs="宋体"/>
          <w:kern w:val="0"/>
          <w:sz w:val="28"/>
          <w:szCs w:val="28"/>
          <w:lang w:val="en-US" w:eastAsia="zh-CN" w:bidi="ar"/>
        </w:rPr>
        <w:t>及时排查处置日常服务问题</w:t>
      </w:r>
      <w:r>
        <w:rPr>
          <w:rFonts w:hint="eastAsia" w:ascii="宋体" w:hAnsi="宋体" w:eastAsia="宋体" w:cs="宋体"/>
          <w:sz w:val="28"/>
          <w:szCs w:val="28"/>
        </w:rPr>
        <w:t>；双周检查平均完成率99.02%；月查实现13个街道全覆盖，累计检查23846次，开具整改单386张，年底整改成功率56.48%。</w:t>
      </w:r>
    </w:p>
    <w:p>
      <w:pPr>
        <w:spacing w:before="300" w:after="120" w:line="288" w:lineRule="auto"/>
        <w:ind w:left="0"/>
        <w:jc w:val="left"/>
        <w:outlineLvl w:val="2"/>
      </w:pPr>
      <w:bookmarkStart w:id="19" w:name="heading_19"/>
      <w:r>
        <w:rPr>
          <w:rFonts w:ascii="Arial" w:hAnsi="Arial" w:eastAsia="等线" w:cs="Arial"/>
          <w:b/>
          <w:sz w:val="30"/>
        </w:rPr>
        <w:t>2.2.2 失信记计分：强化企业约束</w:t>
      </w:r>
      <w:bookmarkEnd w:id="19"/>
    </w:p>
    <w:p>
      <w:pPr>
        <w:keepNext w:val="0"/>
        <w:keepLines w:val="0"/>
        <w:widowControl/>
        <w:suppressLineNumbers w:val="0"/>
        <w:spacing w:before="120" w:after="120"/>
        <w:jc w:val="left"/>
        <w:rPr>
          <w:rFonts w:hint="eastAsia" w:ascii="宋体" w:hAnsi="宋体" w:cs="宋体"/>
          <w:sz w:val="28"/>
          <w:szCs w:val="28"/>
        </w:rPr>
      </w:pPr>
      <w:bookmarkStart w:id="20" w:name="heading_20"/>
      <w:r>
        <w:rPr>
          <w:rFonts w:hint="eastAsia" w:ascii="宋体" w:hAnsi="宋体" w:eastAsia="宋体" w:cs="宋体"/>
          <w:kern w:val="0"/>
          <w:sz w:val="28"/>
          <w:szCs w:val="28"/>
          <w:lang w:val="en-US" w:eastAsia="zh-CN" w:bidi="ar"/>
        </w:rPr>
        <w:t>通过失信</w:t>
      </w:r>
      <w:r>
        <w:rPr>
          <w:rFonts w:hint="eastAsia" w:ascii="宋体" w:hAnsi="宋体" w:cs="宋体"/>
          <w:kern w:val="0"/>
          <w:sz w:val="28"/>
          <w:szCs w:val="28"/>
          <w:lang w:val="en-US" w:eastAsia="zh-CN" w:bidi="ar"/>
        </w:rPr>
        <w:t>记</w:t>
      </w:r>
      <w:r>
        <w:rPr>
          <w:rFonts w:hint="eastAsia" w:ascii="宋体" w:hAnsi="宋体" w:eastAsia="宋体" w:cs="宋体"/>
          <w:kern w:val="0"/>
          <w:sz w:val="28"/>
          <w:szCs w:val="28"/>
          <w:lang w:val="en-US" w:eastAsia="zh-CN" w:bidi="ar"/>
        </w:rPr>
        <w:t>分机制规范物业企业行为，全年累计记录失信记录53条，其中高风险失信记录（≥6分）48条，占比90.57%，失信企业所在小区满意度普遍低于全区平均水平，约束成效显著。从记分分布看，6分记录46条（86.8%）、3分记录5条（9.4%）、18分记录2条（3.8%），高风险记录占主导，反映部分企业合规与履职短板。失信行为主要集中在消防安全领域，其中消防记载内容不规范占20.8%，消防设施未完好、违规改变建筑用途各占5.7%。从街镇分布看，田林街道（10条）、徐家汇街道（9条）、漕河泾街道（7条）失信记录较多，徐家汇街道需平衡服务质量与合规经营，湖南路街道（6条）需结合低满意度双重整改。</w:t>
      </w:r>
    </w:p>
    <w:p>
      <w:pPr>
        <w:spacing w:before="300" w:after="120" w:line="288" w:lineRule="auto"/>
        <w:ind w:left="0"/>
        <w:jc w:val="left"/>
        <w:outlineLvl w:val="2"/>
      </w:pPr>
      <w:r>
        <w:rPr>
          <w:rFonts w:ascii="Arial" w:hAnsi="Arial" w:eastAsia="等线" w:cs="Arial"/>
          <w:b/>
          <w:sz w:val="30"/>
        </w:rPr>
        <w:t>2.2.3 区级专项检查：分级精准督查</w:t>
      </w:r>
      <w:bookmarkEnd w:id="20"/>
    </w:p>
    <w:p>
      <w:pPr>
        <w:keepNext w:val="0"/>
        <w:keepLines w:val="0"/>
        <w:widowControl/>
        <w:suppressLineNumbers w:val="0"/>
        <w:spacing w:before="120" w:after="120"/>
        <w:jc w:val="left"/>
        <w:rPr>
          <w:rFonts w:hint="eastAsia" w:ascii="宋体" w:hAnsi="宋体" w:cs="宋体"/>
          <w:sz w:val="28"/>
          <w:szCs w:val="28"/>
        </w:rPr>
      </w:pPr>
      <w:bookmarkStart w:id="21" w:name="heading_21"/>
      <w:r>
        <w:rPr>
          <w:rFonts w:hint="eastAsia" w:ascii="宋体" w:hAnsi="宋体" w:eastAsia="宋体" w:cs="宋体"/>
          <w:kern w:val="0"/>
          <w:sz w:val="28"/>
          <w:szCs w:val="28"/>
          <w:lang w:val="en-US" w:eastAsia="zh-CN" w:bidi="ar"/>
        </w:rPr>
        <w:t>区级专项检查实行</w:t>
      </w:r>
      <w:r>
        <w:rPr>
          <w:rFonts w:hint="eastAsia" w:ascii="宋体" w:hAnsi="宋体" w:cs="宋体"/>
          <w:kern w:val="0"/>
          <w:sz w:val="28"/>
          <w:szCs w:val="28"/>
          <w:lang w:val="en-US" w:eastAsia="zh-CN" w:bidi="ar"/>
        </w:rPr>
        <w:t>街镇</w:t>
      </w:r>
      <w:r>
        <w:rPr>
          <w:rFonts w:hint="eastAsia" w:ascii="宋体" w:hAnsi="宋体" w:eastAsia="宋体" w:cs="宋体"/>
          <w:kern w:val="0"/>
          <w:sz w:val="28"/>
          <w:szCs w:val="28"/>
          <w:lang w:val="en-US" w:eastAsia="zh-CN" w:bidi="ar"/>
        </w:rPr>
        <w:t>、区局、市局分级推进，聚焦重点领域与满意度短板，形成上下联动格局。全年5731次检查中，</w:t>
      </w:r>
      <w:r>
        <w:rPr>
          <w:rFonts w:hint="eastAsia" w:ascii="宋体" w:hAnsi="宋体" w:cs="宋体"/>
          <w:kern w:val="0"/>
          <w:sz w:val="28"/>
          <w:szCs w:val="28"/>
          <w:lang w:val="en-US" w:eastAsia="zh-CN" w:bidi="ar"/>
        </w:rPr>
        <w:t>街镇</w:t>
      </w:r>
      <w:r>
        <w:rPr>
          <w:rFonts w:hint="eastAsia" w:ascii="宋体" w:hAnsi="宋体" w:eastAsia="宋体" w:cs="宋体"/>
          <w:kern w:val="0"/>
          <w:sz w:val="28"/>
          <w:szCs w:val="28"/>
          <w:lang w:val="en-US" w:eastAsia="zh-CN" w:bidi="ar"/>
        </w:rPr>
        <w:t>检查4936次（86.1%），为核心力量；区局检查697次（12.2%），市局检查98次（1.7%），重点针对绿化养护、楼道堆物等薄弱环节开展检查。全年开具整改单381张，开具率6.65%，大部分检查未发现重大违规问题，反映全区物业服务整体合规性较好，同时通过整改单倒逼企业整改，助力满意度提升。</w:t>
      </w:r>
    </w:p>
    <w:p>
      <w:pPr>
        <w:spacing w:before="300" w:after="120" w:line="288" w:lineRule="auto"/>
        <w:ind w:left="0"/>
        <w:jc w:val="left"/>
        <w:outlineLvl w:val="2"/>
        <w:rPr>
          <w:rFonts w:hint="default" w:eastAsia="等线"/>
          <w:lang w:val="en-US" w:eastAsia="zh-CN"/>
        </w:rPr>
      </w:pPr>
      <w:r>
        <w:rPr>
          <w:rFonts w:ascii="Arial" w:hAnsi="Arial" w:eastAsia="等线" w:cs="Arial"/>
          <w:b/>
          <w:sz w:val="30"/>
        </w:rPr>
        <w:t>2.2.4 街镇月查：差异化推进整改</w:t>
      </w:r>
      <w:bookmarkEnd w:id="21"/>
      <w:r>
        <w:rPr>
          <w:rFonts w:hint="eastAsia" w:ascii="Arial" w:hAnsi="Arial" w:eastAsia="等线" w:cs="Arial"/>
          <w:b/>
          <w:sz w:val="30"/>
          <w:lang w:eastAsia="zh-CN"/>
        </w:rPr>
        <w:t>（</w:t>
      </w:r>
      <w:r>
        <w:rPr>
          <w:rFonts w:hint="eastAsia" w:ascii="Arial" w:hAnsi="Arial" w:eastAsia="等线" w:cs="Arial"/>
          <w:b/>
          <w:sz w:val="30"/>
          <w:lang w:val="en-US" w:eastAsia="zh-CN"/>
        </w:rPr>
        <w:t>补充要求）</w:t>
      </w:r>
    </w:p>
    <w:p>
      <w:pPr>
        <w:keepNext w:val="0"/>
        <w:keepLines w:val="0"/>
        <w:widowControl/>
        <w:suppressLineNumbers w:val="0"/>
        <w:spacing w:before="120" w:after="120"/>
        <w:jc w:val="left"/>
        <w:rPr>
          <w:rFonts w:hint="eastAsia" w:ascii="宋体" w:hAnsi="宋体" w:cs="宋体"/>
          <w:sz w:val="28"/>
          <w:szCs w:val="28"/>
        </w:rPr>
      </w:pPr>
      <w:bookmarkStart w:id="22" w:name="heading_22"/>
      <w:r>
        <w:rPr>
          <w:rFonts w:hint="eastAsia" w:ascii="宋体" w:hAnsi="宋体" w:eastAsia="宋体" w:cs="宋体"/>
          <w:kern w:val="0"/>
          <w:sz w:val="28"/>
          <w:szCs w:val="28"/>
          <w:lang w:val="en-US" w:eastAsia="zh-CN" w:bidi="ar"/>
        </w:rPr>
        <w:t>各街镇月查推进不均衡，整改成效与街镇满意度基本匹配。斜土、长桥、虹梅</w:t>
      </w:r>
      <w:r>
        <w:rPr>
          <w:rFonts w:hint="eastAsia" w:ascii="宋体" w:hAnsi="宋体" w:cs="宋体"/>
          <w:kern w:val="0"/>
          <w:sz w:val="28"/>
          <w:szCs w:val="28"/>
          <w:lang w:val="en-US" w:eastAsia="zh-CN" w:bidi="ar"/>
        </w:rPr>
        <w:t>街道</w:t>
      </w:r>
      <w:r>
        <w:rPr>
          <w:rFonts w:hint="eastAsia" w:ascii="宋体" w:hAnsi="宋体" w:eastAsia="宋体" w:cs="宋体"/>
          <w:kern w:val="0"/>
          <w:sz w:val="28"/>
          <w:szCs w:val="28"/>
          <w:lang w:val="en-US" w:eastAsia="zh-CN" w:bidi="ar"/>
        </w:rPr>
        <w:t>表现优异，检查次数分别为852次、632次、245次，整改率均达100%，对应街镇满意度处于中上游；华泾</w:t>
      </w:r>
      <w:r>
        <w:rPr>
          <w:rFonts w:hint="eastAsia" w:ascii="宋体" w:hAnsi="宋体" w:cs="宋体"/>
          <w:kern w:val="0"/>
          <w:sz w:val="28"/>
          <w:szCs w:val="28"/>
          <w:lang w:val="en-US" w:eastAsia="zh-CN" w:bidi="ar"/>
        </w:rPr>
        <w:t>镇检查</w:t>
      </w:r>
      <w:r>
        <w:rPr>
          <w:rFonts w:hint="eastAsia" w:ascii="宋体" w:hAnsi="宋体" w:eastAsia="宋体" w:cs="宋体"/>
          <w:kern w:val="0"/>
          <w:sz w:val="28"/>
          <w:szCs w:val="28"/>
          <w:lang w:val="en-US" w:eastAsia="zh-CN" w:bidi="ar"/>
        </w:rPr>
        <w:t>240次，整改率87.5%；漕河泾</w:t>
      </w:r>
      <w:r>
        <w:rPr>
          <w:rFonts w:hint="eastAsia" w:ascii="宋体" w:hAnsi="宋体" w:cs="宋体"/>
          <w:kern w:val="0"/>
          <w:sz w:val="28"/>
          <w:szCs w:val="28"/>
          <w:lang w:val="en-US" w:eastAsia="zh-CN" w:bidi="ar"/>
        </w:rPr>
        <w:t>街道</w:t>
      </w:r>
      <w:r>
        <w:rPr>
          <w:rFonts w:hint="eastAsia" w:ascii="宋体" w:hAnsi="宋体" w:eastAsia="宋体" w:cs="宋体"/>
          <w:kern w:val="0"/>
          <w:sz w:val="28"/>
          <w:szCs w:val="28"/>
          <w:lang w:val="en-US" w:eastAsia="zh-CN" w:bidi="ar"/>
        </w:rPr>
        <w:t>检查1214次，整改率仅12.66%，需优化整改机制、提升整改质量，推动街镇物业服务满意度提升。</w:t>
      </w:r>
    </w:p>
    <w:p>
      <w:pPr>
        <w:spacing w:before="320" w:after="120" w:line="288" w:lineRule="auto"/>
        <w:ind w:left="0"/>
        <w:jc w:val="left"/>
        <w:outlineLvl w:val="1"/>
      </w:pPr>
      <w:r>
        <w:rPr>
          <w:rFonts w:ascii="Arial" w:hAnsi="Arial" w:eastAsia="等线" w:cs="Arial"/>
          <w:b/>
          <w:sz w:val="32"/>
        </w:rPr>
        <w:t>2.3 督管保障与典型实践</w:t>
      </w:r>
      <w:bookmarkEnd w:id="22"/>
    </w:p>
    <w:p>
      <w:pPr>
        <w:spacing w:before="120" w:after="120" w:line="360" w:lineRule="auto"/>
        <w:ind w:left="0" w:firstLine="560" w:firstLineChars="200"/>
        <w:jc w:val="left"/>
        <w:rPr>
          <w:rFonts w:hint="eastAsia" w:ascii="宋体" w:hAnsi="宋体" w:eastAsia="宋体" w:cs="宋体"/>
          <w:sz w:val="28"/>
          <w:szCs w:val="28"/>
        </w:rPr>
      </w:pPr>
      <w:r>
        <w:rPr>
          <w:rFonts w:hint="eastAsia" w:ascii="宋体" w:hAnsi="宋体" w:eastAsia="宋体" w:cs="宋体"/>
          <w:sz w:val="28"/>
          <w:szCs w:val="28"/>
        </w:rPr>
        <w:t>通过调研先行精准施策、完善制度规范运作、强化专业赋能与考核倒逼，夯实督管基础。明丰新苑、徐家汇街道等通过完善规约、规范流程，提升满意度与治理成效；同时联合多部门建立联合执法机制，开展专项整治，推动物业管理从“被动处置”向“主动治理”转型。</w:t>
      </w:r>
    </w:p>
    <w:p>
      <w:pPr>
        <w:spacing w:before="380" w:after="140" w:line="288" w:lineRule="auto"/>
        <w:ind w:left="0"/>
        <w:jc w:val="left"/>
        <w:outlineLvl w:val="0"/>
      </w:pPr>
      <w:bookmarkStart w:id="23" w:name="heading_23"/>
      <w:r>
        <w:rPr>
          <w:rFonts w:ascii="Arial" w:hAnsi="Arial" w:eastAsia="等线" w:cs="Arial"/>
          <w:b/>
          <w:sz w:val="36"/>
        </w:rPr>
        <w:t>三、降投诉改进措施</w:t>
      </w:r>
      <w:bookmarkEnd w:id="23"/>
    </w:p>
    <w:p>
      <w:pPr>
        <w:spacing w:before="320" w:after="120" w:line="288" w:lineRule="auto"/>
        <w:ind w:left="0"/>
        <w:jc w:val="left"/>
        <w:outlineLvl w:val="1"/>
      </w:pPr>
      <w:bookmarkStart w:id="24" w:name="heading_24"/>
      <w:r>
        <w:rPr>
          <w:rFonts w:ascii="Arial" w:hAnsi="Arial" w:eastAsia="等线" w:cs="Arial"/>
          <w:b/>
          <w:sz w:val="32"/>
        </w:rPr>
        <w:t>3.1 停车管理改进措施</w:t>
      </w:r>
      <w:bookmarkEnd w:id="24"/>
    </w:p>
    <w:p>
      <w:pPr>
        <w:spacing w:before="120" w:after="120" w:line="360" w:lineRule="auto"/>
        <w:ind w:left="0"/>
        <w:jc w:val="left"/>
        <w:rPr>
          <w:rFonts w:hint="eastAsia" w:ascii="宋体" w:hAnsi="宋体" w:eastAsia="宋体" w:cs="宋体"/>
          <w:sz w:val="28"/>
          <w:szCs w:val="28"/>
        </w:rPr>
      </w:pPr>
      <w:bookmarkStart w:id="25" w:name="heading_25"/>
      <w:r>
        <w:rPr>
          <w:rFonts w:hint="eastAsia" w:ascii="宋体" w:hAnsi="宋体" w:eastAsia="宋体" w:cs="宋体"/>
          <w:sz w:val="28"/>
          <w:szCs w:val="28"/>
        </w:rPr>
        <w:t>问题分析</w:t>
      </w:r>
    </w:p>
    <w:p>
      <w:pPr>
        <w:spacing w:before="120" w:after="120" w:line="360" w:lineRule="auto"/>
        <w:ind w:left="0"/>
        <w:jc w:val="left"/>
        <w:rPr>
          <w:rFonts w:hint="default" w:ascii="宋体" w:hAnsi="宋体" w:eastAsia="宋体" w:cs="宋体"/>
          <w:sz w:val="28"/>
          <w:szCs w:val="28"/>
          <w:lang w:val="en-US" w:eastAsia="zh-CN"/>
        </w:rPr>
      </w:pPr>
      <w:r>
        <w:rPr>
          <w:rFonts w:hint="eastAsia" w:ascii="宋体" w:hAnsi="宋体" w:eastAsia="宋体" w:cs="宋体"/>
          <w:sz w:val="28"/>
          <w:szCs w:val="28"/>
        </w:rPr>
        <w:t>停车管理类诉求2025年工单量3788条，</w:t>
      </w:r>
      <w:r>
        <w:rPr>
          <w:rFonts w:hint="eastAsia" w:ascii="宋体" w:hAnsi="宋体" w:cs="宋体"/>
          <w:sz w:val="28"/>
          <w:szCs w:val="28"/>
          <w:lang w:val="en-US" w:eastAsia="zh-CN"/>
        </w:rPr>
        <w:t>虽然</w:t>
      </w:r>
      <w:r>
        <w:rPr>
          <w:rFonts w:hint="eastAsia" w:ascii="宋体" w:hAnsi="宋体" w:eastAsia="宋体" w:cs="宋体"/>
          <w:sz w:val="28"/>
          <w:szCs w:val="28"/>
        </w:rPr>
        <w:t>同比下降19.5%，</w:t>
      </w:r>
      <w:r>
        <w:rPr>
          <w:rFonts w:hint="eastAsia" w:ascii="宋体" w:hAnsi="宋体" w:cs="宋体"/>
          <w:sz w:val="28"/>
          <w:szCs w:val="28"/>
          <w:lang w:val="en-US" w:eastAsia="zh-CN"/>
        </w:rPr>
        <w:t>但</w:t>
      </w:r>
      <w:r>
        <w:rPr>
          <w:rFonts w:hint="eastAsia" w:ascii="宋体" w:hAnsi="宋体" w:eastAsia="宋体" w:cs="宋体"/>
          <w:sz w:val="28"/>
          <w:szCs w:val="28"/>
        </w:rPr>
        <w:t>仍是占比最高的核心诉求。</w:t>
      </w:r>
      <w:r>
        <w:rPr>
          <w:rFonts w:hint="eastAsia" w:ascii="宋体" w:hAnsi="宋体" w:cs="宋体"/>
          <w:sz w:val="28"/>
          <w:szCs w:val="28"/>
          <w:lang w:val="en-US" w:eastAsia="zh-CN"/>
        </w:rPr>
        <w:t>核心问题集中在以下几个方面：</w:t>
      </w:r>
    </w:p>
    <w:p>
      <w:pPr>
        <w:spacing w:before="120" w:after="120" w:line="360" w:lineRule="auto"/>
        <w:ind w:left="0"/>
        <w:jc w:val="left"/>
        <w:rPr>
          <w:rFonts w:hint="eastAsia" w:ascii="宋体" w:hAnsi="宋体" w:cs="宋体"/>
          <w:sz w:val="28"/>
          <w:szCs w:val="28"/>
        </w:rPr>
      </w:pPr>
      <w:r>
        <w:rPr>
          <w:rFonts w:hint="eastAsia" w:ascii="宋体" w:hAnsi="宋体" w:cs="宋体"/>
          <w:sz w:val="28"/>
          <w:szCs w:val="28"/>
        </w:rPr>
        <w:t>一是供需矛盾突出的问题长期存在。老旧小区车位配比偏低，停车困难的矛盾长期存在，小区周边商场、写字楼、马路边车位错峰共享机制难以协调落实，小区停车需求无法有效分流。</w:t>
      </w:r>
    </w:p>
    <w:p>
      <w:pPr>
        <w:spacing w:before="120" w:after="120" w:line="360" w:lineRule="auto"/>
        <w:ind w:left="0"/>
        <w:jc w:val="left"/>
        <w:rPr>
          <w:rFonts w:hint="eastAsia" w:ascii="宋体" w:hAnsi="宋体" w:cs="宋体"/>
          <w:sz w:val="28"/>
          <w:szCs w:val="28"/>
        </w:rPr>
      </w:pPr>
      <w:r>
        <w:rPr>
          <w:rFonts w:hint="eastAsia" w:ascii="宋体" w:hAnsi="宋体" w:cs="宋体"/>
          <w:sz w:val="28"/>
          <w:szCs w:val="28"/>
        </w:rPr>
        <w:t>二是停车管理规约难现绝对公平。全区大部分停车位不足的小区采取的停车管理模式都是排队轮候，但随着居民维权意识的增强，部分后续买房进入小区的业主认为：“同样是业主，公共区域的停车资源应该同等享有，而不应该由老业主一直占据”，导致投诉量上升。</w:t>
      </w:r>
    </w:p>
    <w:p>
      <w:pPr>
        <w:spacing w:before="120" w:after="120" w:line="360" w:lineRule="auto"/>
        <w:ind w:left="0"/>
        <w:jc w:val="left"/>
        <w:rPr>
          <w:rFonts w:hint="eastAsia" w:ascii="宋体" w:hAnsi="宋体" w:eastAsia="宋体" w:cs="宋体"/>
          <w:sz w:val="28"/>
          <w:szCs w:val="28"/>
        </w:rPr>
      </w:pPr>
      <w:r>
        <w:rPr>
          <w:rFonts w:hint="eastAsia" w:ascii="宋体" w:hAnsi="宋体" w:cs="宋体"/>
          <w:sz w:val="28"/>
          <w:szCs w:val="28"/>
        </w:rPr>
        <w:t>三是抢车位、乱停放的管理难度大。侵占公共停车位、电动车入栋等问题虽有改善，但机动车占用消防通道、用杂物占据停车位等情况还是时有发生，物业企业劝导制止的力度不足。</w:t>
      </w:r>
    </w:p>
    <w:p>
      <w:pPr>
        <w:spacing w:before="120" w:after="120" w:line="360" w:lineRule="auto"/>
        <w:ind w:left="0"/>
        <w:jc w:val="left"/>
        <w:rPr>
          <w:rFonts w:hint="eastAsia" w:ascii="宋体" w:hAnsi="宋体" w:eastAsia="宋体" w:cs="宋体"/>
          <w:sz w:val="28"/>
          <w:szCs w:val="28"/>
        </w:rPr>
      </w:pPr>
      <w:r>
        <w:rPr>
          <w:rFonts w:hint="eastAsia" w:ascii="宋体" w:hAnsi="宋体" w:cs="宋体"/>
          <w:sz w:val="28"/>
          <w:szCs w:val="28"/>
          <w:lang w:val="en-US" w:eastAsia="zh-CN"/>
        </w:rPr>
        <w:t>改进</w:t>
      </w:r>
      <w:r>
        <w:rPr>
          <w:rFonts w:hint="eastAsia" w:ascii="宋体" w:hAnsi="宋体" w:eastAsia="宋体" w:cs="宋体"/>
          <w:sz w:val="28"/>
          <w:szCs w:val="28"/>
        </w:rPr>
        <w:t>措施</w:t>
      </w:r>
    </w:p>
    <w:p>
      <w:pPr>
        <w:spacing w:before="120" w:after="120" w:line="360" w:lineRule="auto"/>
        <w:ind w:left="0"/>
        <w:jc w:val="left"/>
        <w:rPr>
          <w:rFonts w:hint="eastAsia" w:ascii="宋体" w:hAnsi="宋体" w:cs="宋体"/>
          <w:sz w:val="28"/>
          <w:szCs w:val="28"/>
        </w:rPr>
      </w:pPr>
      <w:r>
        <w:rPr>
          <w:rFonts w:hint="eastAsia" w:ascii="宋体" w:hAnsi="宋体" w:cs="宋体"/>
          <w:sz w:val="28"/>
          <w:szCs w:val="28"/>
          <w:lang w:val="en-US" w:eastAsia="zh-CN"/>
        </w:rPr>
        <w:t>一是</w:t>
      </w:r>
      <w:r>
        <w:rPr>
          <w:rFonts w:hint="eastAsia" w:ascii="宋体" w:hAnsi="宋体" w:cs="宋体"/>
          <w:sz w:val="28"/>
          <w:szCs w:val="28"/>
        </w:rPr>
        <w:t>结合小区“三旧”变“三新”等民生工程，充分利用闲置空地增设停车位。协调周边商业综合体、写字楼、企事业单位等开放错峰共享车位，签订长期合作协议，明确共享时段、收费标准及安全责任。</w:t>
      </w:r>
    </w:p>
    <w:p>
      <w:pPr>
        <w:spacing w:before="120" w:after="120" w:line="360" w:lineRule="auto"/>
        <w:ind w:left="0"/>
        <w:jc w:val="left"/>
        <w:rPr>
          <w:rFonts w:hint="eastAsia" w:ascii="宋体" w:hAnsi="宋体" w:cs="宋体"/>
          <w:sz w:val="28"/>
          <w:szCs w:val="28"/>
        </w:rPr>
      </w:pPr>
      <w:r>
        <w:rPr>
          <w:rFonts w:hint="eastAsia" w:ascii="宋体" w:hAnsi="宋体" w:cs="宋体"/>
          <w:sz w:val="28"/>
          <w:szCs w:val="28"/>
          <w:lang w:val="en-US" w:eastAsia="zh-CN"/>
        </w:rPr>
        <w:t>二是</w:t>
      </w:r>
      <w:r>
        <w:rPr>
          <w:rFonts w:hint="eastAsia" w:ascii="宋体" w:hAnsi="宋体" w:cs="宋体"/>
          <w:sz w:val="28"/>
          <w:szCs w:val="28"/>
        </w:rPr>
        <w:t>修订完善小区停车管理规约，指导督促小区物业和业委会建立公开透明的排队轮候机制，定期公示并接受业主查询。在小区入口处等醒目位置公示停车收费标准，减少停车收费类投诉。</w:t>
      </w:r>
    </w:p>
    <w:p>
      <w:pPr>
        <w:spacing w:before="120" w:after="120" w:line="360" w:lineRule="auto"/>
        <w:ind w:left="0"/>
        <w:jc w:val="left"/>
        <w:rPr>
          <w:rFonts w:hint="eastAsia" w:ascii="宋体" w:hAnsi="宋体" w:eastAsia="宋体" w:cs="宋体"/>
          <w:sz w:val="28"/>
          <w:szCs w:val="28"/>
        </w:rPr>
      </w:pPr>
      <w:r>
        <w:rPr>
          <w:rFonts w:hint="eastAsia" w:ascii="宋体" w:hAnsi="宋体" w:cs="宋体"/>
          <w:sz w:val="28"/>
          <w:szCs w:val="28"/>
          <w:lang w:val="en-US" w:eastAsia="zh-CN"/>
        </w:rPr>
        <w:t>三是</w:t>
      </w:r>
      <w:r>
        <w:rPr>
          <w:rFonts w:hint="eastAsia" w:ascii="宋体" w:hAnsi="宋体" w:cs="宋体"/>
          <w:sz w:val="28"/>
          <w:szCs w:val="28"/>
        </w:rPr>
        <w:t>督促物业服务企业加大巡查巡视的频次，发现问题及时劝阻，对不听劝阻的协调居委会和业委会共同沟通协调。</w:t>
      </w:r>
    </w:p>
    <w:p>
      <w:pPr>
        <w:spacing w:before="320" w:after="120" w:line="288" w:lineRule="auto"/>
        <w:ind w:left="0"/>
        <w:jc w:val="left"/>
        <w:outlineLvl w:val="1"/>
      </w:pPr>
      <w:r>
        <w:rPr>
          <w:rFonts w:ascii="Arial" w:hAnsi="Arial" w:eastAsia="等线" w:cs="Arial"/>
          <w:b/>
          <w:sz w:val="32"/>
        </w:rPr>
        <w:t>3.2 房屋维修改进措施</w:t>
      </w:r>
      <w:bookmarkEnd w:id="25"/>
    </w:p>
    <w:p>
      <w:pPr>
        <w:spacing w:before="120" w:after="120" w:line="360" w:lineRule="auto"/>
        <w:ind w:left="0"/>
        <w:jc w:val="left"/>
        <w:rPr>
          <w:rFonts w:hint="eastAsia" w:ascii="宋体" w:hAnsi="宋体" w:eastAsia="宋体" w:cs="宋体"/>
          <w:sz w:val="28"/>
          <w:szCs w:val="28"/>
        </w:rPr>
      </w:pPr>
      <w:bookmarkStart w:id="26" w:name="heading_26"/>
      <w:r>
        <w:rPr>
          <w:rFonts w:hint="eastAsia" w:ascii="宋体" w:hAnsi="宋体" w:eastAsia="宋体" w:cs="宋体"/>
          <w:sz w:val="28"/>
          <w:szCs w:val="28"/>
        </w:rPr>
        <w:t>问题分析</w:t>
      </w:r>
    </w:p>
    <w:p>
      <w:pPr>
        <w:spacing w:before="120" w:after="120" w:line="360" w:lineRule="auto"/>
        <w:ind w:left="0"/>
        <w:jc w:val="left"/>
        <w:rPr>
          <w:rFonts w:hint="eastAsia" w:ascii="宋体" w:hAnsi="宋体" w:eastAsia="宋体" w:cs="宋体"/>
          <w:sz w:val="28"/>
          <w:szCs w:val="28"/>
        </w:rPr>
      </w:pPr>
      <w:r>
        <w:rPr>
          <w:rFonts w:hint="eastAsia" w:ascii="宋体" w:hAnsi="宋体" w:eastAsia="宋体" w:cs="宋体"/>
          <w:sz w:val="28"/>
          <w:szCs w:val="28"/>
        </w:rPr>
        <w:t>2025年房屋维修类工单量3471条，同比下降25.9%，核心诉求集中于屋面防水老化、管道渗漏、电梯故障三类，仍是影响居民居住体验的关键问题。老旧小区设施老化问题突出，多数小区屋面防水、供水供电管道、电梯等核心设施已超出设计使用年限，维修需求集中且迫切；部分小区业主参与度不高，维修资金筹集签字率难以达到75%的法定标准，导致维修项目无法及时启动，问题持续积累；维修权责边界界定模糊，公用部位与自用部位划分不清，部分业主对维修责任归属存在认知偏差，易引发业主与物业服务企业之间的纠纷；部分物业服务企业维修响应时效不足、维修人员专业能力有限，维修质量与服务水平难以满足居民需求，且维修后缺乏跟踪回访机制，导致问题反复反弹。</w:t>
      </w:r>
    </w:p>
    <w:p>
      <w:pPr>
        <w:spacing w:before="120" w:after="120" w:line="360" w:lineRule="auto"/>
        <w:ind w:left="0"/>
        <w:jc w:val="left"/>
        <w:rPr>
          <w:rFonts w:hint="eastAsia" w:ascii="宋体" w:hAnsi="宋体" w:eastAsia="宋体" w:cs="宋体"/>
          <w:sz w:val="28"/>
          <w:szCs w:val="28"/>
        </w:rPr>
      </w:pPr>
      <w:r>
        <w:rPr>
          <w:rFonts w:hint="eastAsia" w:ascii="宋体" w:hAnsi="宋体" w:cs="宋体"/>
          <w:sz w:val="28"/>
          <w:szCs w:val="28"/>
          <w:lang w:val="en-US" w:eastAsia="zh-CN"/>
        </w:rPr>
        <w:t>改进</w:t>
      </w:r>
      <w:r>
        <w:rPr>
          <w:rFonts w:hint="eastAsia" w:ascii="宋体" w:hAnsi="宋体" w:eastAsia="宋体" w:cs="宋体"/>
          <w:sz w:val="28"/>
          <w:szCs w:val="28"/>
        </w:rPr>
        <w:t>措施</w:t>
      </w:r>
    </w:p>
    <w:p>
      <w:pPr>
        <w:spacing w:before="120" w:after="120" w:line="360" w:lineRule="auto"/>
        <w:ind w:left="0"/>
        <w:jc w:val="left"/>
        <w:rPr>
          <w:rFonts w:hint="eastAsia" w:ascii="宋体" w:hAnsi="宋体" w:cs="宋体"/>
          <w:sz w:val="28"/>
          <w:szCs w:val="28"/>
          <w:lang w:eastAsia="zh-CN"/>
        </w:rPr>
      </w:pPr>
      <w:r>
        <w:rPr>
          <w:rFonts w:hint="eastAsia" w:ascii="宋体" w:hAnsi="宋体" w:eastAsia="宋体" w:cs="宋体"/>
          <w:sz w:val="28"/>
          <w:szCs w:val="28"/>
        </w:rPr>
        <w:t>一是加快设施更新与智能运维，将老旧小区设施更新纳入年度重点工作，优先推进屋面防水、管道改造、电梯更新等民生工程，缓解业主资金压力，加快项目推进速度。搭建设施设备全生命周期管理平台，为电梯、供水供电、消防设施等核心设备建立电子档案，详细记录安装、维保、检修、更换等全流程信息，通过在关键设备上加装传感器，实时监测运行状态与损耗情况，实现故障提前预警、精准派单，变“被动维修”为“主动养护</w:t>
      </w:r>
      <w:r>
        <w:rPr>
          <w:rFonts w:hint="eastAsia" w:ascii="宋体" w:hAnsi="宋体" w:cs="宋体"/>
          <w:sz w:val="28"/>
          <w:szCs w:val="28"/>
          <w:lang w:eastAsia="zh-CN"/>
        </w:rPr>
        <w:t>；</w:t>
      </w:r>
    </w:p>
    <w:p>
      <w:pPr>
        <w:spacing w:before="120" w:after="120" w:line="360" w:lineRule="auto"/>
        <w:ind w:left="0"/>
        <w:jc w:val="left"/>
        <w:rPr>
          <w:rFonts w:hint="eastAsia" w:ascii="宋体" w:hAnsi="宋体" w:cs="宋体"/>
          <w:sz w:val="28"/>
          <w:szCs w:val="28"/>
          <w:lang w:eastAsia="zh-CN"/>
        </w:rPr>
      </w:pPr>
      <w:r>
        <w:rPr>
          <w:rFonts w:hint="eastAsia" w:ascii="宋体" w:hAnsi="宋体" w:eastAsia="宋体" w:cs="宋体"/>
          <w:sz w:val="28"/>
          <w:szCs w:val="28"/>
        </w:rPr>
        <w:t>二是明确权责与线上闭环，组织维修人员开展专项培训，重点强化维修技能、权责界定、政策解读等能力，制定公用与自用部位界定标准及图文手册，向居民广泛宣传。接到报修后2小时内上门核查、分类处置，明确责任主体与维修方案，做好政策解读与沟通工作。推广线上报修闭环系统，业主通过小区小程序上传报修内容、现场照片与联系方式，系统根据报修类型自动分派至对应维修人员，维修进度、处置结果可线上追踪、评价，维修完成后自动触发回访流程，实现报修、处置、回访全流程信息化管控，提升居民满意度</w:t>
      </w:r>
      <w:r>
        <w:rPr>
          <w:rFonts w:hint="eastAsia" w:ascii="宋体" w:hAnsi="宋体" w:cs="宋体"/>
          <w:sz w:val="28"/>
          <w:szCs w:val="28"/>
          <w:lang w:eastAsia="zh-CN"/>
        </w:rPr>
        <w:t>；</w:t>
      </w:r>
    </w:p>
    <w:p>
      <w:pPr>
        <w:spacing w:before="120" w:after="120" w:line="360" w:lineRule="auto"/>
        <w:ind w:left="0"/>
        <w:jc w:val="left"/>
        <w:rPr>
          <w:rFonts w:hint="eastAsia" w:ascii="宋体" w:hAnsi="宋体" w:cs="宋体"/>
          <w:sz w:val="28"/>
          <w:szCs w:val="28"/>
          <w:lang w:eastAsia="zh-CN"/>
        </w:rPr>
      </w:pPr>
      <w:r>
        <w:rPr>
          <w:rFonts w:hint="eastAsia" w:ascii="宋体" w:hAnsi="宋体" w:eastAsia="宋体" w:cs="宋体"/>
          <w:sz w:val="28"/>
          <w:szCs w:val="28"/>
        </w:rPr>
        <w:t>三是优化维修资金线上流转，指导业委会通过线上平台开展维修资金使用意见征询、签字确认工作，简化审批环节，为行动不便的老年业主提供线上远程签字、上门协助签字等便民服务。同步公示维修资金使用明细、审计报告与维修成果，确保资金使用公开透明、专款专用。对接区级维修资金管理系统，实现资金申请、审批、拨付全流程线上流转，将审批时限压缩至15个工作日内，显著提升办理效率</w:t>
      </w:r>
      <w:r>
        <w:rPr>
          <w:rFonts w:hint="eastAsia" w:ascii="宋体" w:hAnsi="宋体" w:cs="宋体"/>
          <w:sz w:val="28"/>
          <w:szCs w:val="28"/>
          <w:lang w:eastAsia="zh-CN"/>
        </w:rPr>
        <w:t>；</w:t>
      </w:r>
    </w:p>
    <w:p>
      <w:pPr>
        <w:spacing w:before="120" w:after="120" w:line="360" w:lineRule="auto"/>
        <w:ind w:left="0"/>
        <w:jc w:val="left"/>
        <w:rPr>
          <w:rFonts w:hint="eastAsia" w:ascii="宋体" w:hAnsi="宋体" w:eastAsia="宋体" w:cs="宋体"/>
          <w:sz w:val="28"/>
          <w:szCs w:val="28"/>
        </w:rPr>
      </w:pPr>
      <w:r>
        <w:rPr>
          <w:rFonts w:hint="eastAsia" w:ascii="宋体" w:hAnsi="宋体" w:eastAsia="宋体" w:cs="宋体"/>
          <w:sz w:val="28"/>
          <w:szCs w:val="28"/>
        </w:rPr>
        <w:t>四是健全电梯智能应急机制，严格落实每月2次维保、每季度1次全面检测的制度要求，签订标准化维保合同，明确维保责任与质量标准。建立“15分钟应急响应”机制，配备驻点维修人员与应急备件，为电梯加装故障监测终端与应急呼叫装置，联动维修人员手机APP与线上管理平台，实现故障实时上报、快速派单与应急处置。同时将维保记录、检测报告及时上传至平台，供业主与监管部门随时查阅，保障电梯运行安全。</w:t>
      </w:r>
    </w:p>
    <w:p>
      <w:pPr>
        <w:spacing w:before="320" w:after="120" w:line="288" w:lineRule="auto"/>
        <w:ind w:left="0"/>
        <w:jc w:val="left"/>
        <w:outlineLvl w:val="1"/>
      </w:pPr>
      <w:r>
        <w:rPr>
          <w:rFonts w:ascii="Arial" w:hAnsi="Arial" w:eastAsia="等线" w:cs="Arial"/>
          <w:b/>
          <w:sz w:val="32"/>
        </w:rPr>
        <w:t>3.3 邻里纠纷改进措施</w:t>
      </w:r>
      <w:bookmarkEnd w:id="26"/>
    </w:p>
    <w:p>
      <w:pPr>
        <w:spacing w:before="120" w:after="120" w:line="360" w:lineRule="auto"/>
        <w:ind w:left="0"/>
        <w:jc w:val="left"/>
        <w:rPr>
          <w:rFonts w:hint="eastAsia" w:ascii="宋体" w:hAnsi="宋体" w:eastAsia="宋体" w:cs="宋体"/>
          <w:sz w:val="28"/>
          <w:szCs w:val="28"/>
        </w:rPr>
      </w:pPr>
      <w:bookmarkStart w:id="27" w:name="heading_27"/>
      <w:r>
        <w:rPr>
          <w:rFonts w:hint="eastAsia" w:ascii="宋体" w:hAnsi="宋体" w:eastAsia="宋体" w:cs="宋体"/>
          <w:sz w:val="28"/>
          <w:szCs w:val="28"/>
        </w:rPr>
        <w:t>问题分析</w:t>
      </w:r>
    </w:p>
    <w:p>
      <w:pPr>
        <w:spacing w:before="120" w:after="120" w:line="360" w:lineRule="auto"/>
        <w:ind w:left="0"/>
        <w:jc w:val="left"/>
        <w:rPr>
          <w:rFonts w:hint="eastAsia" w:ascii="宋体" w:hAnsi="宋体" w:eastAsia="宋体" w:cs="宋体"/>
          <w:sz w:val="28"/>
          <w:szCs w:val="28"/>
        </w:rPr>
      </w:pPr>
      <w:r>
        <w:rPr>
          <w:rFonts w:hint="eastAsia" w:ascii="宋体" w:hAnsi="宋体" w:eastAsia="宋体" w:cs="宋体"/>
          <w:sz w:val="28"/>
          <w:szCs w:val="28"/>
        </w:rPr>
        <w:t>2025年邻里纠纷类工单量2702条，同比下降8.4%，降幅相对较小，仍是需重点关注的治理难题，主要由停车纠纷、噪音干扰、堆物占道三类问题引发，占此类工单总量的75%以上。老旧小区居住密度高，房屋户型紧凑、隔音效果差，业主与租户生活习惯差异大，易因装修噪音、生活噪音、楼道堆物等问题产生矛盾；部分小区出租率偏高，租户流动性大，与业主缺乏有效沟通与情感联结，对小区规约认知不足，违规行为频发，矛盾易激化；匿名投诉占比较高，部分居民不愿直接沟通，导致调解工作缺乏针对性，部分问题因双方互不相让而反复反弹，增加了治理难度。</w:t>
      </w:r>
    </w:p>
    <w:p>
      <w:pPr>
        <w:spacing w:before="120" w:after="120" w:line="360" w:lineRule="auto"/>
        <w:ind w:left="0"/>
        <w:jc w:val="left"/>
        <w:rPr>
          <w:rFonts w:hint="eastAsia" w:ascii="宋体" w:hAnsi="宋体" w:eastAsia="宋体" w:cs="宋体"/>
          <w:sz w:val="28"/>
          <w:szCs w:val="28"/>
        </w:rPr>
      </w:pPr>
      <w:r>
        <w:rPr>
          <w:rFonts w:hint="eastAsia" w:ascii="宋体" w:hAnsi="宋体" w:cs="宋体"/>
          <w:sz w:val="28"/>
          <w:szCs w:val="28"/>
          <w:lang w:val="en-US" w:eastAsia="zh-CN"/>
        </w:rPr>
        <w:t>改进</w:t>
      </w:r>
      <w:r>
        <w:rPr>
          <w:rFonts w:hint="eastAsia" w:ascii="宋体" w:hAnsi="宋体" w:eastAsia="宋体" w:cs="宋体"/>
          <w:sz w:val="28"/>
          <w:szCs w:val="28"/>
        </w:rPr>
        <w:t>措施</w:t>
      </w:r>
    </w:p>
    <w:p>
      <w:pPr>
        <w:spacing w:before="120" w:after="120" w:line="360" w:lineRule="auto"/>
        <w:ind w:left="0"/>
        <w:jc w:val="left"/>
        <w:rPr>
          <w:rFonts w:hint="eastAsia" w:ascii="宋体" w:hAnsi="宋体" w:cs="宋体"/>
          <w:sz w:val="28"/>
          <w:szCs w:val="28"/>
          <w:lang w:eastAsia="zh-CN"/>
        </w:rPr>
      </w:pPr>
      <w:r>
        <w:rPr>
          <w:rFonts w:hint="eastAsia" w:ascii="宋体" w:hAnsi="宋体" w:eastAsia="宋体" w:cs="宋体"/>
          <w:sz w:val="28"/>
          <w:szCs w:val="28"/>
        </w:rPr>
        <w:t>一是构建多元智能调解机制，推行“居委会主导+物业服务企业协助+党员骨干参与+专业力量支撑”的多元调解模式，吸纳楼栋长、退休律师、志愿者等加入调解队伍，按纠纷类型精准匹配调解人员，提升调解专业性与成功率。搭建线上调解沟通平台，支持业主上传诉求、证据材料与联系方式，实现线上预约调解、远程沟通与视频调解，降低线下调解成本、提升调解效率，同时保护投诉人隐私，鼓励居民主动表达诉求</w:t>
      </w:r>
      <w:r>
        <w:rPr>
          <w:rFonts w:hint="eastAsia" w:ascii="宋体" w:hAnsi="宋体" w:cs="宋体"/>
          <w:sz w:val="28"/>
          <w:szCs w:val="28"/>
          <w:lang w:eastAsia="zh-CN"/>
        </w:rPr>
        <w:t>；</w:t>
      </w:r>
    </w:p>
    <w:p>
      <w:pPr>
        <w:spacing w:before="120" w:after="120" w:line="360" w:lineRule="auto"/>
        <w:ind w:left="0"/>
        <w:jc w:val="left"/>
        <w:rPr>
          <w:rFonts w:hint="eastAsia" w:ascii="宋体" w:hAnsi="宋体" w:cs="宋体"/>
          <w:sz w:val="28"/>
          <w:szCs w:val="28"/>
          <w:lang w:eastAsia="zh-CN"/>
        </w:rPr>
      </w:pPr>
      <w:r>
        <w:rPr>
          <w:rFonts w:hint="eastAsia" w:ascii="宋体" w:hAnsi="宋体" w:eastAsia="宋体" w:cs="宋体"/>
          <w:sz w:val="28"/>
          <w:szCs w:val="28"/>
        </w:rPr>
        <w:t>二是强化精准线上宣传，通过小区服务平台、业主群、公告栏及线下宣讲等多种渠道，广泛普及小区规约、邻里和睦理念与相关法律法规，提升居民公共意识与文明素养。利用信息化手段构建精准宣教体系，针对噪音干扰、堆物占道、停车纠纷等高频矛盾，定向推送典型案例、规范要求与调解结果，实现精准宣教、以点带面，引导居民自觉规范自身行为</w:t>
      </w:r>
      <w:r>
        <w:rPr>
          <w:rFonts w:hint="eastAsia" w:ascii="宋体" w:hAnsi="宋体" w:cs="宋体"/>
          <w:sz w:val="28"/>
          <w:szCs w:val="28"/>
          <w:lang w:eastAsia="zh-CN"/>
        </w:rPr>
        <w:t>；</w:t>
      </w:r>
    </w:p>
    <w:p>
      <w:pPr>
        <w:spacing w:before="120" w:after="120" w:line="360" w:lineRule="auto"/>
        <w:ind w:left="0"/>
        <w:jc w:val="left"/>
        <w:rPr>
          <w:rFonts w:hint="eastAsia" w:ascii="宋体" w:hAnsi="宋体" w:cs="宋体"/>
          <w:sz w:val="28"/>
          <w:szCs w:val="28"/>
          <w:lang w:eastAsia="zh-CN"/>
        </w:rPr>
      </w:pPr>
      <w:r>
        <w:rPr>
          <w:rFonts w:hint="eastAsia" w:ascii="宋体" w:hAnsi="宋体" w:eastAsia="宋体" w:cs="宋体"/>
          <w:sz w:val="28"/>
          <w:szCs w:val="28"/>
        </w:rPr>
        <w:t>三是源头智能防范，聚焦停车秩序、噪音管控、楼道堆物等核心诱因，常态化开展专项整治，规范停车动线与标识，划定专属堆物区域，明确装修施工时间与噪音标准。依托小区视频监控与AI识别技术，对楼道堆物、违规停车、超时装修等行为进行实时监测，发现问题自动预警并推送至物业服务人员与居委会，实现早发现、早劝阻、早处置，从根源上减少矛盾发生</w:t>
      </w:r>
      <w:r>
        <w:rPr>
          <w:rFonts w:hint="eastAsia" w:ascii="宋体" w:hAnsi="宋体" w:cs="宋体"/>
          <w:sz w:val="28"/>
          <w:szCs w:val="28"/>
          <w:lang w:eastAsia="zh-CN"/>
        </w:rPr>
        <w:t>；</w:t>
      </w:r>
    </w:p>
    <w:p>
      <w:pPr>
        <w:spacing w:before="120" w:after="120" w:line="360" w:lineRule="auto"/>
        <w:ind w:left="0"/>
        <w:jc w:val="left"/>
        <w:rPr>
          <w:rFonts w:hint="eastAsia" w:ascii="宋体" w:hAnsi="宋体" w:eastAsia="宋体" w:cs="宋体"/>
          <w:sz w:val="28"/>
          <w:szCs w:val="28"/>
        </w:rPr>
      </w:pPr>
      <w:r>
        <w:rPr>
          <w:rFonts w:hint="eastAsia" w:ascii="宋体" w:hAnsi="宋体" w:eastAsia="宋体" w:cs="宋体"/>
          <w:sz w:val="28"/>
          <w:szCs w:val="28"/>
        </w:rPr>
        <w:t>四是建立信息化台账管理，通过线上系统全面记录纠纷详情、调解过程、处理结果与回访情况，对反复投诉、顽固纠纷实行挂牌督办，明确责任主体与整改时限。定期对纠纷数据进行统计分析，挖掘纠纷高发区域、类型与成因，针对性优化治理举措，为源头治理提供数据支撑，确保问题闭环处置、防止反弹。</w:t>
      </w:r>
    </w:p>
    <w:p>
      <w:pPr>
        <w:spacing w:before="320" w:after="120" w:line="288" w:lineRule="auto"/>
        <w:ind w:left="0"/>
        <w:jc w:val="left"/>
        <w:outlineLvl w:val="1"/>
      </w:pPr>
      <w:r>
        <w:rPr>
          <w:rFonts w:ascii="Arial" w:hAnsi="Arial" w:eastAsia="等线" w:cs="Arial"/>
          <w:b/>
          <w:sz w:val="32"/>
        </w:rPr>
        <w:t>3.4 房屋违规使用改进措施</w:t>
      </w:r>
      <w:bookmarkEnd w:id="27"/>
    </w:p>
    <w:p>
      <w:pPr>
        <w:spacing w:before="120" w:after="120" w:line="360" w:lineRule="auto"/>
        <w:ind w:left="0"/>
        <w:jc w:val="left"/>
        <w:rPr>
          <w:rFonts w:hint="eastAsia" w:ascii="宋体" w:hAnsi="宋体" w:eastAsia="宋体" w:cs="宋体"/>
          <w:sz w:val="28"/>
          <w:szCs w:val="28"/>
        </w:rPr>
      </w:pPr>
      <w:bookmarkStart w:id="28" w:name="heading_28"/>
      <w:r>
        <w:rPr>
          <w:rFonts w:hint="eastAsia" w:ascii="宋体" w:hAnsi="宋体" w:eastAsia="宋体" w:cs="宋体"/>
          <w:sz w:val="28"/>
          <w:szCs w:val="28"/>
        </w:rPr>
        <w:t>问题分析</w:t>
      </w:r>
    </w:p>
    <w:p>
      <w:pPr>
        <w:spacing w:before="120" w:after="120" w:line="360" w:lineRule="auto"/>
        <w:ind w:left="0"/>
        <w:jc w:val="left"/>
        <w:rPr>
          <w:rFonts w:hint="eastAsia" w:ascii="宋体" w:hAnsi="宋体" w:eastAsia="宋体" w:cs="宋体"/>
          <w:sz w:val="28"/>
          <w:szCs w:val="28"/>
        </w:rPr>
      </w:pPr>
      <w:r>
        <w:rPr>
          <w:rFonts w:hint="eastAsia" w:ascii="宋体" w:hAnsi="宋体" w:eastAsia="宋体" w:cs="宋体"/>
          <w:sz w:val="28"/>
          <w:szCs w:val="28"/>
        </w:rPr>
        <w:t>2025年房屋违规使用类工单量2454条，同比下降21.4%，核心问题包括群租违规、私搭乱建、民宿经营三类，其中群租违规占比达60%以上，是此类诉求的核心痛点。群租问题最为顽固，老旧小区出租需求旺盛，部分业主为追求高额利润，私改房屋结构、增设隔断、超负荷用电，不仅存在严重的消防与结构安全隐患，还因人员密集、作息混乱干扰周边居民正常生活，且租户流动频繁，治理后反弹率达28%，治理难度极大；民宿经营违规问题逐步凸显，部分业主将住宅改造为民宿，大量外来人员流动频繁，扰乱小区秩序、干扰居民作息，业主大会与经营方分歧较大，整改阻力明显；私搭乱建多为业主侵占公共空间搭建储物间、阳光房等，既破坏小区整体风貌，又占用消防通道、影响房屋结构安全，且此类建筑多为隐蔽建设，发现与拆除难度较大。</w:t>
      </w:r>
    </w:p>
    <w:p>
      <w:pPr>
        <w:spacing w:before="120" w:after="120" w:line="360" w:lineRule="auto"/>
        <w:ind w:left="0"/>
        <w:jc w:val="left"/>
        <w:rPr>
          <w:rFonts w:hint="eastAsia" w:ascii="宋体" w:hAnsi="宋体" w:eastAsia="宋体" w:cs="宋体"/>
          <w:sz w:val="28"/>
          <w:szCs w:val="28"/>
        </w:rPr>
      </w:pPr>
      <w:r>
        <w:rPr>
          <w:rFonts w:hint="eastAsia" w:ascii="宋体" w:hAnsi="宋体" w:cs="宋体"/>
          <w:sz w:val="28"/>
          <w:szCs w:val="28"/>
          <w:lang w:val="en-US" w:eastAsia="zh-CN"/>
        </w:rPr>
        <w:t>改进</w:t>
      </w:r>
      <w:r>
        <w:rPr>
          <w:rFonts w:hint="eastAsia" w:ascii="宋体" w:hAnsi="宋体" w:eastAsia="宋体" w:cs="宋体"/>
          <w:sz w:val="28"/>
          <w:szCs w:val="28"/>
        </w:rPr>
        <w:t>措施</w:t>
      </w:r>
    </w:p>
    <w:p>
      <w:pPr>
        <w:spacing w:before="120" w:after="120" w:line="360" w:lineRule="auto"/>
        <w:ind w:left="0"/>
        <w:jc w:val="left"/>
        <w:rPr>
          <w:rFonts w:hint="eastAsia" w:ascii="宋体" w:hAnsi="宋体" w:cs="宋体"/>
          <w:sz w:val="28"/>
          <w:szCs w:val="28"/>
          <w:lang w:eastAsia="zh-CN"/>
        </w:rPr>
      </w:pPr>
      <w:r>
        <w:rPr>
          <w:rFonts w:hint="eastAsia" w:ascii="宋体" w:hAnsi="宋体" w:eastAsia="宋体" w:cs="宋体"/>
          <w:sz w:val="28"/>
          <w:szCs w:val="28"/>
        </w:rPr>
        <w:t>一是强化群租智能综合治理，建立“街道（镇）牵头统筹+公安+城管+物业服务企业+志愿者”联动管控体系，明确各方职责，形成治理合力。严格推行“租户备案+房东承诺”制度，依托线上备案平台，全面记录租户身份信息、租赁期限、房屋户型、居住人数等内容，实现出租房动态管理与精准管控。利用AI智能识别、视频监控技术与无人机巡查等手段，实时监测房屋内人员密度、隔断设置、用电负荷等情况，精准排查违规群租房源，每月开展联合巡查并将结果录入信息化系统，对违规房东进行约谈警示、依法处罚，形成“源头管控+动态巡查+从严处置”的闭环治理体系</w:t>
      </w:r>
      <w:r>
        <w:rPr>
          <w:rFonts w:hint="eastAsia" w:ascii="宋体" w:hAnsi="宋体" w:cs="宋体"/>
          <w:sz w:val="28"/>
          <w:szCs w:val="28"/>
          <w:lang w:eastAsia="zh-CN"/>
        </w:rPr>
        <w:t>；</w:t>
      </w:r>
    </w:p>
    <w:p>
      <w:pPr>
        <w:spacing w:before="120" w:after="120" w:line="360" w:lineRule="auto"/>
        <w:ind w:left="0"/>
        <w:jc w:val="left"/>
        <w:rPr>
          <w:rFonts w:hint="eastAsia" w:ascii="宋体" w:hAnsi="宋体" w:cs="宋体"/>
          <w:sz w:val="28"/>
          <w:szCs w:val="28"/>
          <w:lang w:eastAsia="zh-CN"/>
        </w:rPr>
      </w:pPr>
      <w:r>
        <w:rPr>
          <w:rFonts w:hint="eastAsia" w:ascii="宋体" w:hAnsi="宋体" w:eastAsia="宋体" w:cs="宋体"/>
          <w:sz w:val="28"/>
          <w:szCs w:val="28"/>
        </w:rPr>
        <w:t>二是规范小区经营线上核查，严格依据业主大会决议，明确禁止小区内开展民宿经营等商业活动，物业服务企业通过线上平台核查房屋租借合同与用途，对疑似民宿经营的房源不予办理入住手续、暂停门禁权限，强化源头管控。主动对接公安、文旅等部门信息化系统，实现民宿经营信息共享、数据互通，精准排查小区内隐蔽违规经营行为，依法依规予以整改取缔，维护小区居住秩序</w:t>
      </w:r>
      <w:r>
        <w:rPr>
          <w:rFonts w:hint="eastAsia" w:ascii="宋体" w:hAnsi="宋体" w:cs="宋体"/>
          <w:sz w:val="28"/>
          <w:szCs w:val="28"/>
          <w:lang w:eastAsia="zh-CN"/>
        </w:rPr>
        <w:t>；</w:t>
      </w:r>
    </w:p>
    <w:p>
      <w:pPr>
        <w:spacing w:before="120" w:after="120" w:line="360" w:lineRule="auto"/>
        <w:ind w:left="0"/>
        <w:jc w:val="left"/>
        <w:rPr>
          <w:rFonts w:hint="eastAsia" w:ascii="宋体" w:hAnsi="宋体" w:eastAsia="宋体" w:cs="宋体"/>
          <w:sz w:val="28"/>
          <w:szCs w:val="28"/>
        </w:rPr>
      </w:pPr>
      <w:r>
        <w:rPr>
          <w:rFonts w:hint="eastAsia" w:ascii="宋体" w:hAnsi="宋体" w:eastAsia="宋体" w:cs="宋体"/>
          <w:sz w:val="28"/>
          <w:szCs w:val="28"/>
        </w:rPr>
        <w:t>三是整治私搭乱建智能巡查，联合城管、规划部门开展私搭乱建专项整治行动，依法拆除违规建筑，恢复公共空间原貌。利用无人机航拍、视频监控全覆盖等信息化手段，对小区公共空间、楼顶、露台等重点区域开展常态化巡查，及时发现苗头性、隐蔽性私搭乱建问题，实现早预警、早制止、早整改，避免违规建筑成型后拆除成本增加。同步建立信息化台账，详细记录整治过程、结果与回访情况，定期开展“回头看”，防止问题反弹，形成长效治理机制。</w:t>
      </w:r>
    </w:p>
    <w:p>
      <w:pPr>
        <w:spacing w:before="320" w:after="120" w:line="288" w:lineRule="auto"/>
        <w:ind w:left="0"/>
        <w:jc w:val="left"/>
        <w:outlineLvl w:val="1"/>
      </w:pPr>
      <w:r>
        <w:rPr>
          <w:rFonts w:ascii="Arial" w:hAnsi="Arial" w:eastAsia="等线" w:cs="Arial"/>
          <w:b/>
          <w:sz w:val="32"/>
        </w:rPr>
        <w:t>3.5 业主大会/业委会改进措施</w:t>
      </w:r>
      <w:bookmarkEnd w:id="28"/>
    </w:p>
    <w:p>
      <w:pPr>
        <w:spacing w:before="120" w:after="120" w:line="360" w:lineRule="auto"/>
        <w:ind w:left="0"/>
        <w:jc w:val="left"/>
        <w:rPr>
          <w:rFonts w:hint="eastAsia" w:ascii="宋体" w:hAnsi="宋体" w:eastAsia="宋体" w:cs="宋体"/>
          <w:sz w:val="28"/>
          <w:szCs w:val="28"/>
        </w:rPr>
      </w:pPr>
      <w:bookmarkStart w:id="29" w:name="heading_29"/>
      <w:r>
        <w:rPr>
          <w:rFonts w:hint="eastAsia" w:ascii="宋体" w:hAnsi="宋体" w:eastAsia="宋体" w:cs="宋体"/>
          <w:sz w:val="28"/>
          <w:szCs w:val="28"/>
        </w:rPr>
        <w:t>问题分析</w:t>
      </w:r>
    </w:p>
    <w:p>
      <w:pPr>
        <w:spacing w:before="120" w:after="120" w:line="360" w:lineRule="auto"/>
        <w:ind w:left="0"/>
        <w:jc w:val="left"/>
        <w:rPr>
          <w:rFonts w:hint="eastAsia" w:ascii="宋体" w:hAnsi="宋体" w:eastAsia="宋体" w:cs="宋体"/>
          <w:sz w:val="28"/>
          <w:szCs w:val="28"/>
        </w:rPr>
      </w:pPr>
      <w:r>
        <w:rPr>
          <w:rFonts w:hint="eastAsia" w:ascii="宋体" w:hAnsi="宋体" w:eastAsia="宋体" w:cs="宋体"/>
          <w:sz w:val="28"/>
          <w:szCs w:val="28"/>
        </w:rPr>
        <w:t>2025年业主大会/业委会类工单量2282条，同比下降22.8%，主要反映业委会履职不规范、议事效率低下、信息公示不及时、与物业服务企业协同不畅等问题。部分业委会成员由业主自愿担任，缺乏物业管理专业知识、法律素养与履职经验，对自身职责边界、议事流程不清晰，导致履职能力不足，甚至出现违规决策、不作为等情况；部分小区业主参与公共事务的积极性不高，业主大会召开难度大，公共事项决策推进缓慢，维修资金使用、物业费调价等关键工作难以落地；业委会与物业服务企业、居委会之间缺乏常态化沟通协调机制，存在权责交叉、推诿扯皮等问题，协同治理效能难以充分发挥；部分业委会信息公示不及时、不全面，业主对业委会工作缺乏信任，引发质疑与投诉。</w:t>
      </w:r>
    </w:p>
    <w:p>
      <w:pPr>
        <w:spacing w:before="120" w:after="120" w:line="360" w:lineRule="auto"/>
        <w:ind w:left="0"/>
        <w:jc w:val="left"/>
        <w:rPr>
          <w:rFonts w:hint="eastAsia" w:ascii="宋体" w:hAnsi="宋体" w:eastAsia="宋体" w:cs="宋体"/>
          <w:sz w:val="28"/>
          <w:szCs w:val="28"/>
        </w:rPr>
      </w:pPr>
      <w:r>
        <w:rPr>
          <w:rFonts w:hint="eastAsia" w:ascii="宋体" w:hAnsi="宋体" w:cs="宋体"/>
          <w:sz w:val="28"/>
          <w:szCs w:val="28"/>
          <w:lang w:val="en-US" w:eastAsia="zh-CN"/>
        </w:rPr>
        <w:t>改进</w:t>
      </w:r>
      <w:r>
        <w:rPr>
          <w:rFonts w:hint="eastAsia" w:ascii="宋体" w:hAnsi="宋体" w:eastAsia="宋体" w:cs="宋体"/>
          <w:sz w:val="28"/>
          <w:szCs w:val="28"/>
        </w:rPr>
        <w:t>措施</w:t>
      </w:r>
    </w:p>
    <w:p>
      <w:pPr>
        <w:spacing w:before="120" w:after="120" w:line="360" w:lineRule="auto"/>
        <w:ind w:left="0"/>
        <w:jc w:val="left"/>
        <w:rPr>
          <w:rFonts w:hint="eastAsia" w:ascii="宋体" w:hAnsi="宋体" w:cs="宋体"/>
          <w:sz w:val="28"/>
          <w:szCs w:val="28"/>
        </w:rPr>
      </w:pPr>
      <w:r>
        <w:rPr>
          <w:rFonts w:hint="eastAsia" w:ascii="宋体" w:hAnsi="宋体" w:cs="宋体"/>
          <w:sz w:val="28"/>
          <w:szCs w:val="28"/>
          <w:lang w:val="en-US" w:eastAsia="zh-CN"/>
        </w:rPr>
        <w:t>一是</w:t>
      </w:r>
      <w:r>
        <w:rPr>
          <w:rFonts w:hint="eastAsia" w:ascii="宋体" w:hAnsi="宋体" w:cs="宋体"/>
          <w:sz w:val="28"/>
          <w:szCs w:val="28"/>
        </w:rPr>
        <w:t xml:space="preserve"> 换届改选小组在组织换届改选的同时要注重化解小区存在的矛盾问题，矛盾化解后才能确保换届改选平顺进行。在委员候选人的推荐上要确保公平公正公开，意见征询要全面充分。</w:t>
      </w:r>
    </w:p>
    <w:p>
      <w:pPr>
        <w:spacing w:before="120" w:after="120" w:line="360" w:lineRule="auto"/>
        <w:ind w:left="0"/>
        <w:jc w:val="left"/>
        <w:rPr>
          <w:rFonts w:hint="eastAsia" w:ascii="宋体" w:hAnsi="宋体" w:cs="宋体"/>
          <w:sz w:val="28"/>
          <w:szCs w:val="28"/>
        </w:rPr>
      </w:pPr>
      <w:r>
        <w:rPr>
          <w:rFonts w:hint="eastAsia" w:ascii="宋体" w:hAnsi="宋体" w:cs="宋体"/>
          <w:sz w:val="28"/>
          <w:szCs w:val="28"/>
          <w:lang w:val="en-US" w:eastAsia="zh-CN"/>
        </w:rPr>
        <w:t>二是</w:t>
      </w:r>
      <w:r>
        <w:rPr>
          <w:rFonts w:hint="eastAsia" w:ascii="宋体" w:hAnsi="宋体" w:cs="宋体"/>
          <w:sz w:val="28"/>
          <w:szCs w:val="28"/>
        </w:rPr>
        <w:t>加大业委会的教育培训，对能力较弱的业委会及时选配业委会执行秘书，属地居委要主动介入业委会的日常工作，对重大决策事项要加大指导力度。业委会规范化运作评价要进一步贴近实际。</w:t>
      </w:r>
    </w:p>
    <w:p>
      <w:pPr>
        <w:spacing w:before="120" w:after="120" w:line="360" w:lineRule="auto"/>
        <w:ind w:left="0"/>
        <w:jc w:val="left"/>
        <w:rPr>
          <w:rFonts w:hint="eastAsia" w:ascii="宋体" w:hAnsi="宋体" w:cs="宋体"/>
          <w:sz w:val="28"/>
          <w:szCs w:val="28"/>
        </w:rPr>
      </w:pPr>
      <w:r>
        <w:rPr>
          <w:rFonts w:hint="eastAsia" w:ascii="宋体" w:hAnsi="宋体" w:cs="宋体"/>
          <w:sz w:val="28"/>
          <w:szCs w:val="28"/>
          <w:lang w:val="en-US" w:eastAsia="zh-CN"/>
        </w:rPr>
        <w:t>三是</w:t>
      </w:r>
      <w:r>
        <w:rPr>
          <w:rFonts w:hint="eastAsia" w:ascii="宋体" w:hAnsi="宋体" w:cs="宋体"/>
          <w:sz w:val="28"/>
          <w:szCs w:val="28"/>
        </w:rPr>
        <w:t>街镇房管机构要加大小区物业选（续）聘工作的指导监督力度，要在流程启动时提前介入，避免业委会操作流程的不规范引发居民的集中投诉。</w:t>
      </w:r>
    </w:p>
    <w:p>
      <w:pPr>
        <w:spacing w:before="320" w:after="120" w:line="288" w:lineRule="auto"/>
        <w:ind w:left="0"/>
        <w:jc w:val="left"/>
        <w:outlineLvl w:val="1"/>
      </w:pPr>
      <w:r>
        <w:rPr>
          <w:rFonts w:ascii="Arial" w:hAnsi="Arial" w:eastAsia="等线" w:cs="Arial"/>
          <w:b/>
          <w:sz w:val="32"/>
        </w:rPr>
        <w:t>3.6 整体保障措施</w:t>
      </w:r>
      <w:bookmarkEnd w:id="29"/>
    </w:p>
    <w:p>
      <w:pPr>
        <w:spacing w:before="300" w:after="120" w:line="288" w:lineRule="auto"/>
        <w:ind w:left="0"/>
        <w:jc w:val="left"/>
        <w:outlineLvl w:val="2"/>
      </w:pPr>
      <w:bookmarkStart w:id="30" w:name="heading_30"/>
      <w:r>
        <w:rPr>
          <w:rFonts w:ascii="Arial" w:hAnsi="Arial" w:eastAsia="等线" w:cs="Arial"/>
          <w:b/>
          <w:sz w:val="30"/>
        </w:rPr>
        <w:t>3.6.1 制度保障</w:t>
      </w:r>
      <w:bookmarkEnd w:id="30"/>
    </w:p>
    <w:p>
      <w:pPr>
        <w:spacing w:before="120" w:after="120" w:line="360" w:lineRule="auto"/>
        <w:ind w:left="0"/>
        <w:jc w:val="left"/>
        <w:rPr>
          <w:rFonts w:hint="eastAsia" w:ascii="宋体" w:hAnsi="宋体" w:eastAsia="宋体" w:cs="宋体"/>
          <w:sz w:val="28"/>
          <w:szCs w:val="28"/>
        </w:rPr>
      </w:pPr>
      <w:bookmarkStart w:id="31" w:name="heading_31"/>
      <w:r>
        <w:rPr>
          <w:rFonts w:hint="eastAsia" w:ascii="宋体" w:hAnsi="宋体" w:eastAsia="宋体" w:cs="宋体"/>
          <w:sz w:val="28"/>
          <w:szCs w:val="28"/>
        </w:rPr>
        <w:t>完善物业管理配套制度体系，构建覆盖全流程、全场景的制度保障网络，为物业管理工作有序推进提供坚实支撑。</w:t>
      </w:r>
      <w:r>
        <w:rPr>
          <w:rFonts w:hint="eastAsia" w:ascii="宋体" w:hAnsi="宋体" w:cs="宋体"/>
          <w:sz w:val="28"/>
          <w:szCs w:val="28"/>
          <w:lang w:val="en-US" w:eastAsia="zh-CN"/>
        </w:rPr>
        <w:t>细化</w:t>
      </w:r>
      <w:r>
        <w:rPr>
          <w:rFonts w:hint="eastAsia" w:ascii="宋体" w:hAnsi="宋体" w:eastAsia="宋体" w:cs="宋体"/>
          <w:sz w:val="28"/>
          <w:szCs w:val="28"/>
        </w:rPr>
        <w:t>《业主大会议事规则》《物业服务合同示范文本》《管理规约》等核心制度，进一步明确业主、业委会、物业服务企业、居委会各方权利义务与履职边界，细化议事决策、服务标准、纠纷调解、退出机制等关键内容，减少权责纠纷。总结推广“物业费上调六步法”“群租管控联动机制”“电梯运维规范化流程”等成熟经验，编制标准化工作手册，在全区范围内推广应用，实现物业管理工作规范化、标准化运作。建立健全物业服务企业信用评价体系，将工单整改成效、居民满意度、履约情况、安全管理水平、信用记录等纳入评价指标，实行“守信激励、失信惩戒”机制，对信用优良的企业给予项目优先承接、评优推荐等激励，对信用不良的企业进行约谈警示、限期整改、市场清退，倒逼服务质量提升。健全维修资金使用、应急处置、投诉闭环管理、安全隐患排查等专项制度，明确办理流程、责任主体与时限要求，构建“制度管人、流程管事”的长效机制，确保各项工作有章可循、落地见效。</w:t>
      </w:r>
    </w:p>
    <w:p>
      <w:pPr>
        <w:spacing w:before="300" w:after="120" w:line="288" w:lineRule="auto"/>
        <w:ind w:left="0"/>
        <w:jc w:val="left"/>
        <w:outlineLvl w:val="2"/>
      </w:pPr>
      <w:r>
        <w:rPr>
          <w:rFonts w:ascii="Arial" w:hAnsi="Arial" w:eastAsia="等线" w:cs="Arial"/>
          <w:b/>
          <w:sz w:val="30"/>
        </w:rPr>
        <w:t>3.6.2 宣传保障</w:t>
      </w:r>
      <w:bookmarkEnd w:id="31"/>
    </w:p>
    <w:p>
      <w:pPr>
        <w:spacing w:before="120" w:after="120" w:line="360" w:lineRule="auto"/>
        <w:ind w:left="0"/>
        <w:jc w:val="left"/>
        <w:rPr>
          <w:rFonts w:hint="eastAsia" w:ascii="宋体" w:hAnsi="宋体" w:eastAsia="宋体" w:cs="宋体"/>
          <w:sz w:val="28"/>
          <w:szCs w:val="28"/>
        </w:rPr>
      </w:pPr>
      <w:bookmarkStart w:id="32" w:name="heading_32"/>
      <w:r>
        <w:rPr>
          <w:rFonts w:hint="eastAsia" w:ascii="宋体" w:hAnsi="宋体" w:eastAsia="宋体" w:cs="宋体"/>
          <w:sz w:val="28"/>
          <w:szCs w:val="28"/>
        </w:rPr>
        <w:t>构建多渠道、全覆盖、精准化的宣传引导体系，营造理解、支持、参与物业管理工作的良好氛围。依托区融媒体中心、街道（镇）公众号、小区公告栏、业主群等线上线下平台，广泛宣传物业管理政策法规、优秀治理案例、小区规约与文明居住理念，提升居民对物业管理工作的认知度与认同感。针对物业费调价、维修资金使用、老旧小区改造等重点工作，组建“党员+楼组长+业委会成员”政策宣讲队，开展上门解读、座谈交流、现场答疑等服务，详细说明工作必要性、实施流程与预期成效，化解居民疑虑，争取居民支持配合。开展“邻里和睦”“文明居住”“安全家园”等主题宣传活动，通过案例展示、知识竞赛、志愿服务等形式，提升居民公共意识、文明素养与安全防范能力，引导居民自觉遵守小区规约，主动参与小区治理。宣传物业服务企业优质服务举措、整改成效与先进典型事迹，展现物业服务行业积极形象，增进居民与物业服务企业之间的相互理解，构建和谐共生的新型物业关系。</w:t>
      </w:r>
    </w:p>
    <w:p>
      <w:pPr>
        <w:spacing w:before="300" w:after="120" w:line="288" w:lineRule="auto"/>
        <w:ind w:left="0"/>
        <w:jc w:val="left"/>
        <w:outlineLvl w:val="2"/>
      </w:pPr>
      <w:r>
        <w:rPr>
          <w:rFonts w:ascii="Arial" w:hAnsi="Arial" w:eastAsia="等线" w:cs="Arial"/>
          <w:b/>
          <w:sz w:val="30"/>
        </w:rPr>
        <w:t>3.6.3 技术保障</w:t>
      </w:r>
      <w:bookmarkEnd w:id="32"/>
    </w:p>
    <w:p>
      <w:pPr>
        <w:spacing w:before="120" w:after="120" w:line="360" w:lineRule="auto"/>
        <w:ind w:left="0"/>
        <w:jc w:val="left"/>
        <w:rPr>
          <w:rFonts w:hint="eastAsia" w:ascii="宋体" w:hAnsi="宋体" w:eastAsia="宋体" w:cs="宋体"/>
          <w:sz w:val="28"/>
          <w:szCs w:val="28"/>
        </w:rPr>
      </w:pPr>
      <w:bookmarkStart w:id="33" w:name="heading_33"/>
      <w:r>
        <w:rPr>
          <w:rFonts w:hint="eastAsia" w:ascii="宋体" w:hAnsi="宋体" w:eastAsia="宋体" w:cs="宋体"/>
          <w:sz w:val="28"/>
          <w:szCs w:val="28"/>
        </w:rPr>
        <w:t>深入推进智慧物业建设，以信息技术为支撑，推动物业管理数字化、智能化转型，提升治理效能与服务水平。引入大数据、物联网、AI智能识别等先进技术，搭建区级核心诉求月度监测平台，实时跟踪工单变化趋势、区域分布、类型特征，精准识别高发问题与治理薄弱区域，为专项整治、政策制定提供数据支撑。在老旧小区全面推广智慧停车系统，优化车位分配与管理效率，缓解停车供需矛盾；为电梯、消防设施、供水供电管道等核心设备加装智能监测终端，实现故障提前预警、精准派单与快速处置，提升应急响应能力。搭建线上一体化服务平台，整合报修、投诉、缴费、意见征询、业主投票、信息公示等功能，实现服务“一站式”办理，提升居民办事便捷度。建立工单数据分析模型，深度挖掘诉求背后的共性问题、根源性原因，精准对接治理需求，推动物业管理从“被动接诉”向“源头预防、主动治理”转型。加强信息安全保障，规范数据收集、存储、使用流程，保护居民个人信息与隐私安全，确保智慧物业平台安全稳定运行。</w:t>
      </w:r>
    </w:p>
    <w:p>
      <w:pPr>
        <w:spacing w:before="380" w:after="140" w:line="288" w:lineRule="auto"/>
        <w:ind w:left="0"/>
        <w:jc w:val="left"/>
        <w:outlineLvl w:val="0"/>
      </w:pPr>
      <w:r>
        <w:rPr>
          <w:rFonts w:ascii="Arial" w:hAnsi="Arial" w:eastAsia="等线" w:cs="Arial"/>
          <w:b/>
          <w:sz w:val="36"/>
        </w:rPr>
        <w:t>四、结语</w:t>
      </w:r>
      <w:bookmarkEnd w:id="33"/>
    </w:p>
    <w:p>
      <w:pPr>
        <w:spacing w:before="120" w:after="120" w:line="360" w:lineRule="auto"/>
        <w:ind w:left="0"/>
        <w:jc w:val="left"/>
        <w:rPr>
          <w:rFonts w:hint="eastAsia" w:ascii="宋体" w:hAnsi="宋体" w:eastAsia="宋体" w:cs="宋体"/>
          <w:sz w:val="28"/>
          <w:szCs w:val="28"/>
        </w:rPr>
      </w:pPr>
      <w:bookmarkStart w:id="34" w:name="heading_34"/>
      <w:r>
        <w:rPr>
          <w:rFonts w:hint="eastAsia" w:ascii="宋体" w:hAnsi="宋体" w:eastAsia="宋体" w:cs="宋体"/>
          <w:sz w:val="28"/>
          <w:szCs w:val="28"/>
        </w:rPr>
        <w:t>2025年，徐汇区住宅小区物业管理工作在党建引领下，通过机制创新、精准施策、多方协同，取得了显著成效，投诉总量稳步下降，核心诉求治理成效突出，老旧小区设施条件持续改善，物业服务质量与治理效能同步提升，形成一批可复制、可推广的优秀治理案例，“党建引领、协同发力、分类施策、长效管控”的物业管理治理格局逐步完善，居民获得感、幸福感、安全感持续增强。同时，我们也清醒认识到，区域间治理水平差异显著、服务类诉求呈上升态势、部分物业服务企业专业能力与服务意识不足、顽固治理难题易反弹等问题仍需持续攻坚突破，物业管理高质量发展仍有较长路要走。</w:t>
      </w:r>
    </w:p>
    <w:p>
      <w:pPr>
        <w:spacing w:before="120" w:after="120" w:line="360" w:lineRule="auto"/>
        <w:ind w:left="0"/>
        <w:jc w:val="left"/>
        <w:rPr>
          <w:rFonts w:hint="eastAsia" w:ascii="宋体" w:hAnsi="宋体" w:eastAsia="宋体" w:cs="宋体"/>
          <w:sz w:val="28"/>
          <w:szCs w:val="28"/>
        </w:rPr>
      </w:pPr>
      <w:r>
        <w:rPr>
          <w:rFonts w:hint="eastAsia" w:ascii="宋体" w:hAnsi="宋体" w:eastAsia="宋体" w:cs="宋体"/>
          <w:sz w:val="28"/>
          <w:szCs w:val="28"/>
        </w:rPr>
        <w:t>2026年，徐汇区将以本报告为指导，聚焦短板弱项，精准发力、持续攻坚。深化分区域精准治理，加大对老旧小区、诉求高发区域的资源倾斜与政策支持，缩小区域治理差距；强化物业服务企业赋能培育，通过培训、考核、信用评价等手段，提升行业整体服务水平；优化数据驱动治理模式，完善智慧物业平台功能，提升源头治理与精准治理能力；全面推广优秀案例经验，以点带面推动全区物业管理工作提质增效，推动物业管理工作从“问题治理”向“品质提升”跨越，不断擦亮物业管理“徐汇范式”品牌，为建设人民满意的幸福家园提供坚实保障。</w:t>
      </w:r>
    </w:p>
    <w:p>
      <w:pPr>
        <w:spacing w:before="380" w:after="140" w:line="288" w:lineRule="auto"/>
        <w:ind w:left="0"/>
        <w:jc w:val="left"/>
        <w:outlineLvl w:val="0"/>
      </w:pPr>
      <w:r>
        <w:rPr>
          <w:rFonts w:ascii="Arial" w:hAnsi="Arial" w:eastAsia="等线" w:cs="Arial"/>
          <w:b/>
          <w:sz w:val="36"/>
        </w:rPr>
        <w:t>五、附件</w:t>
      </w:r>
      <w:bookmarkEnd w:id="34"/>
    </w:p>
    <w:p>
      <w:pPr>
        <w:spacing w:before="320" w:after="120" w:line="288" w:lineRule="auto"/>
        <w:ind w:left="0"/>
        <w:jc w:val="left"/>
        <w:outlineLvl w:val="1"/>
      </w:pPr>
      <w:bookmarkStart w:id="35" w:name="heading_35"/>
      <w:r>
        <w:rPr>
          <w:rFonts w:ascii="Arial" w:hAnsi="Arial" w:eastAsia="等线" w:cs="Arial"/>
          <w:b/>
          <w:sz w:val="32"/>
        </w:rPr>
        <w:t>5.1 重点案例（降投诉典型案例）</w:t>
      </w:r>
      <w:bookmarkEnd w:id="35"/>
    </w:p>
    <w:p>
      <w:pPr>
        <w:spacing w:before="300" w:after="120" w:line="288" w:lineRule="auto"/>
        <w:ind w:left="0"/>
        <w:jc w:val="left"/>
        <w:outlineLvl w:val="2"/>
      </w:pPr>
      <w:r>
        <w:rPr>
          <w:rFonts w:ascii="Arial" w:hAnsi="Arial" w:eastAsia="等线" w:cs="Arial"/>
          <w:b/>
          <w:sz w:val="30"/>
        </w:rPr>
        <w:t>9.1.1 华悦家园：老旧小区电梯更新攻坚案例</w:t>
      </w:r>
    </w:p>
    <w:p>
      <w:pPr>
        <w:spacing w:before="120" w:after="120" w:line="360" w:lineRule="auto"/>
        <w:ind w:left="0"/>
        <w:jc w:val="left"/>
        <w:rPr>
          <w:rFonts w:hint="eastAsia" w:ascii="宋体" w:hAnsi="宋体" w:eastAsia="宋体" w:cs="宋体"/>
          <w:sz w:val="28"/>
          <w:szCs w:val="28"/>
        </w:rPr>
      </w:pPr>
      <w:r>
        <w:rPr>
          <w:rFonts w:hint="eastAsia" w:ascii="宋体" w:hAnsi="宋体" w:eastAsia="宋体" w:cs="宋体"/>
          <w:sz w:val="28"/>
          <w:szCs w:val="28"/>
        </w:rPr>
        <w:t>矛盾难点：华悦家园建成于2000年，共8栋楼12部电梯，均已超出15年的安全使用年限，设备老化严重，频繁出现故障停运、困人等情况，2024年相关投诉达32条，严重影响居民出行安全与生活质量。小区老年居民占比42%，对电梯依赖性极强，电梯故障给老年居民日常出行带来极大不便；维修资金筹集难度大，业主签字率不足60%，远低于75%的法定标准，电梯更新工作多次推进均受阻，成为困扰小区居民的核心难题。</w:t>
      </w:r>
    </w:p>
    <w:p>
      <w:pPr>
        <w:spacing w:before="120" w:after="120" w:line="360" w:lineRule="auto"/>
        <w:ind w:left="0"/>
        <w:jc w:val="left"/>
        <w:rPr>
          <w:rFonts w:hint="eastAsia" w:ascii="宋体" w:hAnsi="宋体" w:eastAsia="宋体" w:cs="宋体"/>
          <w:sz w:val="28"/>
          <w:szCs w:val="28"/>
        </w:rPr>
      </w:pPr>
      <w:r>
        <w:rPr>
          <w:rFonts w:hint="eastAsia" w:ascii="宋体" w:hAnsi="宋体" w:eastAsia="宋体" w:cs="宋体"/>
          <w:sz w:val="28"/>
          <w:szCs w:val="28"/>
        </w:rPr>
        <w:t>推进情况：一是组建专项攻坚工作组，由街道牵头统筹，联合居委会、业委会、物业服务企业及老年业主骨干、党员代表等成立电梯更新工作小组，明确分工、压实责任，逐户上门解读电梯更新政策、安全隐患危害及资金筹集方案，同步通过业主群、座谈会、现场演示等方式答疑解惑，消除居民对资金使用、施工影响、电梯质量等方面的顾虑。二是优化资金筹集方案，积极对接区房管局，成功申请30%的区级维修资金补贴，减轻业主负担；剩余部分按房屋面积合理分摊，针对小区老年居民多、经济压力大的特点，推出分期缴纳政策，允许业主分2-3年缴清分摊费用，最大限度降低缴费门槛。三是规范招标与施工流程，坚持公开透明原则，通过线上线下渠道公开筛选具备一级资质、经验丰富的电梯供应商与施工单位，全程公示招标结果、施工进度、资金使用情况及验收标准，主动接受业主监督，建立施工日志与周通报制度，及时反馈施工进展。四是制定人文过渡保障方案，施工期间为每栋楼配备临时便民接送车，安排专人负责老年居民上下楼接送服务，在单元门口设置无障碍通道与休息区，提前告知施工时间与影响范围，避开居民出行高峰时段施工，最大限度减少对居民生活的干扰。通过系列举措，2025年6月完成全部12部电梯更新工作，新电梯配备智能监测、应急呼叫等功能，全年电梯故障投诉降至2条，居民出行安全得到切实保障。</w:t>
      </w:r>
    </w:p>
    <w:p>
      <w:pPr>
        <w:spacing w:before="120" w:after="120" w:line="360" w:lineRule="auto"/>
        <w:ind w:left="0"/>
        <w:jc w:val="left"/>
        <w:rPr>
          <w:rFonts w:hint="eastAsia" w:ascii="宋体" w:hAnsi="宋体" w:eastAsia="宋体" w:cs="宋体"/>
          <w:sz w:val="28"/>
          <w:szCs w:val="28"/>
        </w:rPr>
      </w:pPr>
      <w:r>
        <w:rPr>
          <w:rFonts w:hint="eastAsia" w:ascii="宋体" w:hAnsi="宋体" w:eastAsia="宋体" w:cs="宋体"/>
          <w:sz w:val="28"/>
          <w:szCs w:val="28"/>
        </w:rPr>
        <w:t>工作启示：老旧小区设施更新需坚持“党建引领+多方协同”，聚焦居民核心诉求优化方案，充分考虑老年居民等特殊群体的需求，通过政策赋能、透明运作、人文关怀破解资金筹集与施工协调难题。同时，要搭建高效的沟通平台，充分尊重居民意愿，主动回应居民关切，凝聚治理共识，筑牢民生保障底线。</w:t>
      </w:r>
    </w:p>
    <w:p>
      <w:pPr>
        <w:spacing w:before="120" w:after="120" w:line="360" w:lineRule="auto"/>
        <w:ind w:left="0"/>
        <w:jc w:val="left"/>
        <w:rPr>
          <w:rFonts w:hint="eastAsia" w:ascii="宋体" w:hAnsi="宋体" w:eastAsia="宋体" w:cs="宋体"/>
          <w:sz w:val="28"/>
          <w:szCs w:val="28"/>
          <w:lang w:eastAsia="zh-CN"/>
        </w:rPr>
      </w:pPr>
      <w:r>
        <w:rPr>
          <w:rFonts w:hint="eastAsia" w:ascii="宋体" w:hAnsi="宋体" w:eastAsia="宋体" w:cs="宋体"/>
          <w:sz w:val="28"/>
          <w:szCs w:val="28"/>
          <w:lang w:eastAsia="zh-CN"/>
        </w:rPr>
        <w:drawing>
          <wp:inline distT="0" distB="0" distL="114300" distR="114300">
            <wp:extent cx="5273040" cy="2373630"/>
            <wp:effectExtent l="0" t="0" r="10160" b="13970"/>
            <wp:docPr id="6" name="图片 6" descr="华悦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华悦02"/>
                    <pic:cNvPicPr>
                      <a:picLocks noChangeAspect="1"/>
                    </pic:cNvPicPr>
                  </pic:nvPicPr>
                  <pic:blipFill>
                    <a:blip r:embed="rId16"/>
                    <a:stretch>
                      <a:fillRect/>
                    </a:stretch>
                  </pic:blipFill>
                  <pic:spPr>
                    <a:xfrm>
                      <a:off x="0" y="0"/>
                      <a:ext cx="5273040" cy="2373630"/>
                    </a:xfrm>
                    <a:prstGeom prst="rect">
                      <a:avLst/>
                    </a:prstGeom>
                    <a:noFill/>
                    <a:ln>
                      <a:noFill/>
                    </a:ln>
                  </pic:spPr>
                </pic:pic>
              </a:graphicData>
            </a:graphic>
          </wp:inline>
        </w:drawing>
      </w:r>
    </w:p>
    <w:p>
      <w:pPr>
        <w:spacing w:before="120" w:after="120" w:line="360" w:lineRule="auto"/>
        <w:ind w:left="0"/>
        <w:jc w:val="left"/>
        <w:rPr>
          <w:rFonts w:hint="eastAsia" w:ascii="宋体" w:hAnsi="宋体" w:eastAsia="宋体" w:cs="宋体"/>
          <w:sz w:val="28"/>
          <w:szCs w:val="28"/>
          <w:lang w:eastAsia="zh-CN"/>
        </w:rPr>
      </w:pPr>
      <w:r>
        <w:rPr>
          <w:rFonts w:hint="eastAsia" w:ascii="宋体" w:hAnsi="宋体" w:eastAsia="宋体" w:cs="宋体"/>
          <w:sz w:val="28"/>
          <w:szCs w:val="28"/>
          <w:lang w:eastAsia="zh-CN"/>
        </w:rPr>
        <w:drawing>
          <wp:inline distT="0" distB="0" distL="114300" distR="114300">
            <wp:extent cx="5273040" cy="2373630"/>
            <wp:effectExtent l="0" t="0" r="10160" b="13970"/>
            <wp:docPr id="9" name="图片 7" descr="华悦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7" descr="华悦03"/>
                    <pic:cNvPicPr>
                      <a:picLocks noChangeAspect="1"/>
                    </pic:cNvPicPr>
                  </pic:nvPicPr>
                  <pic:blipFill>
                    <a:blip r:embed="rId17"/>
                    <a:stretch>
                      <a:fillRect/>
                    </a:stretch>
                  </pic:blipFill>
                  <pic:spPr>
                    <a:xfrm>
                      <a:off x="0" y="0"/>
                      <a:ext cx="5273040" cy="2373630"/>
                    </a:xfrm>
                    <a:prstGeom prst="rect">
                      <a:avLst/>
                    </a:prstGeom>
                    <a:noFill/>
                    <a:ln>
                      <a:noFill/>
                    </a:ln>
                  </pic:spPr>
                </pic:pic>
              </a:graphicData>
            </a:graphic>
          </wp:inline>
        </w:drawing>
      </w:r>
    </w:p>
    <w:p>
      <w:pPr>
        <w:spacing w:before="300" w:after="120" w:line="288" w:lineRule="auto"/>
        <w:ind w:left="0"/>
        <w:jc w:val="left"/>
        <w:outlineLvl w:val="2"/>
      </w:pPr>
      <w:r>
        <w:rPr>
          <w:rFonts w:ascii="Arial" w:hAnsi="Arial" w:eastAsia="等线" w:cs="Arial"/>
          <w:b/>
          <w:sz w:val="30"/>
        </w:rPr>
        <w:t>9.1.2 东湾小区：群租综合治理长效案例</w:t>
      </w:r>
    </w:p>
    <w:p>
      <w:pPr>
        <w:spacing w:before="120" w:after="120" w:line="360" w:lineRule="auto"/>
        <w:ind w:left="0"/>
        <w:jc w:val="left"/>
        <w:rPr>
          <w:rFonts w:hint="eastAsia" w:ascii="宋体" w:hAnsi="宋体" w:eastAsia="宋体" w:cs="宋体"/>
          <w:sz w:val="28"/>
          <w:szCs w:val="28"/>
        </w:rPr>
      </w:pPr>
      <w:r>
        <w:rPr>
          <w:rFonts w:hint="eastAsia" w:ascii="宋体" w:hAnsi="宋体" w:eastAsia="宋体" w:cs="宋体"/>
          <w:sz w:val="28"/>
          <w:szCs w:val="28"/>
        </w:rPr>
        <w:t>矛盾难点：东湾小区为混合型小区，由多层住宅与小高层住宅组成，出租率达45%，群租问题突出，2024年群租相关投诉48条，占该小区总诉求的60%以上。部分业主为追求高额租金，私自改造房屋结构、增设隔断，将两居室改为四居室甚至五居室，人均居住面积不足5平方米，存在严重的消防与结构安全隐患；租户流动频繁，人员成分复杂，作息不规律，噪音干扰、乱扔垃圾等问题频发，引发邻里纠纷；群租治理反弹率超30%，部分业主与租户对整治工作存在抵触情绪，整改后易再次违规，治理难度极大。</w:t>
      </w:r>
    </w:p>
    <w:p>
      <w:pPr>
        <w:spacing w:before="120" w:after="120" w:line="360" w:lineRule="auto"/>
        <w:ind w:left="0"/>
        <w:jc w:val="left"/>
        <w:rPr>
          <w:rFonts w:hint="eastAsia" w:ascii="宋体" w:hAnsi="宋体" w:eastAsia="宋体" w:cs="宋体"/>
          <w:sz w:val="28"/>
          <w:szCs w:val="28"/>
        </w:rPr>
      </w:pPr>
      <w:r>
        <w:rPr>
          <w:rFonts w:hint="eastAsia" w:ascii="宋体" w:hAnsi="宋体" w:eastAsia="宋体" w:cs="宋体"/>
          <w:sz w:val="28"/>
          <w:szCs w:val="28"/>
        </w:rPr>
        <w:t>推进情况：一是建立联动管控体系，由街道牵头，联合公安、城管、物业服务企业成立群租整治专项工作组，明确各方职责，形成“街道统筹、公安核查、城管执法、物业巡查”的联动治理机制，每月开展2次联合巡查，每季度开展1次全面排查，实现群租治理无死角。建立“租户备案+房东承诺”制度，对出租房屋实行一户一档管理，要求房东签订《合规出租承诺书》，明确禁止群租、违规改造等行为，对违规房东依法约谈、处罚。二是强化源头管控，物业服务企业严格核查房屋租借合同与居住人数，对疑似群租的房源不予办理入住手续、暂停门禁权限，同步联动社区民警上门核查，督促房东整改。在小区门口、单元楼门口张贴群租危害告知书与举报电话，鼓励居民参与监督，形成全民共治格局。三是加强宣传引导，向房东、租户发放《群租危害告知书》《消防安全法规手册》等资料，普及群租的法律风险与安全隐患，在小区公告栏公示违规群租案例及处罚结果，形成警示效应。组织房东与租户开展座谈会，讲解合规出租与居住的相关要求，引导房东树立责任意识，租户自觉遵守小区规约。四是建立长效管控机制，推行“楼栋长日常巡查+物业服务企业专项巡查+居民监督举报”模式，开通24小时群租举报渠道，对举报线索及时核查处置。对整改后反弹的房源，依法从严处置，联合城管部门强制拆除违规隔断，对屡教不改的房东纳入信用黑名单，限制其房屋出租备案，形成“整治-巩固-提升”的闭环管理。2025年群租投诉降至5条，治理反弹率控制在8%以内，小区居住秩序与安全环境显著改善。</w:t>
      </w:r>
    </w:p>
    <w:p>
      <w:pPr>
        <w:spacing w:before="120" w:after="120" w:line="360" w:lineRule="auto"/>
        <w:ind w:left="0"/>
        <w:jc w:val="left"/>
        <w:rPr>
          <w:rFonts w:hint="eastAsia" w:ascii="宋体" w:hAnsi="宋体" w:eastAsia="宋体" w:cs="宋体"/>
          <w:sz w:val="28"/>
          <w:szCs w:val="28"/>
        </w:rPr>
      </w:pPr>
      <w:r>
        <w:rPr>
          <w:rFonts w:hint="eastAsia" w:ascii="宋体" w:hAnsi="宋体" w:eastAsia="宋体" w:cs="宋体"/>
          <w:sz w:val="28"/>
          <w:szCs w:val="28"/>
        </w:rPr>
        <w:t>工作启示：群租治理需坚持“源头防范+联合执法+长效管控”，压实房东主体责任，强化多部门协同联动，形成治理合力。既要加大整治力度，依法查处违规行为，又要注重宣传引导，提升房东与租户的法律意识和安全意识，同时建立常态化巡查与监督机制，防止问题反弹，形成全民参与、齐抓共管的治理格局。</w:t>
      </w:r>
    </w:p>
    <w:p>
      <w:pPr>
        <w:spacing w:before="120" w:after="120" w:line="360" w:lineRule="auto"/>
        <w:ind w:left="0"/>
        <w:jc w:val="left"/>
        <w:rPr>
          <w:rFonts w:hint="eastAsia" w:ascii="宋体" w:hAnsi="宋体" w:eastAsia="宋体" w:cs="宋体"/>
          <w:sz w:val="28"/>
          <w:szCs w:val="28"/>
          <w:lang w:eastAsia="zh-CN"/>
        </w:rPr>
      </w:pPr>
      <w:r>
        <w:rPr>
          <w:rFonts w:hint="eastAsia" w:ascii="宋体" w:hAnsi="宋体" w:eastAsia="宋体" w:cs="宋体"/>
          <w:sz w:val="28"/>
          <w:szCs w:val="28"/>
          <w:lang w:eastAsia="zh-CN"/>
        </w:rPr>
        <w:drawing>
          <wp:inline distT="0" distB="0" distL="114300" distR="114300">
            <wp:extent cx="5273040" cy="2373630"/>
            <wp:effectExtent l="0" t="0" r="10160" b="13970"/>
            <wp:docPr id="10" name="图片 8" descr="东湾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8" descr="东湾1"/>
                    <pic:cNvPicPr>
                      <a:picLocks noChangeAspect="1"/>
                    </pic:cNvPicPr>
                  </pic:nvPicPr>
                  <pic:blipFill>
                    <a:blip r:embed="rId18"/>
                    <a:stretch>
                      <a:fillRect/>
                    </a:stretch>
                  </pic:blipFill>
                  <pic:spPr>
                    <a:xfrm>
                      <a:off x="0" y="0"/>
                      <a:ext cx="5273040" cy="2373630"/>
                    </a:xfrm>
                    <a:prstGeom prst="rect">
                      <a:avLst/>
                    </a:prstGeom>
                    <a:noFill/>
                    <a:ln>
                      <a:noFill/>
                    </a:ln>
                  </pic:spPr>
                </pic:pic>
              </a:graphicData>
            </a:graphic>
          </wp:inline>
        </w:drawing>
      </w:r>
    </w:p>
    <w:p>
      <w:pPr>
        <w:spacing w:before="120" w:after="120" w:line="360" w:lineRule="auto"/>
        <w:ind w:left="0"/>
        <w:jc w:val="left"/>
        <w:rPr>
          <w:rFonts w:hint="eastAsia" w:ascii="宋体" w:hAnsi="宋体" w:eastAsia="宋体" w:cs="宋体"/>
          <w:sz w:val="28"/>
          <w:szCs w:val="28"/>
          <w:lang w:eastAsia="zh-CN"/>
        </w:rPr>
      </w:pPr>
      <w:r>
        <w:rPr>
          <w:rFonts w:hint="eastAsia" w:ascii="宋体" w:hAnsi="宋体" w:eastAsia="宋体" w:cs="宋体"/>
          <w:sz w:val="28"/>
          <w:szCs w:val="28"/>
          <w:lang w:eastAsia="zh-CN"/>
        </w:rPr>
        <w:drawing>
          <wp:inline distT="0" distB="0" distL="114300" distR="114300">
            <wp:extent cx="5273040" cy="2373630"/>
            <wp:effectExtent l="0" t="0" r="10160" b="13970"/>
            <wp:docPr id="7" name="图片 9" descr="东湾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9" descr="东湾2"/>
                    <pic:cNvPicPr>
                      <a:picLocks noChangeAspect="1"/>
                    </pic:cNvPicPr>
                  </pic:nvPicPr>
                  <pic:blipFill>
                    <a:blip r:embed="rId19"/>
                    <a:stretch>
                      <a:fillRect/>
                    </a:stretch>
                  </pic:blipFill>
                  <pic:spPr>
                    <a:xfrm>
                      <a:off x="0" y="0"/>
                      <a:ext cx="5273040" cy="2373630"/>
                    </a:xfrm>
                    <a:prstGeom prst="rect">
                      <a:avLst/>
                    </a:prstGeom>
                    <a:noFill/>
                    <a:ln>
                      <a:noFill/>
                    </a:ln>
                  </pic:spPr>
                </pic:pic>
              </a:graphicData>
            </a:graphic>
          </wp:inline>
        </w:drawing>
      </w:r>
    </w:p>
    <w:p>
      <w:pPr>
        <w:spacing w:before="120" w:after="120" w:line="360" w:lineRule="auto"/>
        <w:ind w:left="0"/>
        <w:jc w:val="left"/>
        <w:rPr>
          <w:rFonts w:hint="eastAsia" w:ascii="宋体" w:hAnsi="宋体" w:eastAsia="宋体" w:cs="宋体"/>
          <w:sz w:val="28"/>
          <w:szCs w:val="28"/>
          <w:lang w:eastAsia="zh-CN"/>
        </w:rPr>
      </w:pPr>
      <w:r>
        <w:rPr>
          <w:rFonts w:hint="eastAsia" w:ascii="宋体" w:hAnsi="宋体" w:eastAsia="宋体" w:cs="宋体"/>
          <w:sz w:val="28"/>
          <w:szCs w:val="28"/>
          <w:lang w:eastAsia="zh-CN"/>
        </w:rPr>
        <w:drawing>
          <wp:inline distT="0" distB="0" distL="114300" distR="114300">
            <wp:extent cx="5273040" cy="2373630"/>
            <wp:effectExtent l="0" t="0" r="10160" b="13970"/>
            <wp:docPr id="8" name="图片 10" descr="东湾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0" descr="东湾3"/>
                    <pic:cNvPicPr>
                      <a:picLocks noChangeAspect="1"/>
                    </pic:cNvPicPr>
                  </pic:nvPicPr>
                  <pic:blipFill>
                    <a:blip r:embed="rId20"/>
                    <a:stretch>
                      <a:fillRect/>
                    </a:stretch>
                  </pic:blipFill>
                  <pic:spPr>
                    <a:xfrm>
                      <a:off x="0" y="0"/>
                      <a:ext cx="5273040" cy="2373630"/>
                    </a:xfrm>
                    <a:prstGeom prst="rect">
                      <a:avLst/>
                    </a:prstGeom>
                    <a:noFill/>
                    <a:ln>
                      <a:noFill/>
                    </a:ln>
                  </pic:spPr>
                </pic:pic>
              </a:graphicData>
            </a:graphic>
          </wp:inline>
        </w:drawing>
      </w:r>
    </w:p>
    <w:p>
      <w:pPr>
        <w:spacing w:before="300" w:after="120" w:line="288" w:lineRule="auto"/>
        <w:ind w:left="0"/>
        <w:jc w:val="left"/>
        <w:outlineLvl w:val="2"/>
      </w:pPr>
      <w:r>
        <w:rPr>
          <w:rFonts w:ascii="Arial" w:hAnsi="Arial" w:eastAsia="等线" w:cs="Arial"/>
          <w:b/>
          <w:sz w:val="30"/>
        </w:rPr>
        <w:t>9.1.3 永新坊：商品房小区服务品质提升案例</w:t>
      </w:r>
    </w:p>
    <w:p>
      <w:pPr>
        <w:spacing w:before="120" w:after="120" w:line="360" w:lineRule="auto"/>
        <w:ind w:left="0"/>
        <w:jc w:val="left"/>
        <w:rPr>
          <w:rFonts w:hint="eastAsia" w:ascii="宋体" w:hAnsi="宋体" w:eastAsia="宋体" w:cs="宋体"/>
          <w:sz w:val="28"/>
          <w:szCs w:val="28"/>
        </w:rPr>
      </w:pPr>
      <w:r>
        <w:rPr>
          <w:rFonts w:hint="eastAsia" w:ascii="宋体" w:hAnsi="宋体" w:eastAsia="宋体" w:cs="宋体"/>
          <w:sz w:val="28"/>
          <w:szCs w:val="28"/>
        </w:rPr>
        <w:t>矛盾难点：永新坊为建成15年的商品房小区，共有住户860户，2024年业主对物业服务满意度仅65%，核心诉求集中于停车秩序混乱、绿化养护不到位、服务响应不及时三类，累计投诉29条。停车方面，小区车位配比1:0.8，高峰时段外来车辆随意进入占用业主车位，业主抢位纠纷频发，原有人工登记管理模式效率低下；绿化方面，部分乔木老化枯萎、草坪斑秃，绿植修剪养护不及时，雨季易出现枝叶坠落、积水倒灌问题；服务响应方面，物业报修电话常占线，维修、咨询类诉求平均响应时间超4小时，处置结果缺乏反馈，业主体验感较差。此外，小区业主对服务品质期待较高，部分业主因诉求长期未解决，拒缴物业费，形成“服务差—拒缴费—服务更差”的恶性循环。</w:t>
      </w:r>
    </w:p>
    <w:p>
      <w:pPr>
        <w:spacing w:before="120" w:after="120" w:line="360" w:lineRule="auto"/>
        <w:ind w:left="0"/>
        <w:jc w:val="left"/>
        <w:rPr>
          <w:rFonts w:hint="eastAsia" w:ascii="宋体" w:hAnsi="宋体" w:eastAsia="宋体" w:cs="宋体"/>
          <w:sz w:val="28"/>
          <w:szCs w:val="28"/>
        </w:rPr>
      </w:pPr>
      <w:r>
        <w:rPr>
          <w:rFonts w:hint="eastAsia" w:ascii="宋体" w:hAnsi="宋体" w:eastAsia="宋体" w:cs="宋体"/>
          <w:sz w:val="28"/>
          <w:szCs w:val="28"/>
        </w:rPr>
        <w:t>推进情况：一是精准施策破解停车难题，引入智慧停车管理系统，在小区出入口安装车牌自动识别设备，严格区分业主车辆与外来车辆，外来车辆实行预约登记、限时停放制度，超出1小时按标准收费，从源头管控外来车辆占用资源问题。同时重新规划停车动线，增设12个临时停车位，划定消防通道禁停区域与车位标识线，安排2名专职人员引导停车秩序，建立停车纠纷快速调解机制。二是开展绿化品质提升工程，联合专业绿化公司对小区绿植进行全面排查，移除老化枯萎乔木18株，补植四季常绿灌木、草坪共计300余平方米，制定“春剪、夏浇、秋护、冬防”四季养护计划，每月开展1次绿化巡查，每季度公示养护成果，接受业主监督。针对雨季积水问题，改造绿化排水管网，增设排水口8个，有效解决积水倒灌隐患。三是优化服务响应机制，搭建小区线上服务小程序，整合报修、咨询、投诉、缴费等功能，实现诉求线上提交、自动分派、进度追踪、结果评价全闭环管理，将维修类诉求响应时限压缩至1小时内，咨询类诉求即时响应。同时组建专属服务团队，明确维修、客服、安保等岗位岗位职责与服务标准，每月开展服务礼仪与专业技能培训，定期开展业主满意度调研，针对性整改薄弱环节。四是化解物业费收缴矛盾，通过线上线下渠道公示物业服务成本、收支明细及服务提升举措，向拒缴物业费业主逐户上门沟通，说明服务改进计划与缴费必要性，推出“按时缴费享积分兑换服务”活动，积分可抵扣物业费或兑换家政、维修等增值服务。通过系列举措，2025年小区物业投诉降至4条，业主满意度提升至88%，物业费收缴率从72%提高至95%，实现服务品质与业主认可度双向提升。</w:t>
      </w:r>
    </w:p>
    <w:p>
      <w:pPr>
        <w:spacing w:before="120" w:after="120" w:line="360" w:lineRule="auto"/>
        <w:ind w:left="0"/>
        <w:jc w:val="left"/>
        <w:rPr>
          <w:rFonts w:hint="eastAsia" w:ascii="宋体" w:hAnsi="宋体" w:eastAsia="宋体" w:cs="宋体"/>
          <w:sz w:val="28"/>
          <w:szCs w:val="28"/>
        </w:rPr>
      </w:pPr>
      <w:r>
        <w:rPr>
          <w:rFonts w:hint="eastAsia" w:ascii="宋体" w:hAnsi="宋体" w:eastAsia="宋体" w:cs="宋体"/>
          <w:sz w:val="28"/>
          <w:szCs w:val="28"/>
        </w:rPr>
        <w:t>工作启示：商品房小区服务品质提升需聚焦业主个性化、高品质需求，以“精准化服务+智能化赋能”破解治理难题。要建立常态化业主沟通机制，精准对接需求痛点，通过专业化改造与规范化管理补齐服务短板。同时，需平衡服务品质与运营可持续性，通过透明化运作赢得业主信任，化解物业费收缴矛盾，构建“服务提质—业主认可—良性循环”的物业管理格局，为商品房小区服务升级提供可复制经验。</w:t>
      </w:r>
    </w:p>
    <w:p>
      <w:pPr>
        <w:spacing w:before="120" w:after="120" w:line="360" w:lineRule="auto"/>
        <w:ind w:left="0" w:leftChars="0" w:firstLine="0" w:firstLineChars="0"/>
        <w:jc w:val="left"/>
        <w:rPr>
          <w:rFonts w:hint="eastAsia" w:ascii="宋体" w:hAnsi="宋体" w:eastAsia="宋体" w:cs="宋体"/>
          <w:sz w:val="28"/>
          <w:szCs w:val="28"/>
          <w:lang w:eastAsia="zh-CN"/>
        </w:rPr>
      </w:pPr>
      <w:r>
        <w:rPr>
          <w:rFonts w:hint="eastAsia" w:ascii="宋体" w:hAnsi="宋体" w:eastAsia="宋体" w:cs="宋体"/>
          <w:sz w:val="28"/>
          <w:szCs w:val="28"/>
          <w:lang w:eastAsia="zh-CN"/>
        </w:rPr>
        <w:drawing>
          <wp:inline distT="0" distB="0" distL="114300" distR="114300">
            <wp:extent cx="5273040" cy="2373630"/>
            <wp:effectExtent l="0" t="0" r="10160" b="13970"/>
            <wp:docPr id="11" name="图片 11" descr="永新坊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永新坊03"/>
                    <pic:cNvPicPr>
                      <a:picLocks noChangeAspect="1"/>
                    </pic:cNvPicPr>
                  </pic:nvPicPr>
                  <pic:blipFill>
                    <a:blip r:embed="rId21"/>
                    <a:stretch>
                      <a:fillRect/>
                    </a:stretch>
                  </pic:blipFill>
                  <pic:spPr>
                    <a:xfrm>
                      <a:off x="0" y="0"/>
                      <a:ext cx="5273040" cy="2373630"/>
                    </a:xfrm>
                    <a:prstGeom prst="rect">
                      <a:avLst/>
                    </a:prstGeom>
                    <a:noFill/>
                    <a:ln>
                      <a:noFill/>
                    </a:ln>
                  </pic:spPr>
                </pic:pic>
              </a:graphicData>
            </a:graphic>
          </wp:inline>
        </w:drawing>
      </w:r>
    </w:p>
    <w:p>
      <w:pPr>
        <w:spacing w:before="300" w:after="120" w:line="288" w:lineRule="auto"/>
        <w:ind w:left="0"/>
        <w:jc w:val="left"/>
        <w:outlineLvl w:val="2"/>
      </w:pPr>
      <w:r>
        <w:rPr>
          <w:rFonts w:ascii="Arial" w:hAnsi="Arial" w:eastAsia="等线" w:cs="Arial"/>
          <w:b/>
          <w:sz w:val="30"/>
        </w:rPr>
        <w:t>9.1.4 乐山新村：老旧小区物业费调价攻坚案例</w:t>
      </w:r>
    </w:p>
    <w:p>
      <w:pPr>
        <w:spacing w:before="120" w:after="120" w:line="360" w:lineRule="auto"/>
        <w:ind w:left="0"/>
        <w:jc w:val="left"/>
        <w:rPr>
          <w:rFonts w:hint="eastAsia" w:ascii="宋体" w:hAnsi="宋体" w:eastAsia="宋体" w:cs="宋体"/>
          <w:sz w:val="28"/>
          <w:szCs w:val="28"/>
        </w:rPr>
      </w:pPr>
      <w:r>
        <w:rPr>
          <w:rFonts w:hint="eastAsia" w:ascii="宋体" w:hAnsi="宋体" w:eastAsia="宋体" w:cs="宋体"/>
          <w:sz w:val="28"/>
          <w:szCs w:val="28"/>
        </w:rPr>
        <w:t>矛盾难点：乐山新村建成于1980年，物业费标准仅1.2元/㎡，低于行业平均水平，导致物业服务企业运营成本倒挂、服务质量难以保障，2024年物业收费相关投诉28条，且因部分老年业主反对，物业费调价工作推进困难。</w:t>
      </w:r>
    </w:p>
    <w:p>
      <w:pPr>
        <w:spacing w:before="120" w:after="120" w:line="360" w:lineRule="auto"/>
        <w:ind w:left="0"/>
        <w:jc w:val="left"/>
        <w:rPr>
          <w:rFonts w:hint="eastAsia" w:ascii="宋体" w:hAnsi="宋体" w:eastAsia="宋体" w:cs="宋体"/>
          <w:sz w:val="28"/>
          <w:szCs w:val="28"/>
        </w:rPr>
      </w:pPr>
      <w:r>
        <w:rPr>
          <w:rFonts w:hint="eastAsia" w:ascii="宋体" w:hAnsi="宋体" w:eastAsia="宋体" w:cs="宋体"/>
          <w:sz w:val="28"/>
          <w:szCs w:val="28"/>
        </w:rPr>
        <w:t>推进情况：一是开展成本核算公示，由街道牵头，联合业委会、物业服务企业核算近3年运营成本，详细公示人工、物料、设施维护等费用明细，明确调价必要性。二是优化调价方案，结合小区老年居民较多的实际，推出“梯度调价”政策，分2年将物业费调整至1.8元/㎡，同步承诺新增上门维修、定期保洁、老年便民3项服务。三是组建宣讲队伍，由党员、楼组长、老年业主代表组成，逐户上门解读方案及服务升级举措，倾听诉求并优化调整。四是强化服务保障，调价后严格落实服务承诺，建立每月服务质量巡查制度并公开结果，接受业主监督。2025年物业费收缴率从72%提升至90%，物业收费类投诉降至3条。</w:t>
      </w:r>
    </w:p>
    <w:p>
      <w:pPr>
        <w:spacing w:before="120" w:after="120" w:line="360" w:lineRule="auto"/>
        <w:ind w:left="0"/>
        <w:jc w:val="left"/>
        <w:rPr>
          <w:rFonts w:hint="eastAsia" w:ascii="宋体" w:hAnsi="宋体" w:eastAsia="宋体" w:cs="宋体"/>
          <w:sz w:val="28"/>
          <w:szCs w:val="28"/>
        </w:rPr>
      </w:pPr>
      <w:r>
        <w:rPr>
          <w:rFonts w:hint="eastAsia" w:ascii="宋体" w:hAnsi="宋体" w:eastAsia="宋体" w:cs="宋体"/>
          <w:sz w:val="28"/>
          <w:szCs w:val="28"/>
        </w:rPr>
        <w:t>工作启示：老旧小区物业费调价需坚持“公开透明+精准施策+服务绑定”，充分考虑居民承受能力，以服务升级换取业主理解，通过多方联动破解调价难题。</w:t>
      </w:r>
    </w:p>
    <w:p>
      <w:pPr>
        <w:spacing w:before="300" w:after="120" w:line="288" w:lineRule="auto"/>
        <w:ind w:left="0"/>
        <w:jc w:val="left"/>
        <w:outlineLvl w:val="2"/>
      </w:pPr>
      <w:r>
        <w:rPr>
          <w:rFonts w:ascii="Arial" w:hAnsi="Arial" w:eastAsia="等线" w:cs="Arial"/>
          <w:b/>
          <w:sz w:val="30"/>
        </w:rPr>
        <w:t>9.1.5 田林新苑：电梯运维规范化管理案例</w:t>
      </w:r>
    </w:p>
    <w:p>
      <w:pPr>
        <w:spacing w:before="120" w:after="120" w:line="360" w:lineRule="auto"/>
        <w:ind w:left="0"/>
        <w:jc w:val="left"/>
        <w:rPr>
          <w:rFonts w:hint="eastAsia" w:ascii="宋体" w:hAnsi="宋体" w:eastAsia="宋体" w:cs="宋体"/>
          <w:sz w:val="28"/>
          <w:szCs w:val="28"/>
        </w:rPr>
      </w:pPr>
      <w:r>
        <w:rPr>
          <w:rFonts w:hint="eastAsia" w:ascii="宋体" w:hAnsi="宋体" w:eastAsia="宋体" w:cs="宋体"/>
          <w:sz w:val="28"/>
          <w:szCs w:val="28"/>
        </w:rPr>
        <w:t>矛盾难点：田林新苑共6栋楼10部电梯，建成12年，2024年电梯故障投诉19条，主要反映维保不及时、故障处置滞后，部分业主对电梯安全产生担忧。</w:t>
      </w:r>
    </w:p>
    <w:p>
      <w:pPr>
        <w:spacing w:before="120" w:after="120" w:line="360" w:lineRule="auto"/>
        <w:ind w:left="0"/>
        <w:jc w:val="left"/>
        <w:rPr>
          <w:rFonts w:hint="eastAsia" w:ascii="宋体" w:hAnsi="宋体" w:eastAsia="宋体" w:cs="宋体"/>
          <w:sz w:val="28"/>
          <w:szCs w:val="28"/>
        </w:rPr>
      </w:pPr>
      <w:r>
        <w:rPr>
          <w:rFonts w:hint="eastAsia" w:ascii="宋体" w:hAnsi="宋体" w:eastAsia="宋体" w:cs="宋体"/>
          <w:sz w:val="28"/>
          <w:szCs w:val="28"/>
        </w:rPr>
        <w:t>推进情况：一是健全维保机制，更换一级资质电梯维保单位，签订标准化合同，明确每月2次维保、每季度1次全面检测，维保记录全程公示于电梯轿厢内。二是优化应急处置，建立“15分钟应急响应”机制，配备2名驻点维修人员，开通电梯故障专属求助热线，联动社区医院建立急救绿色通道。三是强化安全宣传，在电梯轿厢、小区公告栏张贴安全使用指南，每半年开展1次应急演练，提升居民自救能力。四是建立监督机制，由业委会牵头成立电梯运维监督小组，定期核查维保记录与检测报告，督促整改维保不到位问题。2025年电梯故障投诉降至2条，业主安全感显著提升。</w:t>
      </w:r>
    </w:p>
    <w:p>
      <w:pPr>
        <w:spacing w:before="120" w:after="120" w:line="360" w:lineRule="auto"/>
        <w:ind w:left="0"/>
        <w:jc w:val="left"/>
        <w:rPr>
          <w:rFonts w:hint="eastAsia" w:ascii="宋体" w:hAnsi="宋体" w:eastAsia="宋体" w:cs="宋体"/>
          <w:sz w:val="28"/>
          <w:szCs w:val="28"/>
        </w:rPr>
      </w:pPr>
      <w:r>
        <w:rPr>
          <w:rFonts w:hint="eastAsia" w:ascii="宋体" w:hAnsi="宋体" w:eastAsia="宋体" w:cs="宋体"/>
          <w:sz w:val="28"/>
          <w:szCs w:val="28"/>
        </w:rPr>
        <w:t>工作启示：电梯运维管理需聚焦“安全底线”，通过规范维保、优化应急、强化监督，构建全流程管控体系，同时注重安全宣传，提升居民安全意识。</w:t>
      </w:r>
    </w:p>
    <w:p>
      <w:pPr>
        <w:spacing w:before="300" w:after="120" w:line="288" w:lineRule="auto"/>
        <w:ind w:left="0"/>
        <w:jc w:val="left"/>
        <w:outlineLvl w:val="2"/>
      </w:pPr>
      <w:r>
        <w:rPr>
          <w:rFonts w:ascii="Arial" w:hAnsi="Arial" w:eastAsia="等线" w:cs="Arial"/>
          <w:b/>
          <w:sz w:val="30"/>
        </w:rPr>
        <w:t>9.1.6 枫林新苑：房屋维修资金高效使用案例</w:t>
      </w:r>
    </w:p>
    <w:p>
      <w:pPr>
        <w:spacing w:before="120" w:after="120" w:line="360" w:lineRule="auto"/>
        <w:ind w:left="0"/>
        <w:jc w:val="left"/>
        <w:rPr>
          <w:rFonts w:hint="eastAsia" w:ascii="宋体" w:hAnsi="宋体" w:eastAsia="宋体" w:cs="宋体"/>
          <w:sz w:val="28"/>
          <w:szCs w:val="28"/>
        </w:rPr>
      </w:pPr>
      <w:r>
        <w:rPr>
          <w:rFonts w:hint="eastAsia" w:ascii="宋体" w:hAnsi="宋体" w:eastAsia="宋体" w:cs="宋体"/>
          <w:sz w:val="28"/>
          <w:szCs w:val="28"/>
        </w:rPr>
        <w:t>矛盾难点：枫林新苑为建成25年的老旧小区，屋面防水老化、管道渗漏问题突出，2024年相关投诉35条。因业主签字率不足、审批流程繁琐，维修资金使用受阻，导致维修工作滞后。</w:t>
      </w:r>
    </w:p>
    <w:p>
      <w:pPr>
        <w:spacing w:before="120" w:after="120" w:line="360" w:lineRule="auto"/>
        <w:ind w:left="0"/>
        <w:jc w:val="left"/>
        <w:rPr>
          <w:rFonts w:hint="eastAsia" w:ascii="宋体" w:hAnsi="宋体" w:eastAsia="宋体" w:cs="宋体"/>
          <w:sz w:val="28"/>
          <w:szCs w:val="28"/>
        </w:rPr>
      </w:pPr>
      <w:r>
        <w:rPr>
          <w:rFonts w:hint="eastAsia" w:ascii="宋体" w:hAnsi="宋体" w:eastAsia="宋体" w:cs="宋体"/>
          <w:sz w:val="28"/>
          <w:szCs w:val="28"/>
        </w:rPr>
        <w:t>推进情况：一是简化审批流程，街道协调区房管局开通老旧小区维修资金使用绿色通道，将审批时限从30个工作日压缩至15个，为行动不便的老年业主提供上门签字服务。二是精准排查需求，由物业服务企业联合业委会逐栋排查房屋损坏情况，建立维修台账，明确范围、费用及工期，全程公示接受监督。三是规范资金使用，委托第三方审计机构全程审计，维修完成后公示费用明细与验收报告，确保专款专用。四是跟踪维修质量，建立5年保修期制度，安排专人定期回访，及时处理维修后出现的问题。2025年完成3栋楼屋面防水改造及全小区管道更换，相关投诉降至4条。</w:t>
      </w:r>
    </w:p>
    <w:p>
      <w:pPr>
        <w:spacing w:before="120" w:after="120" w:line="360" w:lineRule="auto"/>
        <w:ind w:left="0"/>
        <w:jc w:val="left"/>
        <w:rPr>
          <w:rFonts w:hint="eastAsia" w:ascii="宋体" w:hAnsi="宋体" w:eastAsia="宋体" w:cs="宋体"/>
          <w:sz w:val="28"/>
          <w:szCs w:val="28"/>
        </w:rPr>
      </w:pPr>
      <w:r>
        <w:rPr>
          <w:rFonts w:hint="eastAsia" w:ascii="宋体" w:hAnsi="宋体" w:eastAsia="宋体" w:cs="宋体"/>
          <w:sz w:val="28"/>
          <w:szCs w:val="28"/>
        </w:rPr>
        <w:t>工作启示：维修资金高效使用需坚持“流程优化+精准管控+全程监督”，通过政策赋能简化审批，以透明化运作保障资金安全，切实解决老旧小区维修难题。</w:t>
      </w:r>
    </w:p>
    <w:p>
      <w:pPr>
        <w:spacing w:before="300" w:after="120" w:line="288" w:lineRule="auto"/>
        <w:ind w:left="0"/>
        <w:jc w:val="left"/>
        <w:outlineLvl w:val="2"/>
      </w:pPr>
      <w:r>
        <w:rPr>
          <w:rFonts w:ascii="Arial" w:hAnsi="Arial" w:eastAsia="等线" w:cs="Arial"/>
          <w:b/>
          <w:sz w:val="30"/>
        </w:rPr>
        <w:t>9.1.7 漕河泾一村：出租房规范化管理案例</w:t>
      </w:r>
    </w:p>
    <w:p>
      <w:pPr>
        <w:spacing w:before="120" w:after="120" w:line="360" w:lineRule="auto"/>
        <w:ind w:left="0"/>
        <w:jc w:val="left"/>
        <w:rPr>
          <w:rFonts w:hint="eastAsia" w:ascii="宋体" w:hAnsi="宋体" w:eastAsia="宋体" w:cs="宋体"/>
          <w:sz w:val="28"/>
          <w:szCs w:val="28"/>
        </w:rPr>
      </w:pPr>
      <w:r>
        <w:rPr>
          <w:rFonts w:hint="eastAsia" w:ascii="宋体" w:hAnsi="宋体" w:eastAsia="宋体" w:cs="宋体"/>
          <w:sz w:val="28"/>
          <w:szCs w:val="28"/>
        </w:rPr>
        <w:t>矛盾难点：漕河泾一村出租率达42%，租户流动频繁，部分租户存在违规用电、堆物占道等问题，2024年相关投诉31条。因租户与业主责任界定不清，纠纷处置难度较大。</w:t>
      </w:r>
    </w:p>
    <w:p>
      <w:pPr>
        <w:spacing w:before="120" w:after="120" w:line="360" w:lineRule="auto"/>
        <w:ind w:left="0"/>
        <w:jc w:val="left"/>
        <w:rPr>
          <w:rFonts w:hint="eastAsia" w:ascii="宋体" w:hAnsi="宋体" w:eastAsia="宋体" w:cs="宋体"/>
          <w:sz w:val="28"/>
          <w:szCs w:val="28"/>
        </w:rPr>
      </w:pPr>
      <w:r>
        <w:rPr>
          <w:rFonts w:hint="eastAsia" w:ascii="宋体" w:hAnsi="宋体" w:eastAsia="宋体" w:cs="宋体"/>
          <w:sz w:val="28"/>
          <w:szCs w:val="28"/>
        </w:rPr>
        <w:t>推进情况：一是明确责任边界，街道牵头制定《出租房管理公约》，界定房东与租户双方权利义务，明确违规行为责任由双方共同承担。二是强化源头管控，物业服务企业建立出租房管理台账，备案租户身份信息与租赁期限，要求租户签订《文明居住承诺书》。三是加强日常巡查，物业服务企业实行每日巡查，重点排查违规用电、堆物占道等隐患，及时督促整改并告知房东履行监督责任。四是搭建沟通平台，建立“房东-租户-物业服务企业”三方沟通群，每季度召开出租房业主座谈会，及时协调纠纷、普及政策。2025年相关投诉降至3条，小区居住秩序显著改善。</w:t>
      </w:r>
    </w:p>
    <w:p>
      <w:pPr>
        <w:spacing w:before="120" w:after="120" w:line="360" w:lineRule="auto"/>
        <w:ind w:left="0"/>
        <w:jc w:val="left"/>
        <w:rPr>
          <w:rFonts w:hint="eastAsia" w:ascii="宋体" w:hAnsi="宋体" w:eastAsia="宋体" w:cs="宋体"/>
          <w:sz w:val="28"/>
          <w:szCs w:val="28"/>
        </w:rPr>
      </w:pPr>
      <w:r>
        <w:rPr>
          <w:rFonts w:hint="eastAsia" w:ascii="宋体" w:hAnsi="宋体" w:eastAsia="宋体" w:cs="宋体"/>
          <w:sz w:val="28"/>
          <w:szCs w:val="28"/>
        </w:rPr>
        <w:t>工作启示：出租房管理需聚焦“责任压实+源头管控”，通过明确公约界定权责，强化日常巡查与沟通协调，实现出租房规范化、精细化管理。</w:t>
      </w:r>
    </w:p>
    <w:p>
      <w:pPr>
        <w:spacing w:before="300" w:after="120" w:line="288" w:lineRule="auto"/>
        <w:ind w:left="0"/>
        <w:jc w:val="left"/>
        <w:outlineLvl w:val="2"/>
      </w:pPr>
      <w:r>
        <w:rPr>
          <w:rFonts w:ascii="Arial" w:hAnsi="Arial" w:eastAsia="等线" w:cs="Arial"/>
          <w:b/>
          <w:sz w:val="30"/>
        </w:rPr>
        <w:t>9.1.8 明丰新苑：服务态度专项整改提升案例</w:t>
      </w:r>
    </w:p>
    <w:p>
      <w:pPr>
        <w:spacing w:before="120" w:after="120" w:line="360" w:lineRule="auto"/>
        <w:ind w:left="0"/>
        <w:jc w:val="left"/>
        <w:rPr>
          <w:rFonts w:hint="eastAsia" w:ascii="宋体" w:hAnsi="宋体" w:eastAsia="宋体" w:cs="宋体"/>
          <w:sz w:val="28"/>
          <w:szCs w:val="28"/>
        </w:rPr>
      </w:pPr>
      <w:r>
        <w:rPr>
          <w:rFonts w:hint="eastAsia" w:ascii="宋体" w:hAnsi="宋体" w:eastAsia="宋体" w:cs="宋体"/>
          <w:sz w:val="28"/>
          <w:szCs w:val="28"/>
        </w:rPr>
        <w:t>矛盾难点：明丰新苑2024年服务态度类投诉占该小区总诉求的18%，主要反映物业服务人员语气生硬、响应消极、处置推诿等问题，业主满意度排名全镇第8名。</w:t>
      </w:r>
    </w:p>
    <w:p>
      <w:pPr>
        <w:spacing w:before="120" w:after="120" w:line="360" w:lineRule="auto"/>
        <w:ind w:left="0"/>
        <w:jc w:val="left"/>
        <w:rPr>
          <w:rFonts w:hint="eastAsia" w:ascii="宋体" w:hAnsi="宋体" w:eastAsia="宋体" w:cs="宋体"/>
          <w:sz w:val="28"/>
          <w:szCs w:val="28"/>
        </w:rPr>
      </w:pPr>
      <w:r>
        <w:rPr>
          <w:rFonts w:hint="eastAsia" w:ascii="宋体" w:hAnsi="宋体" w:eastAsia="宋体" w:cs="宋体"/>
          <w:sz w:val="28"/>
          <w:szCs w:val="28"/>
        </w:rPr>
        <w:t>推进情况：一是开展专项培训，组织全体物业服务人员参加服务礼仪、沟通技巧、应急处置培训，邀请专业讲师授课，考核不合格者暂停上岗。二是建立服务标准，制定《物业服务人员行为规范》，明确接待语气、态度及响应时限要求，推行“微笑服务、主动问候”机制。三是强化监督考核，将服务态度纳入绩效考核，与绩效工资直接挂钩，开通专属投诉渠道，24小时内核实处置投诉事项。四是优化服务流程，设立服务总台实行“一站式”接待，落实首接负责制，确保诉求有人管、有人跟、有反馈。2025年服务态度类投诉降至1条，业主满意度提升至全镇第4名。</w:t>
      </w:r>
    </w:p>
    <w:p>
      <w:pPr>
        <w:spacing w:before="120" w:after="120" w:line="360" w:lineRule="auto"/>
        <w:ind w:left="0"/>
        <w:jc w:val="left"/>
        <w:rPr>
          <w:rFonts w:hint="eastAsia" w:ascii="宋体" w:hAnsi="宋体" w:eastAsia="宋体" w:cs="宋体"/>
          <w:sz w:val="28"/>
          <w:szCs w:val="28"/>
        </w:rPr>
      </w:pPr>
      <w:r>
        <w:rPr>
          <w:rFonts w:hint="eastAsia" w:ascii="宋体" w:hAnsi="宋体" w:eastAsia="宋体" w:cs="宋体"/>
          <w:sz w:val="28"/>
          <w:szCs w:val="28"/>
        </w:rPr>
        <w:t>工作启示：服务态度提升需坚持“培训赋能+标准规范+考核倒逼”，以精细化管理提升服务质量，通过强化监督考核，倒逼服务人员转变工作作风，增强业主获得感。</w:t>
      </w:r>
    </w:p>
    <w:p>
      <w:pPr>
        <w:spacing w:before="300" w:after="120" w:line="288" w:lineRule="auto"/>
        <w:ind w:left="0"/>
        <w:jc w:val="left"/>
        <w:outlineLvl w:val="2"/>
      </w:pPr>
      <w:r>
        <w:rPr>
          <w:rFonts w:ascii="Arial" w:hAnsi="Arial" w:eastAsia="等线" w:cs="Arial"/>
          <w:b/>
          <w:sz w:val="30"/>
        </w:rPr>
        <w:t>9.1.9 虹梅新苑：邻里纠纷多元调解案例</w:t>
      </w:r>
    </w:p>
    <w:p>
      <w:pPr>
        <w:spacing w:before="120" w:after="120" w:line="360" w:lineRule="auto"/>
        <w:ind w:left="0"/>
        <w:jc w:val="left"/>
        <w:rPr>
          <w:rFonts w:hint="eastAsia" w:ascii="宋体" w:hAnsi="宋体" w:eastAsia="宋体" w:cs="宋体"/>
          <w:sz w:val="28"/>
          <w:szCs w:val="28"/>
        </w:rPr>
      </w:pPr>
      <w:r>
        <w:rPr>
          <w:rFonts w:hint="eastAsia" w:ascii="宋体" w:hAnsi="宋体" w:eastAsia="宋体" w:cs="宋体"/>
          <w:sz w:val="28"/>
          <w:szCs w:val="28"/>
        </w:rPr>
        <w:t>矛盾难点：虹梅新苑居住密度较高，2024年邻里纠纷类投诉22条，主要由噪音干扰、停车纠纷、堆物占道引发。部分纠纷因双方互不相让，调解难度大且存在反复反弹现象。</w:t>
      </w:r>
    </w:p>
    <w:p>
      <w:pPr>
        <w:spacing w:before="120" w:after="120" w:line="360" w:lineRule="auto"/>
        <w:ind w:left="0"/>
        <w:jc w:val="left"/>
        <w:rPr>
          <w:rFonts w:hint="eastAsia" w:ascii="宋体" w:hAnsi="宋体" w:eastAsia="宋体" w:cs="宋体"/>
          <w:sz w:val="28"/>
          <w:szCs w:val="28"/>
        </w:rPr>
      </w:pPr>
      <w:r>
        <w:rPr>
          <w:rFonts w:hint="eastAsia" w:ascii="宋体" w:hAnsi="宋体" w:eastAsia="宋体" w:cs="宋体"/>
          <w:sz w:val="28"/>
          <w:szCs w:val="28"/>
        </w:rPr>
        <w:t>推进情况：一是构建多元调解队伍，由居委会主导，吸纳党员骨干、楼栋长、退休律师、志愿者组成，按纠纷类型精准匹配调解人员，提升效率。二是优化调解流程，接到投诉后24小时内上门核实，组织双方面对面沟通，一次调解无果则邀请第三方参与二次调解，确保妥善处置。三是源头防范矛盾，常态化开展“邻里和睦”主题宣传，规范停车秩序、清理楼道堆物，从根源减少诱因。四是建立跟踪回访机制，对调解完成的纠纷每周回访，及时掌握双方动态，防止矛盾反弹。2025年邻里纠纷类投诉降至2条，调解成功率达95%。</w:t>
      </w:r>
    </w:p>
    <w:p>
      <w:pPr>
        <w:spacing w:before="120" w:after="120" w:line="360" w:lineRule="auto"/>
        <w:ind w:left="0"/>
        <w:jc w:val="left"/>
        <w:rPr>
          <w:rFonts w:hint="eastAsia" w:ascii="宋体" w:hAnsi="宋体" w:eastAsia="宋体" w:cs="宋体"/>
          <w:sz w:val="28"/>
          <w:szCs w:val="28"/>
        </w:rPr>
      </w:pPr>
      <w:r>
        <w:rPr>
          <w:rFonts w:hint="eastAsia" w:ascii="宋体" w:hAnsi="宋体" w:eastAsia="宋体" w:cs="宋体"/>
          <w:sz w:val="28"/>
          <w:szCs w:val="28"/>
        </w:rPr>
        <w:t>工作启示：邻里纠纷化解需坚持“多元联动+源头防范+跟踪回访”，充分发挥基层力量作用，注重沟通协调技巧，同时强化宣传引导，营造邻里和睦的良好氛围。</w:t>
      </w:r>
    </w:p>
    <w:sectPr>
      <w:headerReference r:id="rId5" w:type="default"/>
      <w:footerReference r:id="rId6" w:type="default"/>
      <w:pgSz w:w="11905" w:h="1684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20"/>
      </w:pPr>
      <w:r>
        <w:separator/>
      </w:r>
    </w:p>
  </w:endnote>
  <w:endnote w:type="continuationSeparator" w:id="1">
    <w:p>
      <w:pPr>
        <w:spacing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ongti SC">
    <w:panose1 w:val="02010800040101010101"/>
    <w:charset w:val="86"/>
    <w:family w:val="auto"/>
    <w:pitch w:val="default"/>
    <w:sig w:usb0="00000001" w:usb1="080F0000" w:usb2="00000000" w:usb3="00000000" w:csb0="00040000" w:csb1="00000000"/>
  </w:font>
  <w:font w:name="Arial">
    <w:panose1 w:val="020B0704020202020204"/>
    <w:charset w:val="00"/>
    <w:family w:val="auto"/>
    <w:pitch w:val="default"/>
    <w:sig w:usb0="E0002AFF" w:usb1="C0007843" w:usb2="00000009" w:usb3="00000000" w:csb0="400001FF" w:csb1="FFFF0000"/>
  </w:font>
  <w:font w:name="等线">
    <w:altName w:val="汉仪中等线KW"/>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等线KW">
    <w:panose1 w:val="01010104010101010101"/>
    <w:charset w:val="86"/>
    <w:family w:val="auto"/>
    <w:pitch w:val="default"/>
    <w:sig w:usb0="800002BF" w:usb1="004F7CFA" w:usb2="00000000" w:usb3="00000000" w:csb0="00040001" w:csb1="00000000"/>
  </w:font>
  <w:font w:name="Helvetica Neue">
    <w:panose1 w:val="02000503000000020004"/>
    <w:charset w:val="00"/>
    <w:family w:val="auto"/>
    <w:pitch w:val="default"/>
    <w:sig w:usb0="E50002FF" w:usb1="500079DB" w:usb2="00000010" w:usb3="00000000" w:csb0="00000000" w:csb1="00000000"/>
  </w:font>
  <w:font w:name="PingFang SC">
    <w:altName w:val="苹方-简"/>
    <w:panose1 w:val="00000000000000000000"/>
    <w:charset w:val="00"/>
    <w:family w:val="auto"/>
    <w:pitch w:val="default"/>
    <w:sig w:usb0="00000000" w:usb1="00000000" w:usb2="00000000" w:usb3="00000000" w:csb0="00000000" w:csb1="00000000"/>
  </w:font>
  <w:font w:name="Tahoma">
    <w:panose1 w:val="020B0804030504040204"/>
    <w:charset w:val="00"/>
    <w:family w:val="auto"/>
    <w:pitch w:val="default"/>
    <w:sig w:usb0="E1002AFF" w:usb1="C000605B" w:usb2="00000029" w:usb3="00000000" w:csb0="200101FF" w:csb1="20280000"/>
  </w:font>
  <w:font w:name="苹方-简">
    <w:altName w:val="Times New Roman"/>
    <w:panose1 w:val="020B0600000000000000"/>
    <w:charset w:val="00"/>
    <w:family w:val="auto"/>
    <w:pitch w:val="default"/>
    <w:sig w:usb0="A00002FF" w:usb1="7ACFFDFB" w:usb2="00000017" w:usb3="00000000" w:csb0="00040001" w:csb1="0000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20"/>
      </w:pPr>
      <w:r>
        <w:separator/>
      </w:r>
    </w:p>
  </w:footnote>
  <w:footnote w:type="continuationSeparator" w:id="1">
    <w:p>
      <w:pPr>
        <w:spacing w:line="360" w:lineRule="auto"/>
        <w:ind w:firstLine="42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0"/>
  <w:bordersDoNotSurroundHeader w:val="0"/>
  <w:bordersDoNotSurroundFooter w:val="0"/>
  <w:documentProtection w:enforcement="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useFELayout/>
    <w:doNotUseIndentAsNumberingTabStop/>
    <w:splitPgBreakAndParaMark/>
    <w:compatSetting w:name="compatibilityMode" w:uri="http://schemas.microsoft.com/office/word" w:val="12"/>
  </w:compat>
  <w:rsids>
    <w:rsidRoot w:val="00000000"/>
    <w:rsid w:val="7FB5332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1044" w:firstLineChars="200"/>
      <w:jc w:val="both"/>
    </w:pPr>
    <w:rPr>
      <w:sz w:val="21"/>
      <w:szCs w:val="22"/>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image" Target="media/image14.jpeg"/><Relationship Id="rId20" Type="http://schemas.openxmlformats.org/officeDocument/2006/relationships/image" Target="media/image13.jpeg"/><Relationship Id="rId2" Type="http://schemas.openxmlformats.org/officeDocument/2006/relationships/settings" Target="settings.xml"/><Relationship Id="rId19" Type="http://schemas.openxmlformats.org/officeDocument/2006/relationships/image" Target="media/image12.jpeg"/><Relationship Id="rId18" Type="http://schemas.openxmlformats.org/officeDocument/2006/relationships/image" Target="media/image11.jpeg"/><Relationship Id="rId17" Type="http://schemas.openxmlformats.org/officeDocument/2006/relationships/image" Target="media/image10.jpeg"/><Relationship Id="rId16" Type="http://schemas.openxmlformats.org/officeDocument/2006/relationships/image" Target="media/image9.jpe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otalTime>1</TotalTime>
  <ScaleCrop>false</ScaleCrop>
  <LinksUpToDate>false</LinksUpToDate>
  <Application>WPS Office_6.2.0.8299_F1E327BC-269C-435d-A152-05C5408002CA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2026-04-08T15:03:00Z</dcterms:created>
  <dc:creator>Apache POI</dc:creator>
  <cp:lastModifiedBy>江沂</cp:lastModifiedBy>
  <dcterms:modified xsi:type="dcterms:W3CDTF">2026-04-08T15:58:01Z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2052-6.2.0.8299</vt:lpwstr>
  </property>
  <property fmtid="{D5CDD505-2E9C-101B-9397-08002B2CF9AE}" pid="3" name="ICV">
    <vt:lpwstr>786AE4AB4229A389890AD669C8868BBB_42</vt:lpwstr>
  </property>
</Properties>
</file>