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0" w:after="200"/>
        <w:jc w:val="center"/>
      </w:pPr>
      <w:r>
        <w:rPr>
          <w:rFonts w:ascii="Arial" w:hAnsi="Arial" w:eastAsia="PingFang SC"/>
          <w:b/>
          <w:bCs/>
          <w:color w:val="1A5276"/>
          <w:sz w:val="40"/>
          <w:szCs w:val="40"/>
        </w:rPr>
        <w:t>2026年徐汇区防汛防台工单分析报告</w:t>
      </w:r>
    </w:p>
    <w:p>
      <w:pPr>
        <w:spacing w:after="200"/>
        <w:jc w:val="center"/>
      </w:pPr>
      <w:r>
        <w:rPr>
          <w:rFonts w:ascii="Arial" w:hAnsi="Arial" w:eastAsia="PingFang SC"/>
          <w:b w:val="0"/>
          <w:bCs w:val="0"/>
          <w:color w:val="6B7C8C"/>
          <w:sz w:val="20"/>
          <w:szCs w:val="20"/>
        </w:rPr>
        <w:t>（数据周期：2026年7月10日—7月24日）</w:t>
      </w:r>
    </w:p>
    <w:p>
      <w:pPr>
        <w:pBdr>
          <w:bottom w:val="single" w:color="1A5276" w:sz="2" w:space="0"/>
        </w:pBdr>
        <w:spacing w:after="400"/>
        <w:jc w:val="center"/>
      </w:pPr>
    </w:p>
    <w:p>
      <w:pPr>
        <w:pStyle w:val="2"/>
        <w:keepNext w:val="0"/>
        <w:keepLines w:val="0"/>
        <w:spacing w:before="360" w:after="160"/>
        <w:outlineLvl w:val="0"/>
      </w:pPr>
      <w:r>
        <w:rPr>
          <w:rFonts w:ascii="Arial" w:hAnsi="Arial" w:eastAsia="PingFang SC"/>
          <w:b/>
          <w:bCs/>
          <w:color w:val="1A5276"/>
          <w:sz w:val="32"/>
          <w:szCs w:val="32"/>
        </w:rPr>
        <w:t>一、工单总体情况</w:t>
      </w:r>
    </w:p>
    <w:p>
      <w:pPr>
        <w:spacing w:before="0" w:after="100" w:line="360" w:lineRule="auto"/>
        <w:ind w:firstLine="480"/>
        <w:jc w:val="both"/>
      </w:pPr>
      <w:r>
        <w:rPr>
          <w:rFonts w:ascii="Arial" w:hAnsi="Arial" w:eastAsia="PingFang SC"/>
          <w:b w:val="0"/>
          <w:bCs w:val="0"/>
          <w:color w:val="1A1A1A"/>
          <w:sz w:val="24"/>
          <w:szCs w:val="24"/>
        </w:rPr>
        <w:t>根据区城运中心相关数据，2026年汛期（7月10日至7月24日），徐汇区共受理防汛防台相关工单188件，其中涉及本报告15个主责部门（漕河泾街道、枫林街道、湖南街道、华泾镇、康健街道、凌云街道、龙华街道、天平街道、田林街道、斜土街道、徐房集团、徐汇城投集团、徐汇区房管局（分中心）、徐家汇街道、长桥街道）的工单共137件，占比72.9%。经逐一梳理分析，已结案69件（50.4%），待催办/待下发核查63件（46.0%），退回市级5件（3.6%）。</w:t>
      </w:r>
    </w:p>
    <w:p>
      <w:pPr>
        <w:spacing w:before="0" w:after="100" w:line="360" w:lineRule="auto"/>
        <w:ind w:firstLine="480"/>
        <w:jc w:val="both"/>
      </w:pPr>
      <w:r>
        <w:rPr>
          <w:rFonts w:ascii="Arial" w:hAnsi="Arial" w:eastAsia="PingFang SC"/>
          <w:b w:val="0"/>
          <w:bCs w:val="0"/>
          <w:color w:val="1A1A1A"/>
          <w:sz w:val="24"/>
          <w:szCs w:val="24"/>
        </w:rPr>
        <w:t>从工单来源看，主要来源于两个时段：暴雨防汛周报44工单74件（54.0%），7月10日至13日台风相关诉求63件（46.0%）。从诉求类型看，房屋渗水破损41件（29.9%）和地面地下积水30件（21.9%）合计占比超过五成，是防汛防台期间群众最为关切的两大问题；公共设施应急保障22件（16.1%），树木侵扰倒伏22件（16.1%），其他诉求20件（14.6%），电力设施问题2件（1.5%）。</w:t>
      </w:r>
    </w:p>
    <w:p>
      <w:pPr>
        <w:spacing w:before="0" w:after="100" w:line="360" w:lineRule="auto"/>
        <w:ind w:firstLine="480"/>
        <w:jc w:val="both"/>
      </w:pPr>
      <w:r>
        <w:rPr>
          <w:rFonts w:ascii="Arial" w:hAnsi="Arial" w:eastAsia="PingFang SC"/>
          <w:b w:val="0"/>
          <w:bCs w:val="0"/>
          <w:color w:val="1A1A1A"/>
          <w:sz w:val="24"/>
          <w:szCs w:val="24"/>
        </w:rPr>
        <w:t>表1：工单来源及状态分布</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46"/>
        <w:gridCol w:w="2546"/>
        <w:gridCol w:w="2121"/>
        <w:gridCol w:w="1973"/>
      </w:tblGrid>
      <w:tr>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数据来源</w:t>
            </w:r>
          </w:p>
        </w:tc>
        <w:tc>
          <w:tcPr>
            <w:tcW w:w="24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时间范围</w:t>
            </w:r>
          </w:p>
        </w:tc>
        <w:tc>
          <w:tcPr>
            <w:tcW w:w="2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工单数量（件）</w:t>
            </w:r>
          </w:p>
        </w:tc>
        <w:tc>
          <w:tcPr>
            <w:tcW w:w="186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占比</w:t>
            </w:r>
          </w:p>
        </w:tc>
      </w:tr>
      <w:tr>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暴雨防汛周报44</w:t>
            </w:r>
          </w:p>
        </w:tc>
        <w:tc>
          <w:tcPr>
            <w:tcW w:w="2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7月18日—7月19日</w:t>
            </w:r>
          </w:p>
        </w:tc>
        <w:tc>
          <w:tcPr>
            <w:tcW w:w="2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74</w:t>
            </w:r>
          </w:p>
        </w:tc>
        <w:tc>
          <w:tcPr>
            <w:tcW w:w="18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54.0%</w:t>
            </w:r>
          </w:p>
        </w:tc>
      </w:tr>
      <w:tr>
        <w:trPr>
          <w:cantSplit/>
        </w:trPr>
        <w:tc>
          <w:tcPr>
            <w:tcW w:w="24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台风相关诉求</w:t>
            </w:r>
          </w:p>
        </w:tc>
        <w:tc>
          <w:tcPr>
            <w:tcW w:w="24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7月10日—7月13日</w:t>
            </w:r>
          </w:p>
        </w:tc>
        <w:tc>
          <w:tcPr>
            <w:tcW w:w="2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63</w:t>
            </w:r>
          </w:p>
        </w:tc>
        <w:tc>
          <w:tcPr>
            <w:tcW w:w="18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46.0%</w:t>
            </w:r>
          </w:p>
        </w:tc>
      </w:tr>
      <w:tr>
        <w:trPr>
          <w:cantSplit/>
        </w:trPr>
        <w:tc>
          <w:tcPr>
            <w:tcW w:w="2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合计</w:t>
            </w:r>
          </w:p>
        </w:tc>
        <w:tc>
          <w:tcPr>
            <w:tcW w:w="2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w:t>
            </w:r>
          </w:p>
        </w:tc>
        <w:tc>
          <w:tcPr>
            <w:tcW w:w="2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137</w:t>
            </w:r>
          </w:p>
        </w:tc>
        <w:tc>
          <w:tcPr>
            <w:tcW w:w="18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100%</w:t>
            </w:r>
          </w:p>
        </w:tc>
      </w:tr>
    </w:tbl>
    <w:p>
      <w:pPr>
        <w:spacing w:before="160" w:after="40"/>
        <w:jc w:val="center"/>
      </w:pPr>
      <w:r>
        <w:drawing>
          <wp:inline distT="0" distB="0" distL="0" distR="0">
            <wp:extent cx="5334000" cy="3952875"/>
            <wp:effectExtent l="0" t="0" r="0" b="0"/>
            <wp:docPr id="1" name="chart" descr="数据图表" title="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 descr="数据图表" title="图表"/>
                    <pic:cNvPicPr>
                      <a:picLocks noChangeAspect="1" noChangeArrowheads="1"/>
                    </pic:cNvPicPr>
                  </pic:nvPicPr>
                  <pic:blipFill>
                    <a:blip r:embed="rId7"/>
                    <a:srcRect/>
                    <a:stretch>
                      <a:fillRect/>
                    </a:stretch>
                  </pic:blipFill>
                  <pic:spPr>
                    <a:xfrm>
                      <a:off x="0" y="0"/>
                      <a:ext cx="5334000" cy="3952875"/>
                    </a:xfrm>
                    <a:prstGeom prst="rect">
                      <a:avLst/>
                    </a:prstGeom>
                  </pic:spPr>
                </pic:pic>
              </a:graphicData>
            </a:graphic>
          </wp:inline>
        </w:drawing>
      </w:r>
    </w:p>
    <w:p>
      <w:pPr>
        <w:spacing w:after="160"/>
        <w:jc w:val="center"/>
      </w:pPr>
      <w:r>
        <w:rPr>
          <w:rFonts w:ascii="Arial" w:hAnsi="Arial" w:eastAsia="PingFang SC"/>
          <w:b w:val="0"/>
          <w:bCs w:val="0"/>
          <w:color w:val="6B7C8C"/>
          <w:sz w:val="18"/>
          <w:szCs w:val="18"/>
        </w:rPr>
        <w:t>图1：工单来源分布</w:t>
      </w:r>
    </w:p>
    <w:p>
      <w:pPr>
        <w:spacing w:before="0" w:after="100" w:line="360" w:lineRule="auto"/>
        <w:ind w:firstLine="480"/>
        <w:jc w:val="both"/>
      </w:pPr>
      <w:r>
        <w:rPr>
          <w:rFonts w:ascii="Arial" w:hAnsi="Arial" w:eastAsia="PingFang SC"/>
          <w:b w:val="0"/>
          <w:bCs w:val="0"/>
          <w:color w:val="1A1A1A"/>
          <w:sz w:val="24"/>
          <w:szCs w:val="24"/>
        </w:rPr>
        <w:t>表2：诉求类型分布及未解决情况</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6"/>
        <w:gridCol w:w="2321"/>
        <w:gridCol w:w="1688"/>
        <w:gridCol w:w="1274"/>
        <w:gridCol w:w="1477"/>
        <w:gridCol w:w="1540"/>
      </w:tblGrid>
      <w:tr>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序号</w:t>
            </w:r>
          </w:p>
        </w:tc>
        <w:tc>
          <w:tcPr>
            <w:tcW w:w="22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诉求类型</w:t>
            </w:r>
          </w:p>
        </w:tc>
        <w:tc>
          <w:tcPr>
            <w:tcW w:w="16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工单数量（件）</w:t>
            </w:r>
          </w:p>
        </w:tc>
        <w:tc>
          <w:tcPr>
            <w:tcW w:w="12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占比</w:t>
            </w:r>
          </w:p>
        </w:tc>
        <w:tc>
          <w:tcPr>
            <w:tcW w:w="14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未解决（件）</w:t>
            </w:r>
          </w:p>
        </w:tc>
        <w:tc>
          <w:tcPr>
            <w:tcW w:w="146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未解决率</w:t>
            </w:r>
          </w:p>
        </w:tc>
      </w:tr>
      <w:tr>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w:t>
            </w:r>
          </w:p>
        </w:tc>
        <w:tc>
          <w:tcPr>
            <w:tcW w:w="2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房屋渗水破损</w:t>
            </w:r>
          </w:p>
        </w:tc>
        <w:tc>
          <w:tcPr>
            <w:tcW w:w="16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41</w:t>
            </w:r>
          </w:p>
        </w:tc>
        <w:tc>
          <w:tcPr>
            <w:tcW w:w="1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29.9%</w:t>
            </w:r>
          </w:p>
        </w:tc>
        <w:tc>
          <w:tcPr>
            <w:tcW w:w="1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28</w:t>
            </w:r>
          </w:p>
        </w:tc>
        <w:tc>
          <w:tcPr>
            <w:tcW w:w="14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68.3%</w:t>
            </w:r>
          </w:p>
        </w:tc>
      </w:tr>
      <w:tr>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w:t>
            </w:r>
          </w:p>
        </w:tc>
        <w:tc>
          <w:tcPr>
            <w:tcW w:w="22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地面地下积水</w:t>
            </w:r>
          </w:p>
        </w:tc>
        <w:tc>
          <w:tcPr>
            <w:tcW w:w="16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30</w:t>
            </w:r>
          </w:p>
        </w:tc>
        <w:tc>
          <w:tcPr>
            <w:tcW w:w="12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21.9%</w:t>
            </w:r>
          </w:p>
        </w:tc>
        <w:tc>
          <w:tcPr>
            <w:tcW w:w="14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c>
          <w:tcPr>
            <w:tcW w:w="14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26.7%</w:t>
            </w:r>
          </w:p>
        </w:tc>
      </w:tr>
      <w:tr>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w:t>
            </w:r>
          </w:p>
        </w:tc>
        <w:tc>
          <w:tcPr>
            <w:tcW w:w="2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公共设施应急保障</w:t>
            </w:r>
          </w:p>
        </w:tc>
        <w:tc>
          <w:tcPr>
            <w:tcW w:w="16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22</w:t>
            </w:r>
          </w:p>
        </w:tc>
        <w:tc>
          <w:tcPr>
            <w:tcW w:w="1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16.1%</w:t>
            </w:r>
          </w:p>
        </w:tc>
        <w:tc>
          <w:tcPr>
            <w:tcW w:w="1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c>
          <w:tcPr>
            <w:tcW w:w="14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36.4%</w:t>
            </w:r>
          </w:p>
        </w:tc>
      </w:tr>
      <w:tr>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22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树木侵扰倒伏</w:t>
            </w:r>
          </w:p>
        </w:tc>
        <w:tc>
          <w:tcPr>
            <w:tcW w:w="16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22</w:t>
            </w:r>
          </w:p>
        </w:tc>
        <w:tc>
          <w:tcPr>
            <w:tcW w:w="12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16.1%</w:t>
            </w:r>
          </w:p>
        </w:tc>
        <w:tc>
          <w:tcPr>
            <w:tcW w:w="14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9</w:t>
            </w:r>
          </w:p>
        </w:tc>
        <w:tc>
          <w:tcPr>
            <w:tcW w:w="14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40.9%</w:t>
            </w:r>
          </w:p>
        </w:tc>
      </w:tr>
      <w:tr>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w:t>
            </w:r>
          </w:p>
        </w:tc>
        <w:tc>
          <w:tcPr>
            <w:tcW w:w="2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其他诉求</w:t>
            </w:r>
          </w:p>
        </w:tc>
        <w:tc>
          <w:tcPr>
            <w:tcW w:w="16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20</w:t>
            </w:r>
          </w:p>
        </w:tc>
        <w:tc>
          <w:tcPr>
            <w:tcW w:w="1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14.6%</w:t>
            </w:r>
          </w:p>
        </w:tc>
        <w:tc>
          <w:tcPr>
            <w:tcW w:w="1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13</w:t>
            </w:r>
          </w:p>
        </w:tc>
        <w:tc>
          <w:tcPr>
            <w:tcW w:w="14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65.0%</w:t>
            </w:r>
          </w:p>
        </w:tc>
      </w:tr>
      <w:tr>
        <w:trPr>
          <w:cantSplit/>
        </w:trPr>
        <w:tc>
          <w:tcPr>
            <w:tcW w:w="8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w:t>
            </w:r>
          </w:p>
        </w:tc>
        <w:tc>
          <w:tcPr>
            <w:tcW w:w="22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电力设施问题</w:t>
            </w:r>
          </w:p>
        </w:tc>
        <w:tc>
          <w:tcPr>
            <w:tcW w:w="16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w:t>
            </w:r>
          </w:p>
        </w:tc>
        <w:tc>
          <w:tcPr>
            <w:tcW w:w="12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1.5%</w:t>
            </w:r>
          </w:p>
        </w:tc>
        <w:tc>
          <w:tcPr>
            <w:tcW w:w="14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w:t>
            </w:r>
          </w:p>
        </w:tc>
        <w:tc>
          <w:tcPr>
            <w:tcW w:w="14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100%</w:t>
            </w:r>
          </w:p>
        </w:tc>
      </w:tr>
      <w:tr>
        <w:trPr>
          <w:cantSplit/>
        </w:trPr>
        <w:tc>
          <w:tcPr>
            <w:tcW w:w="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合计</w:t>
            </w:r>
          </w:p>
        </w:tc>
        <w:tc>
          <w:tcPr>
            <w:tcW w:w="2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w:t>
            </w:r>
          </w:p>
        </w:tc>
        <w:tc>
          <w:tcPr>
            <w:tcW w:w="16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137</w:t>
            </w:r>
          </w:p>
        </w:tc>
        <w:tc>
          <w:tcPr>
            <w:tcW w:w="12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100%</w:t>
            </w:r>
          </w:p>
        </w:tc>
        <w:tc>
          <w:tcPr>
            <w:tcW w:w="14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68</w:t>
            </w:r>
          </w:p>
        </w:tc>
        <w:tc>
          <w:tcPr>
            <w:tcW w:w="14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49.6%</w:t>
            </w:r>
          </w:p>
        </w:tc>
      </w:tr>
    </w:tbl>
    <w:p>
      <w:pPr>
        <w:spacing w:before="160" w:after="40"/>
        <w:jc w:val="center"/>
      </w:pPr>
      <w:r>
        <w:drawing>
          <wp:inline distT="0" distB="0" distL="0" distR="0">
            <wp:extent cx="5334000" cy="4505325"/>
            <wp:effectExtent l="0" t="0" r="0" b="0"/>
            <wp:docPr id="2" name="chart" descr="数据图表" title="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 descr="数据图表" title="图表"/>
                    <pic:cNvPicPr>
                      <a:picLocks noChangeAspect="1" noChangeArrowheads="1"/>
                    </pic:cNvPicPr>
                  </pic:nvPicPr>
                  <pic:blipFill>
                    <a:blip r:embed="rId8"/>
                    <a:srcRect/>
                    <a:stretch>
                      <a:fillRect/>
                    </a:stretch>
                  </pic:blipFill>
                  <pic:spPr>
                    <a:xfrm>
                      <a:off x="0" y="0"/>
                      <a:ext cx="5334000" cy="4505325"/>
                    </a:xfrm>
                    <a:prstGeom prst="rect">
                      <a:avLst/>
                    </a:prstGeom>
                  </pic:spPr>
                </pic:pic>
              </a:graphicData>
            </a:graphic>
          </wp:inline>
        </w:drawing>
      </w:r>
    </w:p>
    <w:p>
      <w:pPr>
        <w:spacing w:after="160"/>
        <w:jc w:val="center"/>
      </w:pPr>
      <w:r>
        <w:rPr>
          <w:rFonts w:ascii="Arial" w:hAnsi="Arial" w:eastAsia="PingFang SC"/>
          <w:b w:val="0"/>
          <w:bCs w:val="0"/>
          <w:color w:val="6B7C8C"/>
          <w:sz w:val="18"/>
          <w:szCs w:val="18"/>
        </w:rPr>
        <w:t>图2：诉求类型分布</w:t>
      </w:r>
    </w:p>
    <w:p>
      <w:pPr>
        <w:spacing w:before="0" w:after="100" w:line="360" w:lineRule="auto"/>
        <w:ind w:firstLine="480"/>
        <w:jc w:val="both"/>
      </w:pPr>
      <w:r>
        <w:rPr>
          <w:rFonts w:ascii="Arial" w:hAnsi="Arial" w:eastAsia="PingFang SC"/>
          <w:b/>
          <w:bCs/>
          <w:color w:val="1A1A1A"/>
          <w:sz w:val="24"/>
          <w:szCs w:val="24"/>
        </w:rPr>
        <w:t>需重点关注的是，</w:t>
      </w:r>
      <w:r>
        <w:rPr>
          <w:rFonts w:ascii="Arial" w:hAnsi="Arial" w:eastAsia="PingFang SC"/>
          <w:b w:val="0"/>
          <w:bCs w:val="0"/>
          <w:color w:val="1A1A1A"/>
          <w:sz w:val="24"/>
          <w:szCs w:val="24"/>
        </w:rPr>
        <w:t>房屋渗水破损类工单未解决率高达68.3%，是所有类型中解决难度最大的。该类问题多涉及老旧小区房屋本体老化、维修资金筹措机制不畅、物业报修响应不及时等深层次原因。电力设施问题类工单2件均未解决，涉及加装电梯雨天故障和厨房进水漏电风险。其他诉求类工单未解决率达65.0%，主要因该类工单多为物业不作为投诉、值班不到位等服务管理问题，需通过加强物业监管予以解决。</w:t>
      </w:r>
    </w:p>
    <w:p>
      <w:pPr>
        <w:pStyle w:val="2"/>
        <w:keepNext w:val="0"/>
        <w:keepLines w:val="0"/>
        <w:spacing w:before="360" w:after="160"/>
        <w:outlineLvl w:val="0"/>
      </w:pPr>
      <w:r>
        <w:rPr>
          <w:rFonts w:ascii="Arial" w:hAnsi="Arial" w:eastAsia="PingFang SC"/>
          <w:b/>
          <w:bCs/>
          <w:color w:val="1A5276"/>
          <w:sz w:val="32"/>
          <w:szCs w:val="32"/>
        </w:rPr>
        <w:t>二、各街镇工单情况</w:t>
      </w:r>
    </w:p>
    <w:p>
      <w:pPr>
        <w:spacing w:before="0" w:after="100" w:line="360" w:lineRule="auto"/>
        <w:ind w:firstLine="480"/>
        <w:jc w:val="both"/>
      </w:pPr>
      <w:r>
        <w:rPr>
          <w:rFonts w:ascii="Arial" w:hAnsi="Arial" w:eastAsia="PingFang SC"/>
          <w:b w:val="0"/>
          <w:bCs w:val="0"/>
          <w:color w:val="1A1A1A"/>
          <w:sz w:val="24"/>
          <w:szCs w:val="24"/>
        </w:rPr>
        <w:t>15个主责部门中，12个街道和1个镇（华泾镇）共受理工单97件，占总量70.8%。各街镇工单数量、结案情况如表3所示。</w:t>
      </w:r>
    </w:p>
    <w:p>
      <w:pPr>
        <w:spacing w:before="0" w:after="100" w:line="360" w:lineRule="auto"/>
        <w:ind w:firstLine="480"/>
        <w:jc w:val="both"/>
      </w:pPr>
      <w:r>
        <w:rPr>
          <w:rFonts w:ascii="Arial" w:hAnsi="Arial" w:eastAsia="PingFang SC"/>
          <w:b w:val="0"/>
          <w:bCs w:val="0"/>
          <w:color w:val="1A1A1A"/>
          <w:sz w:val="24"/>
          <w:szCs w:val="24"/>
        </w:rPr>
        <w:t>表3：各街镇工单情况统计</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3"/>
        <w:gridCol w:w="1468"/>
        <w:gridCol w:w="993"/>
        <w:gridCol w:w="897"/>
        <w:gridCol w:w="897"/>
        <w:gridCol w:w="1208"/>
        <w:gridCol w:w="2860"/>
      </w:tblGrid>
      <w:tr>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排名</w:t>
            </w:r>
          </w:p>
        </w:tc>
        <w:tc>
          <w:tcPr>
            <w:tcW w:w="15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主责部门</w:t>
            </w:r>
          </w:p>
        </w:tc>
        <w:tc>
          <w:tcPr>
            <w:tcW w:w="1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工单总量</w:t>
            </w:r>
          </w:p>
        </w:tc>
        <w:tc>
          <w:tcPr>
            <w:tcW w:w="9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已结案</w:t>
            </w:r>
          </w:p>
        </w:tc>
        <w:tc>
          <w:tcPr>
            <w:tcW w:w="9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未结案</w:t>
            </w:r>
          </w:p>
        </w:tc>
        <w:tc>
          <w:tcPr>
            <w:tcW w:w="9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结案率</w:t>
            </w:r>
          </w:p>
        </w:tc>
        <w:tc>
          <w:tcPr>
            <w:tcW w:w="296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主要诉求类型</w:t>
            </w:r>
          </w:p>
        </w:tc>
      </w:tr>
      <w:tr>
        <w:trPr>
          <w:cantSplit/>
        </w:trPr>
        <w:tc>
          <w:tcPr>
            <w:tcW w:w="7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w:t>
            </w:r>
          </w:p>
        </w:tc>
        <w:tc>
          <w:tcPr>
            <w:tcW w:w="15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湖南街道</w:t>
            </w:r>
          </w:p>
        </w:tc>
        <w:tc>
          <w:tcPr>
            <w:tcW w:w="1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14</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57.1%</w:t>
            </w:r>
          </w:p>
        </w:tc>
        <w:tc>
          <w:tcPr>
            <w:tcW w:w="29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渗水(5)、积水(4)、树木(4)</w:t>
            </w:r>
          </w:p>
        </w:tc>
      </w:tr>
      <w:tr>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w:t>
            </w:r>
          </w:p>
        </w:tc>
        <w:tc>
          <w:tcPr>
            <w:tcW w:w="15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长桥街道</w:t>
            </w:r>
          </w:p>
        </w:tc>
        <w:tc>
          <w:tcPr>
            <w:tcW w:w="1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12</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50.0%</w:t>
            </w:r>
          </w:p>
        </w:tc>
        <w:tc>
          <w:tcPr>
            <w:tcW w:w="29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公共设施(7)、渗水(2)</w:t>
            </w:r>
          </w:p>
        </w:tc>
      </w:tr>
      <w:tr>
        <w:trPr>
          <w:cantSplit/>
        </w:trPr>
        <w:tc>
          <w:tcPr>
            <w:tcW w:w="7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w:t>
            </w:r>
          </w:p>
        </w:tc>
        <w:tc>
          <w:tcPr>
            <w:tcW w:w="15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枫林街道</w:t>
            </w:r>
          </w:p>
        </w:tc>
        <w:tc>
          <w:tcPr>
            <w:tcW w:w="1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11</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63.6%</w:t>
            </w:r>
          </w:p>
        </w:tc>
        <w:tc>
          <w:tcPr>
            <w:tcW w:w="29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积水(4)、其他(3)</w:t>
            </w:r>
          </w:p>
        </w:tc>
      </w:tr>
      <w:tr>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15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康健街道</w:t>
            </w:r>
          </w:p>
        </w:tc>
        <w:tc>
          <w:tcPr>
            <w:tcW w:w="1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40.0%</w:t>
            </w:r>
          </w:p>
        </w:tc>
        <w:tc>
          <w:tcPr>
            <w:tcW w:w="29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公共设施(5)、树木(3)</w:t>
            </w:r>
          </w:p>
        </w:tc>
      </w:tr>
      <w:tr>
        <w:trPr>
          <w:cantSplit/>
        </w:trPr>
        <w:tc>
          <w:tcPr>
            <w:tcW w:w="7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w:t>
            </w:r>
          </w:p>
        </w:tc>
        <w:tc>
          <w:tcPr>
            <w:tcW w:w="15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斜土街道</w:t>
            </w:r>
          </w:p>
        </w:tc>
        <w:tc>
          <w:tcPr>
            <w:tcW w:w="1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30.0%</w:t>
            </w:r>
          </w:p>
        </w:tc>
        <w:tc>
          <w:tcPr>
            <w:tcW w:w="29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渗水(5)、积水(4)</w:t>
            </w:r>
          </w:p>
        </w:tc>
      </w:tr>
      <w:tr>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w:t>
            </w:r>
          </w:p>
        </w:tc>
        <w:tc>
          <w:tcPr>
            <w:tcW w:w="15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漕河泾街道</w:t>
            </w:r>
          </w:p>
        </w:tc>
        <w:tc>
          <w:tcPr>
            <w:tcW w:w="1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9</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55.6%</w:t>
            </w:r>
          </w:p>
        </w:tc>
        <w:tc>
          <w:tcPr>
            <w:tcW w:w="29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渗水(3)、公共设施(2)</w:t>
            </w:r>
          </w:p>
        </w:tc>
      </w:tr>
      <w:tr>
        <w:trPr>
          <w:cantSplit/>
        </w:trPr>
        <w:tc>
          <w:tcPr>
            <w:tcW w:w="7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w:t>
            </w:r>
          </w:p>
        </w:tc>
        <w:tc>
          <w:tcPr>
            <w:tcW w:w="15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龙华街道</w:t>
            </w:r>
          </w:p>
        </w:tc>
        <w:tc>
          <w:tcPr>
            <w:tcW w:w="1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50.0%</w:t>
            </w:r>
          </w:p>
        </w:tc>
        <w:tc>
          <w:tcPr>
            <w:tcW w:w="29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渗水(3)、其他(3)</w:t>
            </w:r>
          </w:p>
        </w:tc>
      </w:tr>
      <w:tr>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c>
          <w:tcPr>
            <w:tcW w:w="15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凌云街道</w:t>
            </w:r>
          </w:p>
        </w:tc>
        <w:tc>
          <w:tcPr>
            <w:tcW w:w="1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12.5%</w:t>
            </w:r>
          </w:p>
        </w:tc>
        <w:tc>
          <w:tcPr>
            <w:tcW w:w="29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树木(3)、其他(2)</w:t>
            </w:r>
          </w:p>
        </w:tc>
      </w:tr>
      <w:tr>
        <w:trPr>
          <w:cantSplit/>
        </w:trPr>
        <w:tc>
          <w:tcPr>
            <w:tcW w:w="7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9</w:t>
            </w:r>
          </w:p>
        </w:tc>
        <w:tc>
          <w:tcPr>
            <w:tcW w:w="15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徐家汇街道</w:t>
            </w:r>
          </w:p>
        </w:tc>
        <w:tc>
          <w:tcPr>
            <w:tcW w:w="1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66.7%</w:t>
            </w:r>
          </w:p>
        </w:tc>
        <w:tc>
          <w:tcPr>
            <w:tcW w:w="29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渗水(2)、积水(2)</w:t>
            </w:r>
          </w:p>
        </w:tc>
      </w:tr>
      <w:tr>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w:t>
            </w:r>
          </w:p>
        </w:tc>
        <w:tc>
          <w:tcPr>
            <w:tcW w:w="15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天平街道</w:t>
            </w:r>
          </w:p>
        </w:tc>
        <w:tc>
          <w:tcPr>
            <w:tcW w:w="1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50.0%</w:t>
            </w:r>
          </w:p>
        </w:tc>
        <w:tc>
          <w:tcPr>
            <w:tcW w:w="29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公共设施(2)、渗水(1)</w:t>
            </w:r>
          </w:p>
        </w:tc>
      </w:tr>
      <w:tr>
        <w:trPr>
          <w:cantSplit/>
        </w:trPr>
        <w:tc>
          <w:tcPr>
            <w:tcW w:w="7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11</w:t>
            </w:r>
          </w:p>
        </w:tc>
        <w:tc>
          <w:tcPr>
            <w:tcW w:w="15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田林街道</w:t>
            </w:r>
          </w:p>
        </w:tc>
        <w:tc>
          <w:tcPr>
            <w:tcW w:w="1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w:t>
            </w:r>
          </w:p>
        </w:tc>
        <w:tc>
          <w:tcPr>
            <w:tcW w:w="9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75.0%</w:t>
            </w:r>
          </w:p>
        </w:tc>
        <w:tc>
          <w:tcPr>
            <w:tcW w:w="29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积水(1)、渗水(1)</w:t>
            </w:r>
          </w:p>
        </w:tc>
      </w:tr>
      <w:tr>
        <w:trPr>
          <w:cantSplit/>
        </w:trPr>
        <w:tc>
          <w:tcPr>
            <w:tcW w:w="7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12</w:t>
            </w:r>
          </w:p>
        </w:tc>
        <w:tc>
          <w:tcPr>
            <w:tcW w:w="15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华泾镇</w:t>
            </w:r>
          </w:p>
        </w:tc>
        <w:tc>
          <w:tcPr>
            <w:tcW w:w="1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0</w:t>
            </w:r>
          </w:p>
        </w:tc>
        <w:tc>
          <w:tcPr>
            <w:tcW w:w="9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100%</w:t>
            </w:r>
          </w:p>
        </w:tc>
        <w:tc>
          <w:tcPr>
            <w:tcW w:w="29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树木(1)</w:t>
            </w:r>
          </w:p>
        </w:tc>
      </w:tr>
    </w:tbl>
    <w:p>
      <w:pPr>
        <w:spacing w:before="160" w:after="40"/>
        <w:jc w:val="center"/>
      </w:pPr>
      <w:r>
        <w:drawing>
          <wp:inline distT="0" distB="0" distL="0" distR="0">
            <wp:extent cx="5334000" cy="3962400"/>
            <wp:effectExtent l="0" t="0" r="0" b="0"/>
            <wp:docPr id="3" name="chart" descr="数据图表" title="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 descr="数据图表" title="图表"/>
                    <pic:cNvPicPr>
                      <a:picLocks noChangeAspect="1" noChangeArrowheads="1"/>
                    </pic:cNvPicPr>
                  </pic:nvPicPr>
                  <pic:blipFill>
                    <a:blip r:embed="rId9"/>
                    <a:srcRect/>
                    <a:stretch>
                      <a:fillRect/>
                    </a:stretch>
                  </pic:blipFill>
                  <pic:spPr>
                    <a:xfrm>
                      <a:off x="0" y="0"/>
                      <a:ext cx="5334000" cy="3962400"/>
                    </a:xfrm>
                    <a:prstGeom prst="rect">
                      <a:avLst/>
                    </a:prstGeom>
                  </pic:spPr>
                </pic:pic>
              </a:graphicData>
            </a:graphic>
          </wp:inline>
        </w:drawing>
      </w:r>
    </w:p>
    <w:p>
      <w:pPr>
        <w:spacing w:after="160"/>
        <w:jc w:val="center"/>
      </w:pPr>
      <w:r>
        <w:rPr>
          <w:rFonts w:ascii="Arial" w:hAnsi="Arial" w:eastAsia="PingFang SC"/>
          <w:b w:val="0"/>
          <w:bCs w:val="0"/>
          <w:color w:val="6B7C8C"/>
          <w:sz w:val="18"/>
          <w:szCs w:val="18"/>
        </w:rPr>
        <w:t>图3：各部门工单总量及结案情况</w:t>
      </w:r>
    </w:p>
    <w:p>
      <w:pPr>
        <w:spacing w:before="160" w:after="40"/>
        <w:jc w:val="center"/>
      </w:pPr>
      <w:r>
        <w:drawing>
          <wp:inline distT="0" distB="0" distL="0" distR="0">
            <wp:extent cx="5334000" cy="3962400"/>
            <wp:effectExtent l="0" t="0" r="0" b="0"/>
            <wp:docPr id="4" name="chart" descr="数据图表" title="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 descr="数据图表" title="图表"/>
                    <pic:cNvPicPr>
                      <a:picLocks noChangeAspect="1" noChangeArrowheads="1"/>
                    </pic:cNvPicPr>
                  </pic:nvPicPr>
                  <pic:blipFill>
                    <a:blip r:embed="rId10"/>
                    <a:srcRect/>
                    <a:stretch>
                      <a:fillRect/>
                    </a:stretch>
                  </pic:blipFill>
                  <pic:spPr>
                    <a:xfrm>
                      <a:off x="0" y="0"/>
                      <a:ext cx="5334000" cy="3962400"/>
                    </a:xfrm>
                    <a:prstGeom prst="rect">
                      <a:avLst/>
                    </a:prstGeom>
                  </pic:spPr>
                </pic:pic>
              </a:graphicData>
            </a:graphic>
          </wp:inline>
        </w:drawing>
      </w:r>
    </w:p>
    <w:p>
      <w:pPr>
        <w:spacing w:after="160"/>
        <w:jc w:val="center"/>
      </w:pPr>
      <w:r>
        <w:rPr>
          <w:rFonts w:ascii="Arial" w:hAnsi="Arial" w:eastAsia="PingFang SC"/>
          <w:b w:val="0"/>
          <w:bCs w:val="0"/>
          <w:color w:val="6B7C8C"/>
          <w:sz w:val="18"/>
          <w:szCs w:val="18"/>
        </w:rPr>
        <w:t>图4：各部门结案率对比</w:t>
      </w:r>
    </w:p>
    <w:p>
      <w:pPr>
        <w:pStyle w:val="3"/>
        <w:keepNext w:val="0"/>
        <w:keepLines w:val="0"/>
        <w:spacing w:before="280" w:after="160"/>
        <w:outlineLvl w:val="1"/>
      </w:pPr>
      <w:r>
        <w:rPr>
          <w:rFonts w:ascii="Arial" w:hAnsi="Arial" w:eastAsia="PingFang SC"/>
          <w:b/>
          <w:bCs/>
          <w:color w:val="1A5276"/>
          <w:sz w:val="28"/>
          <w:szCs w:val="28"/>
        </w:rPr>
        <w:t>（一）工单量较大的街镇</w:t>
      </w:r>
    </w:p>
    <w:p>
      <w:pPr>
        <w:spacing w:before="0" w:after="100" w:line="360" w:lineRule="auto"/>
        <w:ind w:firstLine="480"/>
        <w:jc w:val="both"/>
      </w:pPr>
      <w:r>
        <w:rPr>
          <w:rFonts w:ascii="Arial" w:hAnsi="Arial" w:eastAsia="PingFang SC"/>
          <w:b/>
          <w:bCs/>
          <w:color w:val="1A1A1A"/>
          <w:sz w:val="24"/>
          <w:szCs w:val="24"/>
        </w:rPr>
        <w:t>湖南街道</w:t>
      </w:r>
      <w:r>
        <w:rPr>
          <w:rFonts w:ascii="Arial" w:hAnsi="Arial" w:eastAsia="PingFang SC"/>
          <w:b w:val="0"/>
          <w:bCs w:val="0"/>
          <w:color w:val="1A1A1A"/>
          <w:sz w:val="24"/>
          <w:szCs w:val="24"/>
        </w:rPr>
        <w:t>（14件）工单量居街镇首位，主要集中在衡复风貌区老旧房屋渗水（5件）和积水问题（4件），该区域历史建筑密集、无物业管理的直管公房较多，房屋维护基础薄弱。</w:t>
      </w:r>
    </w:p>
    <w:p>
      <w:pPr>
        <w:spacing w:before="0" w:after="100" w:line="360" w:lineRule="auto"/>
        <w:ind w:firstLine="480"/>
        <w:jc w:val="both"/>
      </w:pPr>
      <w:r>
        <w:rPr>
          <w:rFonts w:ascii="Arial" w:hAnsi="Arial" w:eastAsia="PingFang SC"/>
          <w:b/>
          <w:bCs/>
          <w:color w:val="1A1A1A"/>
          <w:sz w:val="24"/>
          <w:szCs w:val="24"/>
        </w:rPr>
        <w:t>长桥街道</w:t>
      </w:r>
      <w:r>
        <w:rPr>
          <w:rFonts w:ascii="Arial" w:hAnsi="Arial" w:eastAsia="PingFang SC"/>
          <w:b w:val="0"/>
          <w:bCs w:val="0"/>
          <w:color w:val="1A1A1A"/>
          <w:sz w:val="24"/>
          <w:szCs w:val="24"/>
        </w:rPr>
        <w:t>（12件）以公共设施应急保障问题最为突出（7件），包括高空坠物、玻璃掉落等安全隐患。</w:t>
      </w:r>
    </w:p>
    <w:p>
      <w:pPr>
        <w:spacing w:before="0" w:after="100" w:line="360" w:lineRule="auto"/>
        <w:ind w:firstLine="480"/>
        <w:jc w:val="both"/>
      </w:pPr>
      <w:r>
        <w:rPr>
          <w:rFonts w:ascii="Arial" w:hAnsi="Arial" w:eastAsia="PingFang SC"/>
          <w:b/>
          <w:bCs/>
          <w:color w:val="1A1A1A"/>
          <w:sz w:val="24"/>
          <w:szCs w:val="24"/>
        </w:rPr>
        <w:t>枫林街道</w:t>
      </w:r>
      <w:r>
        <w:rPr>
          <w:rFonts w:ascii="Arial" w:hAnsi="Arial" w:eastAsia="PingFang SC"/>
          <w:b w:val="0"/>
          <w:bCs w:val="0"/>
          <w:color w:val="1A1A1A"/>
          <w:sz w:val="24"/>
          <w:szCs w:val="24"/>
        </w:rPr>
        <w:t>（11件）以积水问题为主（4件），东安四村等小区排水系统老化问题较为集中。</w:t>
      </w:r>
    </w:p>
    <w:p>
      <w:pPr>
        <w:pStyle w:val="3"/>
        <w:keepNext w:val="0"/>
        <w:keepLines w:val="0"/>
        <w:spacing w:before="280" w:after="160"/>
        <w:outlineLvl w:val="1"/>
      </w:pPr>
      <w:r>
        <w:rPr>
          <w:rFonts w:ascii="Arial" w:hAnsi="Arial" w:eastAsia="PingFang SC"/>
          <w:b/>
          <w:bCs/>
          <w:color w:val="1A5276"/>
          <w:sz w:val="28"/>
          <w:szCs w:val="28"/>
        </w:rPr>
        <w:t>（二）需重点关注的街镇</w:t>
      </w:r>
    </w:p>
    <w:p>
      <w:pPr>
        <w:spacing w:before="0" w:after="100" w:line="360" w:lineRule="auto"/>
        <w:ind w:firstLine="480"/>
        <w:jc w:val="both"/>
      </w:pPr>
      <w:r>
        <w:rPr>
          <w:rFonts w:ascii="Arial" w:hAnsi="Arial" w:eastAsia="PingFang SC"/>
          <w:b/>
          <w:bCs/>
          <w:color w:val="C0392B"/>
          <w:sz w:val="24"/>
          <w:szCs w:val="24"/>
        </w:rPr>
        <w:t>凌云街道</w:t>
      </w:r>
      <w:r>
        <w:rPr>
          <w:rFonts w:ascii="Arial" w:hAnsi="Arial" w:eastAsia="PingFang SC"/>
          <w:b w:val="0"/>
          <w:bCs w:val="0"/>
          <w:color w:val="1A1A1A"/>
          <w:sz w:val="24"/>
          <w:szCs w:val="24"/>
        </w:rPr>
        <w:t>结案率仅12.5%，为所有部门中最低。8件工单中7件未结案，主要涉及树木侵扰倒伏（3件）、物业不作为投诉（2件）和公共设施安全隐患（1件）。建议凌云街道加强防汛防台应急响应能力，特别是树木修剪和物业监督管理。</w:t>
      </w:r>
    </w:p>
    <w:p>
      <w:pPr>
        <w:spacing w:before="0" w:after="100" w:line="360" w:lineRule="auto"/>
        <w:ind w:firstLine="480"/>
        <w:jc w:val="both"/>
      </w:pPr>
      <w:r>
        <w:rPr>
          <w:rFonts w:ascii="Arial" w:hAnsi="Arial" w:eastAsia="PingFang SC"/>
          <w:b/>
          <w:bCs/>
          <w:color w:val="C0392B"/>
          <w:sz w:val="24"/>
          <w:szCs w:val="24"/>
        </w:rPr>
        <w:t>斜土街道</w:t>
      </w:r>
      <w:r>
        <w:rPr>
          <w:rFonts w:ascii="Arial" w:hAnsi="Arial" w:eastAsia="PingFang SC"/>
          <w:b w:val="0"/>
          <w:bCs w:val="0"/>
          <w:color w:val="1A1A1A"/>
          <w:sz w:val="24"/>
          <w:szCs w:val="24"/>
        </w:rPr>
        <w:t>结案率仅30.0%，10件工单中7件未结案，主要集中在房屋渗水破损（5件）和地面地下积水（4件），日晖二村等老旧小区排水系统和房屋老化问题突出。</w:t>
      </w:r>
    </w:p>
    <w:p>
      <w:pPr>
        <w:spacing w:before="0" w:after="100" w:line="360" w:lineRule="auto"/>
        <w:ind w:firstLine="480"/>
        <w:jc w:val="both"/>
      </w:pPr>
      <w:r>
        <w:rPr>
          <w:rFonts w:ascii="Arial" w:hAnsi="Arial" w:eastAsia="PingFang SC"/>
          <w:b/>
          <w:bCs/>
          <w:color w:val="1A1A1A"/>
          <w:sz w:val="24"/>
          <w:szCs w:val="24"/>
        </w:rPr>
        <w:t>康健街道</w:t>
      </w:r>
      <w:r>
        <w:rPr>
          <w:rFonts w:ascii="Arial" w:hAnsi="Arial" w:eastAsia="PingFang SC"/>
          <w:b w:val="0"/>
          <w:bCs w:val="0"/>
          <w:color w:val="1A1A1A"/>
          <w:sz w:val="24"/>
          <w:szCs w:val="24"/>
        </w:rPr>
        <w:t>结案率40.0%，10件工单中6件未结案，主要涉及公共设施应急保障（5件）和树木侵扰倒伏（3件）。</w:t>
      </w:r>
    </w:p>
    <w:p>
      <w:pPr>
        <w:pStyle w:val="3"/>
        <w:keepNext w:val="0"/>
        <w:keepLines w:val="0"/>
        <w:spacing w:before="280" w:after="160"/>
        <w:outlineLvl w:val="1"/>
      </w:pPr>
      <w:r>
        <w:rPr>
          <w:rFonts w:ascii="Arial" w:hAnsi="Arial" w:eastAsia="PingFang SC"/>
          <w:b/>
          <w:bCs/>
          <w:color w:val="1A5276"/>
          <w:sz w:val="28"/>
          <w:szCs w:val="28"/>
        </w:rPr>
        <w:t>（三）结案率较高的街镇</w:t>
      </w:r>
    </w:p>
    <w:p>
      <w:pPr>
        <w:spacing w:before="0" w:after="100" w:line="360" w:lineRule="auto"/>
        <w:ind w:firstLine="480"/>
        <w:jc w:val="both"/>
      </w:pPr>
      <w:r>
        <w:rPr>
          <w:rFonts w:ascii="Arial" w:hAnsi="Arial" w:eastAsia="PingFang SC"/>
          <w:b/>
          <w:bCs/>
          <w:color w:val="1A1A1A"/>
          <w:sz w:val="24"/>
          <w:szCs w:val="24"/>
        </w:rPr>
        <w:t>华泾镇</w:t>
      </w:r>
      <w:r>
        <w:rPr>
          <w:rFonts w:ascii="Arial" w:hAnsi="Arial" w:eastAsia="PingFang SC"/>
          <w:b w:val="0"/>
          <w:bCs w:val="0"/>
          <w:color w:val="1A1A1A"/>
          <w:sz w:val="24"/>
          <w:szCs w:val="24"/>
        </w:rPr>
        <w:t>（100%）、</w:t>
      </w:r>
      <w:r>
        <w:rPr>
          <w:rFonts w:ascii="Arial" w:hAnsi="Arial" w:eastAsia="PingFang SC"/>
          <w:b/>
          <w:bCs/>
          <w:color w:val="1A1A1A"/>
          <w:sz w:val="24"/>
          <w:szCs w:val="24"/>
        </w:rPr>
        <w:t>田林街道</w:t>
      </w:r>
      <w:r>
        <w:rPr>
          <w:rFonts w:ascii="Arial" w:hAnsi="Arial" w:eastAsia="PingFang SC"/>
          <w:b w:val="0"/>
          <w:bCs w:val="0"/>
          <w:color w:val="1A1A1A"/>
          <w:sz w:val="24"/>
          <w:szCs w:val="24"/>
        </w:rPr>
        <w:t>（75.0%）、</w:t>
      </w:r>
      <w:r>
        <w:rPr>
          <w:rFonts w:ascii="Arial" w:hAnsi="Arial" w:eastAsia="PingFang SC"/>
          <w:b/>
          <w:bCs/>
          <w:color w:val="1A1A1A"/>
          <w:sz w:val="24"/>
          <w:szCs w:val="24"/>
        </w:rPr>
        <w:t>徐家汇街道</w:t>
      </w:r>
      <w:r>
        <w:rPr>
          <w:rFonts w:ascii="Arial" w:hAnsi="Arial" w:eastAsia="PingFang SC"/>
          <w:b w:val="0"/>
          <w:bCs w:val="0"/>
          <w:color w:val="1A1A1A"/>
          <w:sz w:val="24"/>
          <w:szCs w:val="24"/>
        </w:rPr>
        <w:t>（66.7%）结案率较高，处置效率较好，可作为经验推广。</w:t>
      </w:r>
    </w:p>
    <w:p>
      <w:pPr>
        <w:pStyle w:val="2"/>
        <w:keepNext w:val="0"/>
        <w:keepLines w:val="0"/>
        <w:spacing w:before="360" w:after="160"/>
        <w:outlineLvl w:val="0"/>
      </w:pPr>
      <w:r>
        <w:rPr>
          <w:rFonts w:ascii="Arial" w:hAnsi="Arial" w:eastAsia="PingFang SC"/>
          <w:b/>
          <w:bCs/>
          <w:color w:val="1A5276"/>
          <w:sz w:val="32"/>
          <w:szCs w:val="32"/>
        </w:rPr>
        <w:t>三、两大集团工单情况</w:t>
      </w:r>
    </w:p>
    <w:p>
      <w:pPr>
        <w:pStyle w:val="3"/>
        <w:keepNext w:val="0"/>
        <w:keepLines w:val="0"/>
        <w:spacing w:before="280" w:after="160"/>
        <w:outlineLvl w:val="1"/>
      </w:pPr>
      <w:r>
        <w:rPr>
          <w:rFonts w:ascii="Arial" w:hAnsi="Arial" w:eastAsia="PingFang SC"/>
          <w:b/>
          <w:bCs/>
          <w:color w:val="1A5276"/>
          <w:sz w:val="28"/>
          <w:szCs w:val="28"/>
        </w:rPr>
        <w:t>（一）徐房集团</w:t>
      </w:r>
    </w:p>
    <w:p>
      <w:pPr>
        <w:spacing w:before="0" w:after="100" w:line="360" w:lineRule="auto"/>
        <w:ind w:firstLine="480"/>
        <w:jc w:val="both"/>
      </w:pPr>
      <w:r>
        <w:rPr>
          <w:rFonts w:ascii="Arial" w:hAnsi="Arial" w:eastAsia="PingFang SC"/>
          <w:b/>
          <w:bCs/>
          <w:color w:val="1A1A1A"/>
          <w:sz w:val="24"/>
          <w:szCs w:val="24"/>
        </w:rPr>
        <w:t>徐房集团共受理工单</w:t>
      </w:r>
      <w:r>
        <w:rPr>
          <w:rFonts w:ascii="Arial" w:hAnsi="Arial" w:eastAsia="PingFang SC"/>
          <w:b/>
          <w:bCs/>
          <w:color w:val="1A5276"/>
          <w:sz w:val="24"/>
          <w:szCs w:val="24"/>
        </w:rPr>
        <w:t>35件</w:t>
      </w:r>
      <w:r>
        <w:rPr>
          <w:rFonts w:ascii="Arial" w:hAnsi="Arial" w:eastAsia="PingFang SC"/>
          <w:b w:val="0"/>
          <w:bCs w:val="0"/>
          <w:color w:val="1A1A1A"/>
          <w:sz w:val="24"/>
          <w:szCs w:val="24"/>
        </w:rPr>
        <w:t>，占15个主责部门总量的25.5%，是工单量最大的部门。已结案18件（51.4%），未结案17件（48.6%）。徐房集团管理的直管公房和衡复风貌区物业项目涉及大量老旧房屋，是防汛防台诉求的重灾区。</w:t>
      </w:r>
    </w:p>
    <w:p>
      <w:pPr>
        <w:spacing w:before="0" w:after="100" w:line="360" w:lineRule="auto"/>
        <w:ind w:firstLine="480"/>
        <w:jc w:val="both"/>
      </w:pPr>
      <w:r>
        <w:rPr>
          <w:rFonts w:ascii="Arial" w:hAnsi="Arial" w:eastAsia="PingFang SC"/>
          <w:b w:val="0"/>
          <w:bCs w:val="0"/>
          <w:color w:val="1A1A1A"/>
          <w:sz w:val="24"/>
          <w:szCs w:val="24"/>
        </w:rPr>
        <w:t>表4：徐房集团诉求类型分布</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40"/>
        <w:gridCol w:w="2172"/>
        <w:gridCol w:w="1954"/>
        <w:gridCol w:w="2020"/>
      </w:tblGrid>
      <w:tr>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诉求类型</w:t>
            </w:r>
          </w:p>
        </w:tc>
        <w:tc>
          <w:tcPr>
            <w:tcW w:w="20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工单数量（件）</w:t>
            </w:r>
          </w:p>
        </w:tc>
        <w:tc>
          <w:tcPr>
            <w:tcW w:w="180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占比</w:t>
            </w:r>
          </w:p>
        </w:tc>
        <w:tc>
          <w:tcPr>
            <w:tcW w:w="1860" w:type="dxa"/>
            <w:tcBorders>
              <w:top w:val="single" w:color="999999" w:sz="0" w:space="0"/>
              <w:left w:val="single" w:color="999999" w:sz="0" w:space="0"/>
              <w:bottom w:val="single" w:color="999999" w:sz="0" w:space="0"/>
              <w:right w:val="single" w:color="999999" w:sz="0" w:space="0"/>
            </w:tcBorders>
            <w:shd w:val="clear" w:color="auto" w:fill="1A5276"/>
            <w:tcMar>
              <w:top w:w="60" w:type="dxa"/>
              <w:left w:w="80" w:type="dxa"/>
              <w:bottom w:w="60" w:type="dxa"/>
              <w:right w:w="80" w:type="dxa"/>
            </w:tcMar>
            <w:vAlign w:val="center"/>
          </w:tcPr>
          <w:p>
            <w:pPr>
              <w:spacing w:line="280" w:lineRule="auto"/>
              <w:jc w:val="center"/>
            </w:pPr>
            <w:r>
              <w:rPr>
                <w:rFonts w:ascii="Arial" w:hAnsi="Arial" w:eastAsia="PingFang SC"/>
                <w:b/>
                <w:bCs/>
                <w:color w:val="FFFFFF"/>
                <w:sz w:val="20"/>
                <w:szCs w:val="20"/>
              </w:rPr>
              <w:t>未解决（件）</w:t>
            </w:r>
          </w:p>
        </w:tc>
      </w:tr>
      <w:tr>
        <w:trPr>
          <w:cantSplit/>
        </w:trPr>
        <w:tc>
          <w:tcPr>
            <w:tcW w:w="2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地面地下积水</w:t>
            </w:r>
          </w:p>
        </w:tc>
        <w:tc>
          <w:tcPr>
            <w:tcW w:w="2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13</w:t>
            </w:r>
          </w:p>
        </w:tc>
        <w:tc>
          <w:tcPr>
            <w:tcW w:w="1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37.1%</w:t>
            </w:r>
          </w:p>
        </w:tc>
        <w:tc>
          <w:tcPr>
            <w:tcW w:w="18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5</w:t>
            </w:r>
          </w:p>
        </w:tc>
      </w:tr>
      <w:tr>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房屋渗水破损</w:t>
            </w:r>
          </w:p>
        </w:tc>
        <w:tc>
          <w:tcPr>
            <w:tcW w:w="2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11</w:t>
            </w:r>
          </w:p>
        </w:tc>
        <w:tc>
          <w:tcPr>
            <w:tcW w:w="18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31.4%</w:t>
            </w:r>
          </w:p>
        </w:tc>
        <w:tc>
          <w:tcPr>
            <w:tcW w:w="18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r>
      <w:tr>
        <w:trPr>
          <w:cantSplit/>
        </w:trPr>
        <w:tc>
          <w:tcPr>
            <w:tcW w:w="2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其他诉求</w:t>
            </w:r>
          </w:p>
        </w:tc>
        <w:tc>
          <w:tcPr>
            <w:tcW w:w="2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w:t>
            </w:r>
          </w:p>
        </w:tc>
        <w:tc>
          <w:tcPr>
            <w:tcW w:w="1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22.9%</w:t>
            </w:r>
          </w:p>
        </w:tc>
        <w:tc>
          <w:tcPr>
            <w:tcW w:w="18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4</w:t>
            </w:r>
          </w:p>
        </w:tc>
      </w:tr>
      <w:tr>
        <w:trPr>
          <w:cantSplit/>
        </w:trPr>
        <w:tc>
          <w:tcPr>
            <w:tcW w:w="28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树木侵扰倒伏</w:t>
            </w:r>
          </w:p>
        </w:tc>
        <w:tc>
          <w:tcPr>
            <w:tcW w:w="20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w:t>
            </w:r>
          </w:p>
        </w:tc>
        <w:tc>
          <w:tcPr>
            <w:tcW w:w="180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8.6%</w:t>
            </w:r>
          </w:p>
        </w:tc>
        <w:tc>
          <w:tcPr>
            <w:tcW w:w="1860" w:type="dxa"/>
            <w:tcBorders>
              <w:top w:val="single" w:color="999999" w:sz="0" w:space="0"/>
              <w:left w:val="single" w:color="999999" w:sz="0" w:space="0"/>
              <w:bottom w:val="single" w:color="999999" w:sz="0" w:space="0"/>
              <w:right w:val="single" w:color="999999" w:sz="0" w:space="0"/>
            </w:tcBorders>
            <w:shd w:val="clear" w:color="auto" w:fill="EEF3F8"/>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w:t>
            </w:r>
          </w:p>
        </w:tc>
      </w:tr>
      <w:tr>
        <w:trPr>
          <w:cantSplit/>
        </w:trPr>
        <w:tc>
          <w:tcPr>
            <w:tcW w:w="2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合计</w:t>
            </w:r>
          </w:p>
        </w:tc>
        <w:tc>
          <w:tcPr>
            <w:tcW w:w="20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35</w:t>
            </w:r>
          </w:p>
        </w:tc>
        <w:tc>
          <w:tcPr>
            <w:tcW w:w="180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100%</w:t>
            </w:r>
          </w:p>
        </w:tc>
        <w:tc>
          <w:tcPr>
            <w:tcW w:w="1860" w:type="dxa"/>
            <w:tcBorders>
              <w:top w:val="single" w:color="999999" w:sz="0" w:space="0"/>
              <w:left w:val="single" w:color="999999" w:sz="0" w:space="0"/>
              <w:bottom w:val="single" w:color="999999" w:sz="0" w:space="0"/>
              <w:right w:val="single" w:color="999999" w:sz="0" w:space="0"/>
            </w:tcBorders>
            <w:tcMar>
              <w:top w:w="60" w:type="dxa"/>
              <w:left w:w="80" w:type="dxa"/>
              <w:bottom w:w="60" w:type="dxa"/>
              <w:right w:w="80" w:type="dxa"/>
            </w:tcMar>
            <w:vAlign w:val="center"/>
          </w:tcPr>
          <w:p>
            <w:pPr>
              <w:spacing w:line="280" w:lineRule="auto"/>
              <w:jc w:val="center"/>
            </w:pPr>
            <w:r>
              <w:rPr>
                <w:rFonts w:ascii="Arial" w:hAnsi="Arial" w:eastAsia="PingFang SC"/>
                <w:b w:val="0"/>
                <w:bCs w:val="0"/>
                <w:color w:val="1A1A1A"/>
                <w:sz w:val="20"/>
                <w:szCs w:val="20"/>
              </w:rPr>
              <w:t>17</w:t>
            </w:r>
          </w:p>
        </w:tc>
      </w:tr>
    </w:tbl>
    <w:p>
      <w:pPr>
        <w:spacing w:before="160" w:after="40"/>
        <w:jc w:val="center"/>
      </w:pPr>
      <w:r>
        <w:drawing>
          <wp:inline distT="0" distB="0" distL="0" distR="0">
            <wp:extent cx="5257800" cy="4772025"/>
            <wp:effectExtent l="0" t="0" r="0" b="0"/>
            <wp:docPr id="5" name="chart" descr="数据图表" title="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rt" descr="数据图表" title="图表"/>
                    <pic:cNvPicPr>
                      <a:picLocks noChangeAspect="1" noChangeArrowheads="1"/>
                    </pic:cNvPicPr>
                  </pic:nvPicPr>
                  <pic:blipFill>
                    <a:blip r:embed="rId11"/>
                    <a:srcRect/>
                    <a:stretch>
                      <a:fillRect/>
                    </a:stretch>
                  </pic:blipFill>
                  <pic:spPr>
                    <a:xfrm>
                      <a:off x="0" y="0"/>
                      <a:ext cx="5257800" cy="4772025"/>
                    </a:xfrm>
                    <a:prstGeom prst="rect">
                      <a:avLst/>
                    </a:prstGeom>
                  </pic:spPr>
                </pic:pic>
              </a:graphicData>
            </a:graphic>
          </wp:inline>
        </w:drawing>
      </w:r>
    </w:p>
    <w:p>
      <w:pPr>
        <w:spacing w:after="160"/>
        <w:jc w:val="center"/>
      </w:pPr>
      <w:r>
        <w:rPr>
          <w:rFonts w:ascii="Arial" w:hAnsi="Arial" w:eastAsia="PingFang SC"/>
          <w:b w:val="0"/>
          <w:bCs w:val="0"/>
          <w:color w:val="6B7C8C"/>
          <w:sz w:val="18"/>
          <w:szCs w:val="18"/>
        </w:rPr>
        <w:t>图5：徐房集团诉求类型分布</w:t>
      </w:r>
    </w:p>
    <w:p>
      <w:pPr>
        <w:spacing w:before="0" w:after="100" w:line="360" w:lineRule="auto"/>
        <w:ind w:firstLine="480"/>
        <w:jc w:val="both"/>
      </w:pPr>
      <w:r>
        <w:rPr>
          <w:rFonts w:ascii="Arial" w:hAnsi="Arial" w:eastAsia="PingFang SC"/>
          <w:b w:val="0"/>
          <w:bCs w:val="0"/>
          <w:color w:val="1A1A1A"/>
          <w:sz w:val="24"/>
          <w:szCs w:val="24"/>
        </w:rPr>
        <w:t>徐房集团未解决的17件工单中，房屋渗水破损8件最为突出，涉及安福路275弄排水管被切断、常熟路228弄阳台渗水、襄阳南路398号屋顶漏水7年未修、广元路162号老洋房漏水等长期顽症。地面地下积水5件，主要涉及嘉善路143弄下水道堵塞倒灌3年未彻底解决、永嘉路72弄阴沟排水堵塞等问题。</w:t>
      </w:r>
    </w:p>
    <w:p>
      <w:pPr>
        <w:spacing w:before="0" w:after="100" w:line="360" w:lineRule="auto"/>
        <w:ind w:firstLine="480"/>
        <w:jc w:val="both"/>
      </w:pPr>
      <w:r>
        <w:rPr>
          <w:rFonts w:ascii="Arial" w:hAnsi="Arial" w:eastAsia="PingFang SC"/>
          <w:b/>
          <w:bCs/>
          <w:color w:val="1A1A1A"/>
          <w:sz w:val="24"/>
          <w:szCs w:val="24"/>
        </w:rPr>
        <w:t>问题分析：</w:t>
      </w:r>
      <w:r>
        <w:rPr>
          <w:rFonts w:ascii="Arial" w:hAnsi="Arial" w:eastAsia="PingFang SC"/>
          <w:b w:val="0"/>
          <w:bCs w:val="0"/>
          <w:color w:val="1A1A1A"/>
          <w:sz w:val="24"/>
          <w:szCs w:val="24"/>
        </w:rPr>
        <w:t>徐房集团作为衡复风貌区主要物业管理单位，管理的老旧房屋普遍存在排水系统老化、屋面防水层失效等问题。部分直管公房因产权复杂（如使用权房）、维修资金缺失，长期无法彻底解决渗漏水问题。建议徐房集团对管辖范围内反复出现渗漏问题的小区进行全面排查，建立问题台账，分轻重缓急制定维修计划。</w:t>
      </w:r>
    </w:p>
    <w:p>
      <w:pPr>
        <w:pStyle w:val="3"/>
        <w:keepNext w:val="0"/>
        <w:keepLines w:val="0"/>
        <w:spacing w:before="280" w:after="160"/>
        <w:outlineLvl w:val="1"/>
      </w:pPr>
      <w:r>
        <w:rPr>
          <w:rFonts w:ascii="Arial" w:hAnsi="Arial" w:eastAsia="PingFang SC"/>
          <w:b/>
          <w:bCs/>
          <w:color w:val="1A5276"/>
          <w:sz w:val="28"/>
          <w:szCs w:val="28"/>
        </w:rPr>
        <w:t>（二）徐汇城投集团</w:t>
      </w:r>
    </w:p>
    <w:p>
      <w:pPr>
        <w:spacing w:before="0" w:after="100" w:line="360" w:lineRule="auto"/>
        <w:ind w:firstLine="480"/>
        <w:jc w:val="both"/>
      </w:pPr>
      <w:r>
        <w:rPr>
          <w:rFonts w:ascii="Arial" w:hAnsi="Arial" w:eastAsia="PingFang SC"/>
          <w:b w:val="0"/>
          <w:bCs w:val="0"/>
          <w:color w:val="1A1A1A"/>
          <w:sz w:val="24"/>
          <w:szCs w:val="24"/>
        </w:rPr>
        <w:t>徐汇城投集团共受理工单3件，全部为房屋渗水破损类，已结案2件，未结案1件。未解决的1件为罗秀新村外墙改造后漏水问题（工单号2607X3628733），市民反映年初外墙改造后导致房屋外墙出现漏水，6月物业安排处理但问题未解决且更加严重。建议督促施工方返工维修，对外墙改造工程质量进行全面复核。</w:t>
      </w:r>
    </w:p>
    <w:p>
      <w:pPr>
        <w:pStyle w:val="2"/>
        <w:keepNext w:val="0"/>
        <w:keepLines w:val="0"/>
        <w:spacing w:before="360" w:after="160"/>
        <w:outlineLvl w:val="0"/>
      </w:pPr>
      <w:bookmarkStart w:id="0" w:name="_GoBack"/>
      <w:bookmarkEnd w:id="0"/>
      <w:r>
        <w:rPr>
          <w:rFonts w:ascii="Arial" w:hAnsi="Arial" w:eastAsia="PingFang SC"/>
          <w:b/>
          <w:bCs/>
          <w:color w:val="1A5276"/>
          <w:sz w:val="32"/>
          <w:szCs w:val="32"/>
        </w:rPr>
        <w:t>四、未解决问题分析及解决方案</w:t>
      </w:r>
    </w:p>
    <w:p>
      <w:pPr>
        <w:spacing w:before="0" w:after="100" w:line="360" w:lineRule="auto"/>
        <w:ind w:firstLine="480"/>
        <w:jc w:val="both"/>
      </w:pPr>
      <w:r>
        <w:rPr>
          <w:rFonts w:ascii="Arial" w:hAnsi="Arial" w:eastAsia="PingFang SC"/>
          <w:b w:val="0"/>
          <w:bCs w:val="0"/>
          <w:color w:val="1A1A1A"/>
          <w:sz w:val="24"/>
          <w:szCs w:val="24"/>
        </w:rPr>
        <w:t>截至数据统计日，15个主责部门共有68件工单未解决（含63件待催办/待下发核查、5件退回市级）。按诉求类型分布如下：</w:t>
      </w:r>
    </w:p>
    <w:p>
      <w:pPr>
        <w:spacing w:before="160" w:after="40"/>
        <w:jc w:val="center"/>
      </w:pPr>
      <w:r>
        <w:drawing>
          <wp:inline distT="0" distB="0" distL="0" distR="0">
            <wp:extent cx="5334000" cy="3057525"/>
            <wp:effectExtent l="0" t="0" r="0" b="0"/>
            <wp:docPr id="6" name="chart" descr="数据图表" title="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rt" descr="数据图表" title="图表"/>
                    <pic:cNvPicPr>
                      <a:picLocks noChangeAspect="1" noChangeArrowheads="1"/>
                    </pic:cNvPicPr>
                  </pic:nvPicPr>
                  <pic:blipFill>
                    <a:blip r:embed="rId12"/>
                    <a:srcRect/>
                    <a:stretch>
                      <a:fillRect/>
                    </a:stretch>
                  </pic:blipFill>
                  <pic:spPr>
                    <a:xfrm>
                      <a:off x="0" y="0"/>
                      <a:ext cx="5334000" cy="3057525"/>
                    </a:xfrm>
                    <a:prstGeom prst="rect">
                      <a:avLst/>
                    </a:prstGeom>
                  </pic:spPr>
                </pic:pic>
              </a:graphicData>
            </a:graphic>
          </wp:inline>
        </w:drawing>
      </w:r>
    </w:p>
    <w:p>
      <w:pPr>
        <w:spacing w:after="160"/>
        <w:jc w:val="center"/>
      </w:pPr>
      <w:r>
        <w:rPr>
          <w:rFonts w:ascii="Arial" w:hAnsi="Arial" w:eastAsia="PingFang SC"/>
          <w:b w:val="0"/>
          <w:bCs w:val="0"/>
          <w:color w:val="6B7C8C"/>
          <w:sz w:val="18"/>
          <w:szCs w:val="18"/>
        </w:rPr>
        <w:t>图6：未解决问题类型分布</w:t>
      </w:r>
    </w:p>
    <w:p>
      <w:pPr>
        <w:pStyle w:val="3"/>
        <w:keepNext w:val="0"/>
        <w:keepLines w:val="0"/>
        <w:spacing w:before="280" w:after="160"/>
        <w:outlineLvl w:val="1"/>
      </w:pPr>
      <w:r>
        <w:rPr>
          <w:rFonts w:ascii="Arial" w:hAnsi="Arial" w:eastAsia="PingFang SC"/>
          <w:b/>
          <w:bCs/>
          <w:color w:val="1A5276"/>
          <w:sz w:val="28"/>
          <w:szCs w:val="28"/>
        </w:rPr>
        <w:t>（一）房屋渗水破损类（28件未解决）</w:t>
      </w:r>
    </w:p>
    <w:p>
      <w:pPr>
        <w:spacing w:before="0" w:after="100" w:line="360" w:lineRule="auto"/>
        <w:ind w:firstLine="480"/>
        <w:jc w:val="both"/>
      </w:pPr>
      <w:r>
        <w:rPr>
          <w:rFonts w:ascii="Arial" w:hAnsi="Arial" w:eastAsia="PingFang SC"/>
          <w:b w:val="0"/>
          <w:bCs w:val="0"/>
          <w:color w:val="1A1A1A"/>
          <w:sz w:val="24"/>
          <w:szCs w:val="24"/>
        </w:rPr>
        <w:t>房屋渗水破损是未解决问题中最多的类型，共28件，涉及徐房集团（8件）、斜土街道（5件）、康健街道（2件）、湖南街道（2件）、徐家汇街道（2件）、漕河泾街道（2件）、龙华街道（2件）等部门。经分析，未解决原因主要分为以下五类：</w:t>
      </w:r>
    </w:p>
    <w:p>
      <w:pPr>
        <w:spacing w:before="0" w:after="100" w:line="360" w:lineRule="auto"/>
        <w:ind w:firstLine="480"/>
        <w:jc w:val="both"/>
      </w:pPr>
      <w:r>
        <w:rPr>
          <w:rFonts w:ascii="Arial" w:hAnsi="Arial" w:eastAsia="PingFang SC"/>
          <w:b/>
          <w:bCs/>
          <w:color w:val="1A1A1A"/>
          <w:sz w:val="24"/>
          <w:szCs w:val="24"/>
        </w:rPr>
        <w:t>1. 维修资金筹措难（6件）</w:t>
      </w:r>
    </w:p>
    <w:p>
      <w:pPr>
        <w:spacing w:before="0" w:after="100" w:line="360" w:lineRule="auto"/>
        <w:ind w:firstLine="480"/>
        <w:jc w:val="both"/>
      </w:pPr>
      <w:r>
        <w:rPr>
          <w:rFonts w:ascii="Arial" w:hAnsi="Arial" w:eastAsia="PingFang SC"/>
          <w:b w:val="0"/>
          <w:bCs w:val="0"/>
          <w:color w:val="1A1A1A"/>
          <w:sz w:val="24"/>
          <w:szCs w:val="24"/>
        </w:rPr>
        <w:t>典型工单：漕宝路77弄45号901室屋顶漏水（田林街道），物业称维修基金无法使用；大木桥路65号外墙漏水（斜土街道），业委会3年未选出，维修基金无法动用；斜土路1341弄3号顶楼平改坡漏水（斜土街道），缺少维修资金。</w:t>
      </w:r>
    </w:p>
    <w:p>
      <w:pPr>
        <w:spacing w:before="0" w:after="100" w:line="360" w:lineRule="auto"/>
        <w:ind w:firstLine="480"/>
        <w:jc w:val="both"/>
      </w:pPr>
      <w:r>
        <w:rPr>
          <w:rFonts w:ascii="Arial" w:hAnsi="Arial" w:eastAsia="PingFang SC"/>
          <w:b w:val="0"/>
          <w:bCs w:val="0"/>
          <w:color w:val="1A1A1A"/>
          <w:sz w:val="24"/>
          <w:szCs w:val="24"/>
        </w:rPr>
        <w:t>解决方案：一是对于业委会未成立的，由属地街道指导居委代为履职，依法组织召开业主大会，推进维修资金使用表决。二是对于维修资金余额不足的小区，指导业委会启动维修资金续筹工作，同时由区房管局协调指定开户银行，加快维修资金账户开立。三是对于确实无法动用维修资金的紧急情况，纳入区级应急抢险范围，由徐房维急修中心、徐房建筑实业公司、城投"汇修"三支区级房屋应急维修队伍先行托底维修。四是参考2025年经验，对百汇园、名人花苑、福华花苑等小区，持续推进维修资金账户开立和意见征询工作。</w:t>
      </w:r>
    </w:p>
    <w:p>
      <w:pPr>
        <w:spacing w:before="0" w:after="100" w:line="360" w:lineRule="auto"/>
        <w:ind w:firstLine="480"/>
        <w:jc w:val="both"/>
      </w:pPr>
      <w:r>
        <w:rPr>
          <w:rFonts w:ascii="Arial" w:hAnsi="Arial" w:eastAsia="PingFang SC"/>
          <w:b/>
          <w:bCs/>
          <w:color w:val="1A1A1A"/>
          <w:sz w:val="24"/>
          <w:szCs w:val="24"/>
        </w:rPr>
        <w:t>2. 报修响应不及时/维修不到位（9件）</w:t>
      </w:r>
    </w:p>
    <w:p>
      <w:pPr>
        <w:spacing w:before="0" w:after="100" w:line="360" w:lineRule="auto"/>
        <w:ind w:firstLine="480"/>
        <w:jc w:val="both"/>
      </w:pPr>
      <w:r>
        <w:rPr>
          <w:rFonts w:ascii="Arial" w:hAnsi="Arial" w:eastAsia="PingFang SC"/>
          <w:b w:val="0"/>
          <w:bCs w:val="0"/>
          <w:color w:val="1A1A1A"/>
          <w:sz w:val="24"/>
          <w:szCs w:val="24"/>
        </w:rPr>
        <w:t>典型工单：桂平路67弄19号外墙开裂渗水（康健街道），多次联系物业未解决；襄阳南路398号屋顶漏水7年未修好（徐房集团）；广元路162号老洋房漏水物业迟迟未搭脚手架修缮（徐房集团）；安亭路43号天花板漏水物业称不归其管（徐房集团）。</w:t>
      </w:r>
    </w:p>
    <w:p>
      <w:pPr>
        <w:spacing w:before="0" w:after="100" w:line="360" w:lineRule="auto"/>
        <w:ind w:firstLine="480"/>
        <w:jc w:val="both"/>
      </w:pPr>
      <w:r>
        <w:rPr>
          <w:rFonts w:ascii="Arial" w:hAnsi="Arial" w:eastAsia="PingFang SC"/>
          <w:b w:val="0"/>
          <w:bCs w:val="0"/>
          <w:color w:val="1A1A1A"/>
          <w:sz w:val="24"/>
          <w:szCs w:val="24"/>
        </w:rPr>
        <w:t>解决方案：一是督促物业服务企业严格落实24小时防汛防台值班制度，对居民报修做到"接报即办"，限时到场处置。二是对同一问题反复报修、多次维修仍未解决的小区，由区房管局约谈物业企业负责人，督促制定专项修缮方案并限期完成。三是将物业企业报修响应情况纳入物业服务考核评价体系，对长期不作为的物业企业依法予以处罚或清退。四是对徐房集团管辖的老洋房等历史建筑渗漏问题，安排专业修缮单位现场查勘，制定针对性维修方案，优先纳入"三旧"变"三新"修缮计划。</w:t>
      </w:r>
    </w:p>
    <w:p>
      <w:pPr>
        <w:spacing w:before="0" w:after="100" w:line="360" w:lineRule="auto"/>
        <w:ind w:firstLine="480"/>
        <w:jc w:val="both"/>
      </w:pPr>
      <w:r>
        <w:rPr>
          <w:rFonts w:ascii="Arial" w:hAnsi="Arial" w:eastAsia="PingFang SC"/>
          <w:b/>
          <w:bCs/>
          <w:color w:val="1A1A1A"/>
          <w:sz w:val="24"/>
          <w:szCs w:val="24"/>
        </w:rPr>
        <w:t>3. 外墙排水管被切断/管道损坏（3件）</w:t>
      </w:r>
    </w:p>
    <w:p>
      <w:pPr>
        <w:spacing w:before="0" w:after="100" w:line="360" w:lineRule="auto"/>
        <w:ind w:firstLine="480"/>
        <w:jc w:val="both"/>
      </w:pPr>
      <w:r>
        <w:rPr>
          <w:rFonts w:ascii="Arial" w:hAnsi="Arial" w:eastAsia="PingFang SC"/>
          <w:b w:val="0"/>
          <w:bCs w:val="0"/>
          <w:color w:val="1A1A1A"/>
          <w:sz w:val="24"/>
          <w:szCs w:val="24"/>
        </w:rPr>
        <w:t>典型工单：安福路275弄8号外墙排水管被物业私自切断导致墙体渗水（徐房集团、湖南街道，2件关联工单）；淮海中路1850号204室楼上管子损坏导致家中进水（徐房集团）。</w:t>
      </w:r>
    </w:p>
    <w:p>
      <w:pPr>
        <w:spacing w:before="0" w:after="100" w:line="360" w:lineRule="auto"/>
        <w:ind w:firstLine="480"/>
        <w:jc w:val="both"/>
      </w:pPr>
      <w:r>
        <w:rPr>
          <w:rFonts w:ascii="Arial" w:hAnsi="Arial" w:eastAsia="PingFang SC"/>
          <w:b w:val="0"/>
          <w:bCs w:val="0"/>
          <w:color w:val="1A1A1A"/>
          <w:sz w:val="24"/>
          <w:szCs w:val="24"/>
        </w:rPr>
        <w:t>解决方案：一是责令相关物业企业立即复原被切断的排水管道，恢复房屋排水功能，并对墙体渗水部位进行防水修复。二是对私自切断排水管的行为进行追责，依法依规追究相关责任方维修损耗费用。三是对楼上管道损坏导致楼下漏水的问题，由街道搭建协调平台，督促楼上业主配合维修，必要时启动司法程序。</w:t>
      </w:r>
    </w:p>
    <w:p>
      <w:pPr>
        <w:spacing w:before="0" w:after="100" w:line="360" w:lineRule="auto"/>
        <w:ind w:firstLine="480"/>
        <w:jc w:val="both"/>
      </w:pPr>
      <w:r>
        <w:rPr>
          <w:rFonts w:ascii="Arial" w:hAnsi="Arial" w:eastAsia="PingFang SC"/>
          <w:b/>
          <w:bCs/>
          <w:color w:val="1A1A1A"/>
          <w:sz w:val="24"/>
          <w:szCs w:val="24"/>
        </w:rPr>
        <w:t>4. 外墙改造/施工质量问题（2件）</w:t>
      </w:r>
    </w:p>
    <w:p>
      <w:pPr>
        <w:spacing w:before="0" w:after="100" w:line="360" w:lineRule="auto"/>
        <w:ind w:firstLine="480"/>
        <w:jc w:val="both"/>
      </w:pPr>
      <w:r>
        <w:rPr>
          <w:rFonts w:ascii="Arial" w:hAnsi="Arial" w:eastAsia="PingFang SC"/>
          <w:b w:val="0"/>
          <w:bCs w:val="0"/>
          <w:color w:val="1A1A1A"/>
          <w:sz w:val="24"/>
          <w:szCs w:val="24"/>
        </w:rPr>
        <w:t>典型工单：罗秀新村外墙改造后漏水（徐汇城投集团）；龙漕路135弄管道施工多处工艺硬伤导致渗漏（漕河泾街道）。</w:t>
      </w:r>
    </w:p>
    <w:p>
      <w:pPr>
        <w:spacing w:before="0" w:after="100" w:line="360" w:lineRule="auto"/>
        <w:ind w:firstLine="480"/>
        <w:jc w:val="both"/>
      </w:pPr>
      <w:r>
        <w:rPr>
          <w:rFonts w:ascii="Arial" w:hAnsi="Arial" w:eastAsia="PingFang SC"/>
          <w:b w:val="0"/>
          <w:bCs w:val="0"/>
          <w:color w:val="1A1A1A"/>
          <w:sz w:val="24"/>
          <w:szCs w:val="24"/>
        </w:rPr>
        <w:t>解决方案：一是督促施工方返工维修，对外墙改造工程质量进行全面复核，查找渗漏根源。二是对管道施工质量问题，要求物业安排持证合规工人按标准工艺彻底返工，所有整改费用由物业、施工方承担。三是对改造工程建立质量保证金制度，在保修期内出现的质量问题由施工方无条件返修。</w:t>
      </w:r>
    </w:p>
    <w:p>
      <w:pPr>
        <w:spacing w:before="0" w:after="100" w:line="360" w:lineRule="auto"/>
        <w:ind w:firstLine="480"/>
        <w:jc w:val="both"/>
      </w:pPr>
      <w:r>
        <w:rPr>
          <w:rFonts w:ascii="Arial" w:hAnsi="Arial" w:eastAsia="PingFang SC"/>
          <w:b/>
          <w:bCs/>
          <w:color w:val="1A1A1A"/>
          <w:sz w:val="24"/>
          <w:szCs w:val="24"/>
        </w:rPr>
        <w:t>5. 邻里纠纷/业主改结构致漏水（4件）</w:t>
      </w:r>
    </w:p>
    <w:p>
      <w:pPr>
        <w:spacing w:before="0" w:after="100" w:line="360" w:lineRule="auto"/>
        <w:ind w:firstLine="480"/>
        <w:jc w:val="both"/>
      </w:pPr>
      <w:r>
        <w:rPr>
          <w:rFonts w:ascii="Arial" w:hAnsi="Arial" w:eastAsia="PingFang SC"/>
          <w:b w:val="0"/>
          <w:bCs w:val="0"/>
          <w:color w:val="1A1A1A"/>
          <w:sz w:val="24"/>
          <w:szCs w:val="24"/>
        </w:rPr>
        <w:t>典型工单：长桥四村86号业主擅自变更房屋结构导致楼下漏水（长桥街道）；东安路888弄阳台墙面渗水系楼上装修空调冷凝水管排入报废地漏（斜土街道）；斜土路2905号阳台漏水反复维修（徐家汇街道）；日晖二村91号阳台雨棚漏水反复维修未果（斜土街道）。</w:t>
      </w:r>
    </w:p>
    <w:p>
      <w:pPr>
        <w:spacing w:before="0" w:after="100" w:line="360" w:lineRule="auto"/>
        <w:ind w:firstLine="480"/>
        <w:jc w:val="both"/>
      </w:pPr>
      <w:r>
        <w:rPr>
          <w:rFonts w:ascii="Arial" w:hAnsi="Arial" w:eastAsia="PingFang SC"/>
          <w:b w:val="0"/>
          <w:bCs w:val="0"/>
          <w:color w:val="1A1A1A"/>
          <w:sz w:val="24"/>
          <w:szCs w:val="24"/>
        </w:rPr>
        <w:t>解决方案：一是由街道牵头，联合城管、居委、物业搭建协调平台，督促责任方配合维修。二是对擅自变更房屋结构的，由城管部门依法认定并责令恢复原状。三是对租客不配合的，联系房东协调，必要时通过法律途径解决。四是对重新交办后市民仍不满意的，安排专人上门核查，制定切实可行的维修方案。</w:t>
      </w:r>
    </w:p>
    <w:p>
      <w:pPr>
        <w:spacing w:before="0" w:after="100" w:line="360" w:lineRule="auto"/>
        <w:ind w:firstLine="480"/>
        <w:jc w:val="both"/>
      </w:pPr>
      <w:r>
        <w:rPr>
          <w:rFonts w:ascii="Arial" w:hAnsi="Arial" w:eastAsia="PingFang SC"/>
          <w:b/>
          <w:bCs/>
          <w:color w:val="1A1A1A"/>
          <w:sz w:val="24"/>
          <w:szCs w:val="24"/>
        </w:rPr>
        <w:t>6. 其他渗水问题（4件）</w:t>
      </w:r>
    </w:p>
    <w:p>
      <w:pPr>
        <w:spacing w:before="0" w:after="100" w:line="360" w:lineRule="auto"/>
        <w:ind w:firstLine="480"/>
        <w:jc w:val="both"/>
      </w:pPr>
      <w:r>
        <w:rPr>
          <w:rFonts w:ascii="Arial" w:hAnsi="Arial" w:eastAsia="PingFang SC"/>
          <w:b w:val="0"/>
          <w:bCs w:val="0"/>
          <w:color w:val="1A1A1A"/>
          <w:sz w:val="24"/>
          <w:szCs w:val="24"/>
        </w:rPr>
        <w:t>典型工单：龙水北路960弄楼顶公共区域下水口堵塞导致漏水（龙华街道）；龙吴路9506号街道雨水管道漏水（漕河泾街道）；天平路245号市妇联屋顶积水渗透（天平街道，退回市级）；番禺路1161弄雨污水管堵塞倒灌（徐家汇街道）。</w:t>
      </w:r>
    </w:p>
    <w:p>
      <w:pPr>
        <w:spacing w:before="0" w:after="100" w:line="360" w:lineRule="auto"/>
        <w:ind w:firstLine="480"/>
        <w:jc w:val="both"/>
      </w:pPr>
      <w:r>
        <w:rPr>
          <w:rFonts w:ascii="Arial" w:hAnsi="Arial" w:eastAsia="PingFang SC"/>
          <w:b w:val="0"/>
          <w:bCs w:val="0"/>
          <w:color w:val="1A1A1A"/>
          <w:sz w:val="24"/>
          <w:szCs w:val="24"/>
        </w:rPr>
        <w:t>解决方案：一是对楼顶排水口堵塞问题，督促物业及时清理废弃防水材料等堵塞物，建立定期清理机制。二是对街道雨水管道漏水问题，由街道安排维修。三是对市级管辖的市妇联屋顶积水问题，配合市级部门协调处理。四是对雨污水管堵塞倒灌问题，由物业排查疏通管网，必要时联系水务部门协助。</w:t>
      </w:r>
    </w:p>
    <w:p>
      <w:pPr>
        <w:pStyle w:val="3"/>
        <w:keepNext w:val="0"/>
        <w:keepLines w:val="0"/>
        <w:spacing w:before="280" w:after="160"/>
        <w:outlineLvl w:val="1"/>
      </w:pPr>
      <w:r>
        <w:rPr>
          <w:rFonts w:ascii="Arial" w:hAnsi="Arial" w:eastAsia="PingFang SC"/>
          <w:b/>
          <w:bCs/>
          <w:color w:val="1A5276"/>
          <w:sz w:val="28"/>
          <w:szCs w:val="28"/>
        </w:rPr>
        <w:t>（二）地面地下积水类（8件未解决）</w:t>
      </w:r>
    </w:p>
    <w:p>
      <w:pPr>
        <w:spacing w:before="0" w:after="100" w:line="360" w:lineRule="auto"/>
        <w:ind w:firstLine="480"/>
        <w:jc w:val="both"/>
      </w:pPr>
      <w:r>
        <w:rPr>
          <w:rFonts w:ascii="Arial" w:hAnsi="Arial" w:eastAsia="PingFang SC"/>
          <w:b w:val="0"/>
          <w:bCs w:val="0"/>
          <w:color w:val="1A1A1A"/>
          <w:sz w:val="24"/>
          <w:szCs w:val="24"/>
        </w:rPr>
        <w:t>共8件未解决，主要涉及徐房集团（5件）、斜土街道（1件）、湖南街道（1件）、枫林街道（1件）。问题集中在下水道/阴沟长期堵塞、排水管道不通畅、积水倒灌等。</w:t>
      </w:r>
    </w:p>
    <w:p>
      <w:pPr>
        <w:spacing w:before="0" w:after="100" w:line="360" w:lineRule="auto"/>
        <w:ind w:firstLine="480"/>
        <w:jc w:val="both"/>
      </w:pPr>
      <w:r>
        <w:rPr>
          <w:rFonts w:ascii="Arial" w:hAnsi="Arial" w:eastAsia="PingFang SC"/>
          <w:b w:val="0"/>
          <w:bCs w:val="0"/>
          <w:color w:val="1A1A1A"/>
          <w:sz w:val="24"/>
          <w:szCs w:val="24"/>
        </w:rPr>
        <w:t>解决方案：一是对嘉善路143弄（堵塞3年未彻底解决）、永嘉路72弄等反复堵塞点位，安排专业疏通队伍进行全面疏通，使用水槽内窥镜探查管网堵塞隐患，精准定位堵塞点，建立定期疏通机制，汛期前完成全面排查。二对乌鲁木齐中路361号等地势低洼、外高内低导致积水倒灌的点位，协调水务部门排查市政管网排水能力，必要时增设排水泵或调整排水闸门。各街镇梳理易积水小区点位报告水务部门，如遇汛情提前派车待命。三是对斜土路1341弄加装电梯底坑积水问题，督促电梯养护单位建立定期清理机制，雨季增加巡查频次。四是对湖南路296弄有人私排排水管导致弄堂积水的问题，由街道核实并制止违规排放行为。</w:t>
      </w:r>
    </w:p>
    <w:p>
      <w:pPr>
        <w:pStyle w:val="3"/>
        <w:keepNext w:val="0"/>
        <w:keepLines w:val="0"/>
        <w:spacing w:before="280" w:after="160"/>
        <w:outlineLvl w:val="1"/>
      </w:pPr>
      <w:r>
        <w:rPr>
          <w:rFonts w:ascii="Arial" w:hAnsi="Arial" w:eastAsia="PingFang SC"/>
          <w:b/>
          <w:bCs/>
          <w:color w:val="1A5276"/>
          <w:sz w:val="28"/>
          <w:szCs w:val="28"/>
        </w:rPr>
        <w:t>（三）树木侵扰倒伏类（9件未解决）</w:t>
      </w:r>
    </w:p>
    <w:p>
      <w:pPr>
        <w:spacing w:before="0" w:after="100" w:line="360" w:lineRule="auto"/>
        <w:ind w:firstLine="480"/>
        <w:jc w:val="both"/>
      </w:pPr>
      <w:r>
        <w:rPr>
          <w:rFonts w:ascii="Arial" w:hAnsi="Arial" w:eastAsia="PingFang SC"/>
          <w:b w:val="0"/>
          <w:bCs w:val="0"/>
          <w:color w:val="1A1A1A"/>
          <w:sz w:val="24"/>
          <w:szCs w:val="24"/>
        </w:rPr>
        <w:t>共9件未解决，涉及凌云街道（2件）、康健街道（2件）、湖南街道（2件）、枫林街道（1件）、徐汇区房管局（1件）、华泾镇（1件，已结案，不计入）。问题包括树木倾斜/枯死未处理、树枝刮瓦片、补种树木倒伏等。</w:t>
      </w:r>
    </w:p>
    <w:p>
      <w:pPr>
        <w:spacing w:before="0" w:after="100" w:line="360" w:lineRule="auto"/>
        <w:ind w:firstLine="480"/>
        <w:jc w:val="both"/>
      </w:pPr>
      <w:r>
        <w:rPr>
          <w:rFonts w:ascii="Arial" w:hAnsi="Arial" w:eastAsia="PingFang SC"/>
          <w:b w:val="0"/>
          <w:bCs w:val="0"/>
          <w:color w:val="1A1A1A"/>
          <w:sz w:val="24"/>
          <w:szCs w:val="24"/>
        </w:rPr>
        <w:t>解决方案：一是对老沪闵路439弄金塘小区树木与电缆穿插倾斜、梅陇五村枯死大树频繁掉落粗枝等安全隐患，立即安排专业绿化养护单位进行修剪、加固或移除。对梅陇五村3月已通过12345反映但未处置的枯死大树，启动问责机制。二是对康强坊桂林东街99弄居民在一楼天井种树长到四楼且有倾斜的问题，由城管部门认定是否属于违规种植，协调物业和种植人配合修剪或移除。三是对淮海中路1288号树枝刮落房顶瓦片导致漏水的问题，协调绿化部门尽快修剪树木，同时修复受损瓦片。四是对复兴中路1237号电力公司电缆入地工程后补种树木因覆土太浅倒伏的问题，协调电力部门加厚土层或改种灌木。五是对湖南路280弄古树台风中倒下被物业砍掉一事，由绿化部门核查是否为业主有意为之，依法处理。</w:t>
      </w:r>
    </w:p>
    <w:p>
      <w:pPr>
        <w:pStyle w:val="3"/>
        <w:keepNext w:val="0"/>
        <w:keepLines w:val="0"/>
        <w:spacing w:before="280" w:after="160"/>
        <w:outlineLvl w:val="1"/>
      </w:pPr>
      <w:r>
        <w:rPr>
          <w:rFonts w:ascii="Arial" w:hAnsi="Arial" w:eastAsia="PingFang SC"/>
          <w:b/>
          <w:bCs/>
          <w:color w:val="1A5276"/>
          <w:sz w:val="28"/>
          <w:szCs w:val="28"/>
        </w:rPr>
        <w:t>（四）公共设施应急保障类（8件未解决）</w:t>
      </w:r>
    </w:p>
    <w:p>
      <w:pPr>
        <w:spacing w:before="0" w:after="100" w:line="360" w:lineRule="auto"/>
        <w:ind w:firstLine="480"/>
        <w:jc w:val="both"/>
      </w:pPr>
      <w:r>
        <w:rPr>
          <w:rFonts w:ascii="Arial" w:hAnsi="Arial" w:eastAsia="PingFang SC"/>
          <w:b w:val="0"/>
          <w:bCs w:val="0"/>
          <w:color w:val="1A1A1A"/>
          <w:sz w:val="24"/>
          <w:szCs w:val="24"/>
        </w:rPr>
        <w:t>共8件未解决，涉及康健街道（2件）、长桥街道（2件）、凌云街道（1件）、漕河泾街道（1件）、湖南街道（1件）、天平街道（1件）。问题包括高空坠物/花盆坠落风险、玻璃掉落、顶棚松动、高空抛物等。</w:t>
      </w:r>
    </w:p>
    <w:p>
      <w:pPr>
        <w:spacing w:before="0" w:after="100" w:line="360" w:lineRule="auto"/>
        <w:ind w:firstLine="480"/>
        <w:jc w:val="both"/>
      </w:pPr>
      <w:r>
        <w:rPr>
          <w:rFonts w:ascii="Arial" w:hAnsi="Arial" w:eastAsia="PingFang SC"/>
          <w:b w:val="0"/>
          <w:bCs w:val="0"/>
          <w:color w:val="1A1A1A"/>
          <w:sz w:val="24"/>
          <w:szCs w:val="24"/>
        </w:rPr>
        <w:t>解决方案：一是对柳州路176弄23号201长期户外平台放大花瓶有掉落风险、舒乐小区居民阳台花盆未收回等问题，由居委、物业上门督促居民将室外易坠物品收回室内，对拒不配合的依法强制移除。二是对龙川北路436弄7号楼租户外出未关窗导致玻璃掉落、桂平路月季园顶棚松动掉落等问题，由物业紧急处置，联系业主或租户配合维修，设置警戒区域防止伤人。三是对漕溪路167弄高空抛物持续半年的问题，建议安装高空抛物摄像头，从根本上解决取证难问题。四是对复兴西路10弄8号屋顶瓦片砸到市民车辆的问题，协调房屋产权人尽快抢修屋顶，妥善处理车辆赔偿事宜。</w:t>
      </w:r>
    </w:p>
    <w:p>
      <w:pPr>
        <w:pStyle w:val="3"/>
        <w:keepNext w:val="0"/>
        <w:keepLines w:val="0"/>
        <w:spacing w:before="280" w:after="160"/>
        <w:outlineLvl w:val="1"/>
      </w:pPr>
      <w:r>
        <w:rPr>
          <w:rFonts w:ascii="Arial" w:hAnsi="Arial" w:eastAsia="PingFang SC"/>
          <w:b/>
          <w:bCs/>
          <w:color w:val="1A5276"/>
          <w:sz w:val="28"/>
          <w:szCs w:val="28"/>
        </w:rPr>
        <w:t>（五）其他诉求类（13件未解决）</w:t>
      </w:r>
    </w:p>
    <w:p>
      <w:pPr>
        <w:spacing w:before="0" w:after="100" w:line="360" w:lineRule="auto"/>
        <w:ind w:firstLine="480"/>
        <w:jc w:val="both"/>
      </w:pPr>
      <w:r>
        <w:rPr>
          <w:rFonts w:ascii="Arial" w:hAnsi="Arial" w:eastAsia="PingFang SC"/>
          <w:b w:val="0"/>
          <w:bCs w:val="0"/>
          <w:color w:val="1A1A1A"/>
          <w:sz w:val="24"/>
          <w:szCs w:val="24"/>
        </w:rPr>
        <w:t>共13件未解决，主要包括物业不作为投诉、台风天值班不到位、装修噪音、建筑垃圾堆放、加装电梯故障、流浪动物管理等。此类工单虽非直接防汛防台问题，但反映了汛期物业管理和服务中的薄弱环节。</w:t>
      </w:r>
    </w:p>
    <w:p>
      <w:pPr>
        <w:spacing w:before="0" w:after="100" w:line="360" w:lineRule="auto"/>
        <w:ind w:firstLine="480"/>
        <w:jc w:val="both"/>
      </w:pPr>
      <w:r>
        <w:rPr>
          <w:rFonts w:ascii="Arial" w:hAnsi="Arial" w:eastAsia="PingFang SC"/>
          <w:b w:val="0"/>
          <w:bCs w:val="0"/>
          <w:color w:val="1A1A1A"/>
          <w:sz w:val="24"/>
          <w:szCs w:val="24"/>
        </w:rPr>
        <w:t>解决方案：一是对枫林街道红旗教师公寓物业台风天无通知公告、凌云路街道物业和居委台风天无值班人员、罗秀路880弄物业居委无值班等问题（5件），由区房管局和属地街道约谈相关物业企业，督促严格落实防汛防台值班制度，将值班情况纳入物业考核。二是对罗秀路955弄加装电梯两年内频繁故障、下雨天断电等问题（1件），督促电梯维修单位彻底检修并告知维修方案。三是对斜土路2590弄老年活动室拆除后建筑垃圾堆放超期问题（1件），责令相关单位立即清理，严格执行建筑垃圾堆放不超过3天的规定。四是对龙华西路31弄俞一小区流浪动物投喂和垃圾乱倒问题（2件），由居委、物业加强日常管理和清扫消杀。五是对凌云路街道办事处台风期间不接电话的投诉（1件），由区相关部门核实并督促整改，确保汛期应急联络渠道畅通。六对衡山路17弄新装电梯感应灯台风天频繁亮起影响休息、龙川北路177弄台风天装修、罗城路570弄台风致楼上晾衣架坠落砸坏市民晾衣架等问题，由街道协调相关部门妥善处置。</w:t>
      </w:r>
    </w:p>
    <w:p>
      <w:pPr>
        <w:pStyle w:val="3"/>
        <w:keepNext w:val="0"/>
        <w:keepLines w:val="0"/>
        <w:spacing w:before="280" w:after="160"/>
        <w:outlineLvl w:val="1"/>
      </w:pPr>
      <w:r>
        <w:rPr>
          <w:rFonts w:ascii="Arial" w:hAnsi="Arial" w:eastAsia="PingFang SC"/>
          <w:b/>
          <w:bCs/>
          <w:color w:val="1A5276"/>
          <w:sz w:val="28"/>
          <w:szCs w:val="28"/>
        </w:rPr>
        <w:t>（六）电力设施问题类（2件未解决）</w:t>
      </w:r>
    </w:p>
    <w:p>
      <w:pPr>
        <w:spacing w:before="0" w:after="100" w:line="360" w:lineRule="auto"/>
        <w:ind w:firstLine="480"/>
        <w:jc w:val="both"/>
      </w:pPr>
      <w:r>
        <w:rPr>
          <w:rFonts w:ascii="Arial" w:hAnsi="Arial" w:eastAsia="PingFang SC"/>
          <w:b w:val="0"/>
          <w:bCs w:val="0"/>
          <w:color w:val="1A1A1A"/>
          <w:sz w:val="24"/>
          <w:szCs w:val="24"/>
        </w:rPr>
        <w:t>共2件未解决，均涉及凌云街道和天平街道。一是罗秀路955弄加装电梯两年内频繁故障，下雨天断电，市民多次联系维修单位推诿（凌云街道）。二是天钥新村12号405室因大雨导致厨房进水，电器泡水存在漏电风险（枫林街道，退回市级）。</w:t>
      </w:r>
    </w:p>
    <w:p>
      <w:pPr>
        <w:spacing w:before="0" w:after="100" w:line="360" w:lineRule="auto"/>
        <w:ind w:firstLine="480"/>
        <w:jc w:val="both"/>
      </w:pPr>
      <w:r>
        <w:rPr>
          <w:rFonts w:ascii="Arial" w:hAnsi="Arial" w:eastAsia="PingFang SC"/>
          <w:b w:val="0"/>
          <w:bCs w:val="0"/>
          <w:color w:val="1A1A1A"/>
          <w:sz w:val="24"/>
          <w:szCs w:val="24"/>
        </w:rPr>
        <w:t>解决方案：一是对加装电梯故障问题，督促电梯维保单位全面检修电梯控制系统和防水密封性能，告知市民维修方案和内容，对电梯井潮湿问题采取除湿措施。二是对厨房进水漏电风险问题，配合电力部门关闭电闸确保安全，督促物业排查进水原因并排水维修。</w:t>
      </w:r>
    </w:p>
    <w:p>
      <w:pPr>
        <w:pStyle w:val="2"/>
        <w:keepNext w:val="0"/>
        <w:keepLines w:val="0"/>
        <w:spacing w:before="360" w:after="160"/>
        <w:outlineLvl w:val="0"/>
      </w:pPr>
      <w:r>
        <w:rPr>
          <w:rFonts w:ascii="Arial" w:hAnsi="Arial" w:eastAsia="PingFang SC"/>
          <w:b/>
          <w:bCs/>
          <w:color w:val="1A5276"/>
          <w:sz w:val="32"/>
          <w:szCs w:val="32"/>
        </w:rPr>
        <w:t>五、下一步工作建议</w:t>
      </w:r>
    </w:p>
    <w:p>
      <w:pPr>
        <w:pStyle w:val="3"/>
        <w:keepNext w:val="0"/>
        <w:keepLines w:val="0"/>
        <w:spacing w:before="280" w:after="160"/>
        <w:outlineLvl w:val="1"/>
      </w:pPr>
      <w:r>
        <w:rPr>
          <w:rFonts w:ascii="Arial" w:hAnsi="Arial" w:eastAsia="PingFang SC"/>
          <w:b/>
          <w:bCs/>
          <w:color w:val="1A5276"/>
          <w:sz w:val="28"/>
          <w:szCs w:val="28"/>
        </w:rPr>
        <w:t>（一）开展应急抢险，解决突出渗漏问题</w:t>
      </w:r>
    </w:p>
    <w:p>
      <w:pPr>
        <w:spacing w:before="0" w:after="100" w:line="360" w:lineRule="auto"/>
        <w:ind w:firstLine="480"/>
        <w:jc w:val="both"/>
      </w:pPr>
      <w:r>
        <w:rPr>
          <w:rFonts w:ascii="Arial" w:hAnsi="Arial" w:eastAsia="PingFang SC"/>
          <w:b w:val="0"/>
          <w:bCs w:val="0"/>
          <w:color w:val="1A1A1A"/>
          <w:sz w:val="24"/>
          <w:szCs w:val="24"/>
        </w:rPr>
        <w:t>针对12345热线、信访件投诉中反复出现的房屋渗水破损问题，对接专业单位进行现场查勘，主动开展应急抢险工作。对安福路275弄排水管被切断、襄阳南路398号屋顶漏水7年未修、广元路162号老洋房漏水等长期顽症，优先纳入应急抢险范围。截至目前，已有12个小区纳入应急抢险范围（如上师大新村、老沪闵路439弄等），计划近期进场施工。</w:t>
      </w:r>
    </w:p>
    <w:p>
      <w:pPr>
        <w:pStyle w:val="3"/>
        <w:keepNext w:val="0"/>
        <w:keepLines w:val="0"/>
        <w:spacing w:before="280" w:after="160"/>
        <w:outlineLvl w:val="1"/>
      </w:pPr>
      <w:r>
        <w:rPr>
          <w:rFonts w:ascii="Arial" w:hAnsi="Arial" w:eastAsia="PingFang SC"/>
          <w:b/>
          <w:bCs/>
          <w:color w:val="1A5276"/>
          <w:sz w:val="28"/>
          <w:szCs w:val="28"/>
        </w:rPr>
        <w:t>（二）推动维修资金使用，破解筹措难题</w:t>
      </w:r>
    </w:p>
    <w:p>
      <w:pPr>
        <w:spacing w:before="0" w:after="100" w:line="360" w:lineRule="auto"/>
        <w:ind w:firstLine="480"/>
        <w:jc w:val="both"/>
      </w:pPr>
      <w:r>
        <w:rPr>
          <w:rFonts w:ascii="Arial" w:hAnsi="Arial" w:eastAsia="PingFang SC"/>
          <w:b w:val="0"/>
          <w:bCs w:val="0"/>
          <w:color w:val="1A1A1A"/>
          <w:sz w:val="24"/>
          <w:szCs w:val="24"/>
        </w:rPr>
        <w:t>对维修资金账户未开通、余额不足或表决不通过的小区（如百汇园、名人花苑、福华花苑、芳草苑等），各街镇做好居民宣传发动工作，指导业委会依法组织相关业主进行表决，尽快推动维修资金使用。区房管局协调指定开户银行，加快维修资金账户开立流程。对馨宁公寓、新湖云庭等维修资金使用不畅的小区，在主汛期前前置解决漏水问题。</w:t>
      </w:r>
    </w:p>
    <w:p>
      <w:pPr>
        <w:pStyle w:val="3"/>
        <w:keepNext w:val="0"/>
        <w:keepLines w:val="0"/>
        <w:spacing w:before="280" w:after="160"/>
        <w:outlineLvl w:val="1"/>
      </w:pPr>
      <w:r>
        <w:rPr>
          <w:rFonts w:ascii="Arial" w:hAnsi="Arial" w:eastAsia="PingFang SC"/>
          <w:b/>
          <w:bCs/>
          <w:color w:val="1A5276"/>
          <w:sz w:val="28"/>
          <w:szCs w:val="28"/>
        </w:rPr>
        <w:t>（三）强化应急托底，提升处置能力</w:t>
      </w:r>
    </w:p>
    <w:p>
      <w:pPr>
        <w:spacing w:before="0" w:after="100" w:line="360" w:lineRule="auto"/>
        <w:ind w:firstLine="480"/>
        <w:jc w:val="both"/>
      </w:pPr>
      <w:r>
        <w:rPr>
          <w:rFonts w:ascii="Arial" w:hAnsi="Arial" w:eastAsia="PingFang SC"/>
          <w:b w:val="0"/>
          <w:bCs w:val="0"/>
          <w:color w:val="1A1A1A"/>
          <w:sz w:val="24"/>
          <w:szCs w:val="24"/>
        </w:rPr>
        <w:t>徐房维急修中心、徐房建筑实业公司、城投"汇修"三支区级房屋应急维修队伍分片负责极端天气下的"水电堵漏"等应急抢修。区962121热线10个坐席工位保持值守状态，针对积水点多发的衡复、斜土、康健等区域，增配大功率水泵应对极端天气。落实专用抢修车辆12辆、管道疏通机37台、便携式抽水泵68台等防汛装备物资，确保状态完好、随时可用。</w:t>
      </w:r>
    </w:p>
    <w:p>
      <w:pPr>
        <w:pStyle w:val="3"/>
        <w:keepNext w:val="0"/>
        <w:keepLines w:val="0"/>
        <w:spacing w:before="280" w:after="160"/>
        <w:outlineLvl w:val="1"/>
      </w:pPr>
      <w:r>
        <w:rPr>
          <w:rFonts w:ascii="Arial" w:hAnsi="Arial" w:eastAsia="PingFang SC"/>
          <w:b/>
          <w:bCs/>
          <w:color w:val="1A5276"/>
          <w:sz w:val="28"/>
          <w:szCs w:val="28"/>
        </w:rPr>
        <w:t>（四）完善排水体系，防范积水倒灌</w:t>
      </w:r>
    </w:p>
    <w:p>
      <w:pPr>
        <w:spacing w:before="0" w:after="100" w:line="360" w:lineRule="auto"/>
        <w:ind w:firstLine="480"/>
        <w:jc w:val="both"/>
      </w:pPr>
      <w:r>
        <w:rPr>
          <w:rFonts w:ascii="Arial" w:hAnsi="Arial" w:eastAsia="PingFang SC"/>
          <w:b w:val="0"/>
          <w:bCs w:val="0"/>
          <w:color w:val="1A1A1A"/>
          <w:sz w:val="24"/>
          <w:szCs w:val="24"/>
        </w:rPr>
        <w:t>对嘉善路143弄、乌鲁木齐中路361号等反复积水点位，开展排水设施全面排查，使用水槽内窥镜探查管网堵塞隐患。对地势低洼、市政排水倒灌的小区，各街镇梳理易积水点位报告水务部门，如遇汛情提前派车待命并开启排水闸门。督促物业服务企业汛期前全面排查小区排水设施完好情况，重点检查排水泵试运转、截水沟排水连通、排水沟落叶淤泥清理等。</w:t>
      </w:r>
    </w:p>
    <w:p>
      <w:pPr>
        <w:pStyle w:val="3"/>
        <w:keepNext w:val="0"/>
        <w:keepLines w:val="0"/>
        <w:spacing w:before="280" w:after="160"/>
        <w:outlineLvl w:val="1"/>
      </w:pPr>
      <w:r>
        <w:rPr>
          <w:rFonts w:ascii="Arial" w:hAnsi="Arial" w:eastAsia="PingFang SC"/>
          <w:b/>
          <w:bCs/>
          <w:color w:val="1A5276"/>
          <w:sz w:val="28"/>
          <w:szCs w:val="28"/>
        </w:rPr>
        <w:t>（五）加快高坠隐患整治，防范安全事故</w:t>
      </w:r>
    </w:p>
    <w:p>
      <w:pPr>
        <w:spacing w:before="0" w:after="100" w:line="360" w:lineRule="auto"/>
        <w:ind w:firstLine="480"/>
        <w:jc w:val="both"/>
      </w:pPr>
      <w:r>
        <w:rPr>
          <w:rFonts w:ascii="Arial" w:hAnsi="Arial" w:eastAsia="PingFang SC"/>
          <w:b w:val="0"/>
          <w:bCs w:val="0"/>
          <w:color w:val="1A1A1A"/>
          <w:sz w:val="24"/>
          <w:szCs w:val="24"/>
        </w:rPr>
        <w:t>徐汇区43个高坠隐患专项整治小区中，18个已完成整改，6个已纳入2026年度"三旧"变"三新"旧住房修缮项目，19个正在加快推进。对尚未完成整改的小区，督促物业服务企业汛期加强隐患点位巡查，配合居委提醒居民收回室外花盆等易坠物品。对桂平路月季园顶棚松动、龙川北路436弄玻璃掉落等紧急情况，立即安排应急处置。</w:t>
      </w:r>
    </w:p>
    <w:p>
      <w:pPr>
        <w:pStyle w:val="3"/>
        <w:keepNext w:val="0"/>
        <w:keepLines w:val="0"/>
        <w:spacing w:before="280" w:after="160"/>
        <w:outlineLvl w:val="1"/>
      </w:pPr>
      <w:r>
        <w:rPr>
          <w:rFonts w:ascii="Arial" w:hAnsi="Arial" w:eastAsia="PingFang SC"/>
          <w:b/>
          <w:bCs/>
          <w:color w:val="1A5276"/>
          <w:sz w:val="28"/>
          <w:szCs w:val="28"/>
        </w:rPr>
        <w:t>（六）加强绿化树木养护，消除倒伏隐患</w:t>
      </w:r>
    </w:p>
    <w:p>
      <w:pPr>
        <w:spacing w:before="0" w:after="100" w:line="360" w:lineRule="auto"/>
        <w:ind w:firstLine="480"/>
        <w:jc w:val="both"/>
      </w:pPr>
      <w:r>
        <w:rPr>
          <w:rFonts w:ascii="Arial" w:hAnsi="Arial" w:eastAsia="PingFang SC"/>
          <w:b w:val="0"/>
          <w:bCs w:val="0"/>
          <w:color w:val="1A1A1A"/>
          <w:sz w:val="24"/>
          <w:szCs w:val="24"/>
        </w:rPr>
        <w:t>督促物业服务企业对临近架空线或有架空线穿过树枝的树木进行再检查再加固，对存在倾斜、倒伏风险的树木及时采取加固绑扎措施。对梅陇五村枯死大树、老沪闵路439弄树木与电缆穿插等已多次反映但未处置的问题，启动问责机制，限期整改。徐房绿化提前修剪衡复风貌区内绿化树木，谨防树木倒伏断枝导致断电及伤人事故。对复兴中路1237号等补种树木因覆土太浅倒伏的问题，协调相关部门加厚土层或改种灌木。</w:t>
      </w:r>
    </w:p>
    <w:p>
      <w:pPr>
        <w:pStyle w:val="3"/>
        <w:keepNext w:val="0"/>
        <w:keepLines w:val="0"/>
        <w:spacing w:before="280" w:after="160"/>
        <w:outlineLvl w:val="1"/>
      </w:pPr>
      <w:r>
        <w:rPr>
          <w:rFonts w:ascii="Arial" w:hAnsi="Arial" w:eastAsia="PingFang SC"/>
          <w:b/>
          <w:bCs/>
          <w:color w:val="1A5276"/>
          <w:sz w:val="28"/>
          <w:szCs w:val="28"/>
        </w:rPr>
        <w:t>（七）加强物业管理监督，提升服务质量</w:t>
      </w:r>
    </w:p>
    <w:p>
      <w:pPr>
        <w:spacing w:before="0" w:after="100" w:line="360" w:lineRule="auto"/>
        <w:ind w:firstLine="480"/>
        <w:jc w:val="both"/>
      </w:pPr>
      <w:r>
        <w:rPr>
          <w:rFonts w:ascii="Arial" w:hAnsi="Arial" w:eastAsia="PingFang SC"/>
          <w:b w:val="0"/>
          <w:bCs w:val="0"/>
          <w:color w:val="1A1A1A"/>
          <w:sz w:val="24"/>
          <w:szCs w:val="24"/>
        </w:rPr>
        <w:t>对凌云街道等物业不作为、值班不到位的投诉集中区域，由区房管局约谈相关物业企业，督促严格落实防汛防台值班制度和应急预案。将物业企业报修响应情况、防汛值班情况纳入物业服务考核评价体系，对长期不作为的物业企业依法予以处罚或清退。督促各物业服务企业主动配合居委，利用小区电子显示屏、公告栏、微信群等载体加强防台安全宣传，提醒居民自查雨棚、花架、晾衣架和空调外机等室外物品的防风安全。</w:t>
      </w:r>
    </w:p>
    <w:p>
      <w:pPr>
        <w:pStyle w:val="3"/>
        <w:keepNext w:val="0"/>
        <w:keepLines w:val="0"/>
        <w:spacing w:before="280" w:after="160"/>
        <w:outlineLvl w:val="1"/>
      </w:pPr>
      <w:r>
        <w:rPr>
          <w:rFonts w:ascii="Arial" w:hAnsi="Arial" w:eastAsia="PingFang SC"/>
          <w:b/>
          <w:bCs/>
          <w:color w:val="1A5276"/>
          <w:sz w:val="28"/>
          <w:szCs w:val="28"/>
        </w:rPr>
        <w:t>（八）持续跟踪未解决工单，建立闭环管理</w:t>
      </w:r>
    </w:p>
    <w:p>
      <w:pPr>
        <w:spacing w:before="0" w:after="100" w:line="360" w:lineRule="auto"/>
        <w:ind w:firstLine="480"/>
        <w:jc w:val="both"/>
      </w:pPr>
      <w:r>
        <w:rPr>
          <w:rFonts w:ascii="Arial" w:hAnsi="Arial" w:eastAsia="PingFang SC"/>
          <w:b w:val="0"/>
          <w:bCs w:val="0"/>
          <w:color w:val="1A1A1A"/>
          <w:sz w:val="24"/>
          <w:szCs w:val="24"/>
        </w:rPr>
        <w:t>对68件未解决工单建立专项台账，明确责任部门、解决时限和工作方案，实行销号管理。对2025年遗留的2件未解决工单（新湖云庭飘窗漏水、绿邑翠苑渗水维修征询不通过），持续跟进维修资金账户开立和业主表决进度。对2026年新增的未解决工单，区分轻重缓急，紧急安全问题一周内处置完毕，维修资金类问题一个月内取得实质性进展。建立"周报+月结"跟踪机制，确保每件工单都有人管、有人盯、有结果。</w:t>
      </w:r>
    </w:p>
    <w:sectPr>
      <w:footerReference r:id="rId5" w:type="default"/>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Arial">
    <w:panose1 w:val="020B0704020202020204"/>
    <w:charset w:val="00"/>
    <w:family w:val="auto"/>
    <w:pitch w:val="default"/>
    <w:sig w:usb0="E0002AFF" w:usb1="C0007843" w:usb2="00000009" w:usb3="00000000" w:csb0="400001FF" w:csb1="FFFF0000"/>
  </w:font>
  <w:font w:name="PingFang SC">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Arial" w:hAnsi="Arial" w:eastAsia="PingFang SC"/>
        <w:b w:val="0"/>
        <w:bCs w:val="0"/>
        <w:color w:val="999999"/>
        <w:sz w:val="18"/>
        <w:szCs w:val="18"/>
      </w:rPr>
      <w:t xml:space="preserve">第 </w:t>
    </w:r>
    <w:r>
      <w:rPr>
        <w:rFonts w:ascii="Arial" w:hAnsi="Arial" w:eastAsia="PingFang SC"/>
        <w:color w:val="999999"/>
        <w:sz w:val="18"/>
        <w:szCs w:val="18"/>
      </w:rPr>
      <w:fldChar w:fldCharType="begin"/>
    </w:r>
    <w:r>
      <w:rPr>
        <w:rFonts w:ascii="Arial" w:hAnsi="Arial" w:eastAsia="PingFang SC"/>
        <w:color w:val="999999"/>
        <w:sz w:val="18"/>
        <w:szCs w:val="18"/>
      </w:rPr>
      <w:instrText xml:space="preserve">PAGE</w:instrText>
    </w:r>
    <w:r>
      <w:rPr>
        <w:rFonts w:ascii="Arial" w:hAnsi="Arial" w:eastAsia="PingFang SC"/>
        <w:color w:val="999999"/>
        <w:sz w:val="18"/>
        <w:szCs w:val="18"/>
      </w:rPr>
      <w:fldChar w:fldCharType="separate"/>
    </w:r>
    <w:r>
      <w:rPr>
        <w:rFonts w:ascii="Arial" w:hAnsi="Arial" w:eastAsia="PingFang SC"/>
        <w:color w:val="999999"/>
        <w:sz w:val="18"/>
        <w:szCs w:val="18"/>
      </w:rPr>
      <w:fldChar w:fldCharType="end"/>
    </w:r>
    <w:r>
      <w:rPr>
        <w:rFonts w:ascii="Arial" w:hAnsi="Arial" w:eastAsia="PingFang SC"/>
        <w:b w:val="0"/>
        <w:bCs w:val="0"/>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BCFF60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PingFang SC"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Arial" w:hAnsi="Arial" w:eastAsia="PingFang SC"/>
      <w:sz w:val="24"/>
      <w:szCs w:val="24"/>
    </w:rPr>
  </w:style>
  <w:style w:type="paragraph" w:styleId="2">
    <w:name w:val="heading 1"/>
    <w:next w:val="1"/>
    <w:qFormat/>
    <w:uiPriority w:val="0"/>
    <w:pPr>
      <w:keepNext w:val="0"/>
      <w:keepLines w:val="0"/>
      <w:spacing w:before="360" w:after="160"/>
      <w:outlineLvl w:val="0"/>
    </w:pPr>
    <w:rPr>
      <w:rFonts w:ascii="Arial" w:hAnsi="Arial" w:eastAsia="PingFang SC"/>
      <w:b/>
      <w:bCs/>
      <w:color w:val="1A5276"/>
      <w:sz w:val="32"/>
      <w:szCs w:val="32"/>
    </w:rPr>
  </w:style>
  <w:style w:type="paragraph" w:styleId="3">
    <w:name w:val="heading 2"/>
    <w:next w:val="1"/>
    <w:qFormat/>
    <w:uiPriority w:val="0"/>
    <w:pPr>
      <w:keepNext w:val="0"/>
      <w:keepLines w:val="0"/>
      <w:spacing w:before="280" w:after="140"/>
      <w:outlineLvl w:val="1"/>
    </w:pPr>
    <w:rPr>
      <w:rFonts w:ascii="Arial" w:hAnsi="Arial" w:eastAsia="PingFang SC"/>
      <w:b/>
      <w:bCs/>
      <w:color w:val="1A5276"/>
      <w:sz w:val="28"/>
      <w:szCs w:val="28"/>
    </w:rPr>
  </w:style>
  <w:style w:type="paragraph" w:styleId="4">
    <w:name w:val="heading 3"/>
    <w:next w:val="1"/>
    <w:qFormat/>
    <w:uiPriority w:val="0"/>
    <w:pPr>
      <w:keepNext w:val="0"/>
      <w:keepLines w:val="0"/>
      <w:spacing w:before="200" w:after="120"/>
      <w:outlineLvl w:val="2"/>
    </w:pPr>
    <w:rPr>
      <w:rFonts w:ascii="Arial" w:hAnsi="Arial" w:eastAsia="PingFang SC"/>
      <w:b/>
      <w:bCs/>
      <w:color w:val="1A5276"/>
      <w:sz w:val="26"/>
      <w:szCs w:val="26"/>
    </w:rPr>
  </w:style>
  <w:style w:type="paragraph" w:styleId="5">
    <w:name w:val="heading 4"/>
    <w:next w:val="1"/>
    <w:qFormat/>
    <w:uiPriority w:val="0"/>
    <w:rPr>
      <w:rFonts w:ascii="Arial" w:hAnsi="Arial" w:eastAsia="PingFang SC"/>
      <w:i/>
      <w:iCs/>
      <w:color w:val="2E74B5"/>
      <w:sz w:val="24"/>
      <w:szCs w:val="24"/>
    </w:rPr>
  </w:style>
  <w:style w:type="paragraph" w:styleId="6">
    <w:name w:val="heading 5"/>
    <w:next w:val="1"/>
    <w:qFormat/>
    <w:uiPriority w:val="0"/>
    <w:rPr>
      <w:rFonts w:ascii="Arial" w:hAnsi="Arial" w:eastAsia="PingFang SC"/>
      <w:color w:val="2E74B5"/>
      <w:sz w:val="24"/>
      <w:szCs w:val="24"/>
    </w:rPr>
  </w:style>
  <w:style w:type="paragraph" w:styleId="7">
    <w:name w:val="heading 6"/>
    <w:next w:val="1"/>
    <w:qFormat/>
    <w:uiPriority w:val="0"/>
    <w:rPr>
      <w:rFonts w:ascii="Arial" w:hAnsi="Arial" w:eastAsia="PingFang SC"/>
      <w:color w:val="1F4D78"/>
      <w:sz w:val="24"/>
      <w:szCs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PingFang SC"/>
      <w:sz w:val="20"/>
      <w:szCs w:val="20"/>
    </w:rPr>
  </w:style>
  <w:style w:type="paragraph" w:styleId="9">
    <w:name w:val="footnote text"/>
    <w:link w:val="17"/>
    <w:semiHidden/>
    <w:unhideWhenUsed/>
    <w:uiPriority w:val="99"/>
    <w:pPr>
      <w:spacing w:after="0" w:line="240" w:lineRule="auto"/>
    </w:pPr>
    <w:rPr>
      <w:rFonts w:ascii="Arial" w:hAnsi="Arial" w:eastAsia="PingFang SC"/>
      <w:sz w:val="20"/>
      <w:szCs w:val="20"/>
    </w:rPr>
  </w:style>
  <w:style w:type="paragraph" w:styleId="10">
    <w:name w:val="Title"/>
    <w:qFormat/>
    <w:uiPriority w:val="0"/>
    <w:rPr>
      <w:rFonts w:ascii="Arial" w:hAnsi="Arial" w:eastAsia="PingFang SC"/>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PingFang SC"/>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江沂</cp:lastModifiedBy>
  <dcterms:modified xsi:type="dcterms:W3CDTF">2026-08-04T18:31:48Z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A777B55001E364A194BF716A347AD883_42</vt:lpwstr>
  </property>
</Properties>
</file>