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收录课题核心成果十七项，按「课题总览—数据基础与方法—现状与趋势—深度专项—专题分析—结论建议」六篇组织；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件；业务数据涉及纳统小区、电梯、修缮、失信、底部抬升、征收、拆房、测绘等九类。</w:t>
      </w:r>
    </w:p>
    <w:p>
      <w:pPr>
        <w:spacing w:after="60" w:line="324" w:lineRule="auto"/>
        <w:ind w:firstLine="440"/>
      </w:pPr>
      <w:r>
        <w:rPr>
          <w:rFonts w:ascii="宋体" w:hAnsi="宋体" w:eastAsia="宋体"/>
          <w:sz w:val="22"/>
        </w:rPr>
        <w:t>三、统计口径。2026 年统计期统一为 1-8 月，同比一律为同期口径（2026 年 1-8 月 vs 2025 年 1-8 月）；2025 年全年同比保留（2025 年 vs 2024 年），两者标签严格区分。投诉密度统一按「件/千户」计。纳统小区口径以区房管局纳统名单为唯一基准。详细口径见附录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图）。附录清单为全量数据摘录，完整版以随附的 Excel 附件为准。</w:t>
      </w:r>
    </w:p>
    <w:p>
      <w:pPr>
        <w:spacing w:after="60" w:line="324" w:lineRule="auto"/>
        <w:ind w:firstLine="440"/>
      </w:pPr>
      <w:r>
        <w:rPr>
          <w:rFonts w:ascii="宋体" w:hAnsi="宋体" w:eastAsia="宋体"/>
          <w:sz w:val="22"/>
        </w:rPr>
        <w:t>五、随附交付物。本汇编配套 4 份 Excel 全量清单附件：高风险小区评分全量清单、投诉去重建议清单、热线与纳统小区全量匹配表、纳统匹配候选与未匹配清单。</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月对比；2025 年全年同比（2025 年与 2024 年对比）作为独立标签保留，两者不得混用。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-10.8%</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上海栗郡实业有限公司</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-26.5%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上海爱建物业管理有限公司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+119.0%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+462.5%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发现：超大型小区每千户投诉量比小型小区低35%。原因在于：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总量维度：电梯越多投诉总量越高——20台以上小区均值210.9件，是无电梯的4.7倍，因为电梯多的小区通常规模更大（户数更多）。</w:t>
            </w:r>
          </w:p>
          <w:p>
            <w:pPr>
              <w:spacing w:before="20" w:after="20" w:line="288" w:lineRule="auto"/>
            </w:pPr>
            <w:r>
              <w:rPr>
                <w:rFonts w:ascii="宋体" w:hAnsi="宋体" w:eastAsia="宋体"/>
                <w:sz w:val="20"/>
              </w:rPr>
              <w:t>② 每千户维度：结论反转——无电梯小区每千户投诉176.0件为最高，20台以上小区仅130.1件为最低（低26.1%），说明有电梯的大型小区单位治理效率更好。</w:t>
            </w:r>
          </w:p>
          <w:p>
            <w:pPr>
              <w:spacing w:before="20" w:after="20" w:line="288" w:lineRule="auto"/>
            </w:pPr>
            <w:r>
              <w:rPr>
                <w:rFonts w:ascii="宋体" w:hAnsi="宋体" w:eastAsia="宋体"/>
                <w:sz w:val="20"/>
              </w:rPr>
              <w:t>③ 趋势维度：有电梯小区2025年同比-1.5%，无电梯+41.9%——电梯小区治理态势更稳。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无电梯≠无电梯投诉：738个无电梯小区中295个（40%）仍有电梯相关投诉，主要是加装诉求（1,672件，占电梯投诉38.7%）——多层住宅居民强烈要求加装电梯是最大矛盾。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125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上海轻工物业管理有限公司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上海华晅投资管理有限公司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7</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上海抚远物业管理有限公司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上海益镇物业管理有限公司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9</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上海锐翔上房物业管理有限公司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上海汇虹物业管理有限公司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上海万科物业服务有限公司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保利城市建设服务有限公司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绿城物业服务集团有限公司上海分公司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上海中誉物业管理有限公司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+0.0%</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上海中誉物业管理有限公司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近期治理建议：2026年1-8月整体降幅-15.7%，但8月单月同比转为上升（+2.8%），治理红利正在消退。建议：(1)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件，较 2024 年的 29,468 件下降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w:t>
      </w:r>
    </w:p>
    <w:p>
      <w:pPr>
        <w:spacing w:after="60" w:line="324" w:lineRule="auto"/>
      </w:pPr>
      <w:r>
        <w:rPr>
          <w:rFonts w:ascii="宋体" w:hAnsi="宋体" w:eastAsia="宋体"/>
          <w:sz w:val="22"/>
        </w:rPr>
        <w:t>① 本成果汇编（正文）；</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全部文件存放于交付物目录，以下逐项列出。另有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