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lang w:eastAsia="zh-CN"/>
        </w:rPr>
      </w:pPr>
      <w:r>
        <w:rPr>
          <w:rFonts w:ascii="华文中宋" w:hAnsi="华文中宋" w:eastAsia="华文中宋"/>
          <w:b/>
          <w:sz w:val="36"/>
          <w:lang w:eastAsia="zh-CN"/>
        </w:rPr>
        <w:t>2025-2026年停车管理类工单分析报告</w:t>
      </w:r>
    </w:p>
    <w:p>
      <w:pPr>
        <w:rPr>
          <w:lang w:eastAsia="zh-CN"/>
        </w:rPr>
      </w:pPr>
      <w:r>
        <w:rPr>
          <w:rFonts w:ascii="黑体" w:hAnsi="黑体" w:eastAsia="黑体"/>
          <w:b/>
          <w:sz w:val="32"/>
          <w:lang w:eastAsia="zh-CN"/>
        </w:rPr>
        <w:t>一、2025年停车管理类工单情况</w:t>
      </w:r>
    </w:p>
    <w:p>
      <w:r>
        <w:rPr>
          <w:rFonts w:ascii="楷体_GB2312" w:hAnsi="楷体_GB2312" w:eastAsia="楷体_GB2312"/>
          <w:b/>
          <w:sz w:val="32"/>
        </w:rPr>
        <w:t>（一）整体情况</w:t>
      </w:r>
    </w:p>
    <w:p>
      <w:pPr>
        <w:ind w:firstLine="640" w:firstLineChars="200"/>
        <w:rPr>
          <w:rFonts w:ascii="仿宋_GB2312" w:hAnsi="仿宋_GB2312" w:eastAsia="仿宋_GB2312"/>
          <w:sz w:val="32"/>
          <w:lang w:eastAsia="zh-CN"/>
        </w:rPr>
      </w:pPr>
      <w:r>
        <w:rPr>
          <w:rFonts w:hint="eastAsia" w:ascii="仿宋_GB2312" w:hAnsi="仿宋_GB2312" w:eastAsia="仿宋_GB2312"/>
          <w:sz w:val="32"/>
          <w:lang w:eastAsia="zh-CN"/>
        </w:rPr>
        <w:t>徐汇区现有住宅小区985个，涉及物业服务企业250家。根据区城运中心数据统计，2025年，物业治理物业日常管理类工单6776条，涉及</w:t>
      </w:r>
      <w:r>
        <w:rPr>
          <w:rFonts w:ascii="仿宋_GB2312" w:hAnsi="仿宋_GB2312" w:eastAsia="仿宋_GB2312"/>
          <w:sz w:val="32"/>
          <w:lang w:eastAsia="zh-CN"/>
        </w:rPr>
        <w:t xml:space="preserve"> </w:t>
      </w:r>
      <w:r>
        <w:rPr>
          <w:rFonts w:hint="eastAsia" w:ascii="仿宋_GB2312" w:hAnsi="仿宋_GB2312" w:eastAsia="仿宋_GB2312"/>
          <w:sz w:val="32"/>
          <w:lang w:eastAsia="zh-CN"/>
        </w:rPr>
        <w:t>770</w:t>
      </w:r>
      <w:r>
        <w:rPr>
          <w:rFonts w:ascii="仿宋_GB2312" w:hAnsi="仿宋_GB2312" w:eastAsia="仿宋_GB2312"/>
          <w:sz w:val="32"/>
          <w:lang w:eastAsia="zh-CN"/>
        </w:rPr>
        <w:t xml:space="preserve"> 个小区</w:t>
      </w:r>
      <w:r>
        <w:rPr>
          <w:rFonts w:hint="eastAsia" w:ascii="仿宋_GB2312" w:hAnsi="仿宋_GB2312" w:eastAsia="仿宋_GB2312"/>
          <w:sz w:val="32"/>
          <w:lang w:eastAsia="zh-CN"/>
        </w:rPr>
        <w:t>，占比78.17%；涉及物业服务企业227家，占比90.8%。</w:t>
      </w:r>
    </w:p>
    <w:p>
      <w:pPr>
        <w:rPr>
          <w:lang w:eastAsia="zh-CN"/>
        </w:rPr>
      </w:pPr>
      <w:r>
        <w:rPr>
          <w:rFonts w:ascii="楷体_GB2312" w:hAnsi="楷体_GB2312" w:eastAsia="楷体_GB2312"/>
          <w:b/>
          <w:sz w:val="32"/>
          <w:lang w:eastAsia="zh-CN"/>
        </w:rPr>
        <w:t>（二）多维度分析</w:t>
      </w:r>
    </w:p>
    <w:p>
      <w:pPr>
        <w:rPr>
          <w:lang w:eastAsia="zh-CN"/>
        </w:rPr>
      </w:pPr>
      <w:r>
        <w:rPr>
          <w:rFonts w:ascii="仿宋_GB2312" w:hAnsi="仿宋_GB2312" w:eastAsia="仿宋_GB2312"/>
          <w:b/>
          <w:sz w:val="32"/>
          <w:lang w:eastAsia="zh-CN"/>
        </w:rPr>
        <w:t>1. 按工单量分布情况分析</w:t>
      </w:r>
    </w:p>
    <w:p>
      <w:pPr>
        <w:rPr>
          <w:rFonts w:ascii="仿宋_GB2312" w:hAnsi="仿宋_GB2312" w:eastAsia="仿宋_GB2312"/>
          <w:b/>
          <w:sz w:val="32"/>
          <w:lang w:eastAsia="zh-CN"/>
        </w:rPr>
      </w:pPr>
      <w:r>
        <w:rPr>
          <w:rFonts w:ascii="仿宋_GB2312" w:hAnsi="仿宋_GB2312" w:eastAsia="仿宋_GB2312"/>
          <w:b/>
          <w:sz w:val="32"/>
          <w:lang w:eastAsia="zh-CN"/>
        </w:rPr>
        <w:t>（1）按诉求类别分布情况分析</w:t>
      </w:r>
    </w:p>
    <w:p>
      <w:pPr>
        <w:spacing w:before="120" w:after="120" w:line="288" w:lineRule="auto"/>
        <w:ind w:firstLine="600"/>
        <w:rPr>
          <w:rFonts w:ascii="仿宋_GB2312" w:hAnsi="仿宋_GB2312" w:eastAsia="仿宋_GB2312" w:cs="仿宋_GB2312"/>
          <w:sz w:val="30"/>
          <w:szCs w:val="30"/>
          <w:lang w:eastAsia="zh-CN"/>
        </w:rPr>
      </w:pPr>
      <w:r>
        <w:rPr>
          <w:rFonts w:hint="eastAsia" w:ascii="仿宋_GB2312" w:hAnsi="仿宋_GB2312" w:eastAsia="仿宋_GB2312" w:cs="仿宋_GB2312"/>
          <w:sz w:val="32"/>
          <w:szCs w:val="32"/>
          <w:lang w:eastAsia="zh-CN"/>
        </w:rPr>
        <w:t>将上述6776件归纳为17类,</w:t>
      </w:r>
      <w:r>
        <w:rPr>
          <w:rFonts w:ascii="仿宋_GB2312" w:hAnsi="仿宋_GB2312" w:eastAsia="仿宋_GB2312" w:cs="仿宋_GB2312"/>
          <w:sz w:val="32"/>
          <w:szCs w:val="32"/>
          <w:lang w:eastAsia="zh-CN"/>
        </w:rPr>
        <w:t xml:space="preserve"> </w:t>
      </w:r>
      <w:r>
        <w:rPr>
          <w:rFonts w:hint="eastAsia" w:ascii="仿宋_GB2312" w:hAnsi="仿宋_GB2312" w:eastAsia="仿宋_GB2312" w:cs="仿宋_GB2312"/>
          <w:sz w:val="32"/>
          <w:szCs w:val="32"/>
          <w:lang w:eastAsia="zh-CN"/>
        </w:rPr>
        <w:t>其中，物业日常事务类</w:t>
      </w:r>
      <w:r>
        <w:rPr>
          <w:rFonts w:ascii="仿宋_GB2312" w:hAnsi="仿宋_GB2312" w:eastAsia="仿宋_GB2312" w:cs="仿宋_GB2312"/>
          <w:sz w:val="32"/>
          <w:szCs w:val="32"/>
          <w:lang w:eastAsia="zh-CN"/>
        </w:rPr>
        <w:t>2751</w:t>
      </w:r>
      <w:r>
        <w:rPr>
          <w:rFonts w:hint="eastAsia" w:ascii="仿宋_GB2312" w:hAnsi="仿宋_GB2312" w:eastAsia="仿宋_GB2312" w:cs="仿宋_GB2312"/>
          <w:sz w:val="32"/>
          <w:szCs w:val="32"/>
          <w:lang w:eastAsia="zh-CN"/>
        </w:rPr>
        <w:t>件，同比下降</w:t>
      </w:r>
      <w:r>
        <w:rPr>
          <w:rFonts w:ascii="仿宋_GB2312" w:hAnsi="仿宋_GB2312" w:eastAsia="仿宋_GB2312" w:cs="仿宋_GB2312"/>
          <w:sz w:val="32"/>
          <w:szCs w:val="32"/>
          <w:lang w:eastAsia="zh-CN"/>
        </w:rPr>
        <w:t>32.57%</w:t>
      </w:r>
      <w:r>
        <w:rPr>
          <w:rFonts w:hint="eastAsia" w:ascii="仿宋_GB2312" w:hAnsi="仿宋_GB2312" w:eastAsia="仿宋_GB2312" w:cs="仿宋_GB2312"/>
          <w:sz w:val="32"/>
          <w:szCs w:val="32"/>
          <w:lang w:eastAsia="zh-CN"/>
        </w:rPr>
        <w:t>；绿化养护修剪类</w:t>
      </w:r>
      <w:r>
        <w:rPr>
          <w:rFonts w:ascii="仿宋_GB2312" w:hAnsi="仿宋_GB2312" w:eastAsia="仿宋_GB2312" w:cs="仿宋_GB2312"/>
          <w:sz w:val="32"/>
          <w:szCs w:val="32"/>
          <w:lang w:eastAsia="zh-CN"/>
        </w:rPr>
        <w:t>740</w:t>
      </w:r>
      <w:r>
        <w:rPr>
          <w:rFonts w:hint="eastAsia" w:ascii="仿宋_GB2312" w:hAnsi="仿宋_GB2312" w:eastAsia="仿宋_GB2312" w:cs="仿宋_GB2312"/>
          <w:sz w:val="32"/>
          <w:szCs w:val="32"/>
          <w:lang w:eastAsia="zh-CN"/>
        </w:rPr>
        <w:t>件，同比下降</w:t>
      </w:r>
      <w:r>
        <w:rPr>
          <w:rFonts w:ascii="仿宋_GB2312" w:hAnsi="仿宋_GB2312" w:eastAsia="仿宋_GB2312" w:cs="仿宋_GB2312"/>
          <w:sz w:val="32"/>
          <w:szCs w:val="32"/>
          <w:lang w:eastAsia="zh-CN"/>
        </w:rPr>
        <w:t>26.81%</w:t>
      </w:r>
      <w:r>
        <w:rPr>
          <w:rFonts w:hint="eastAsia" w:ascii="仿宋_GB2312" w:hAnsi="仿宋_GB2312" w:eastAsia="仿宋_GB2312" w:cs="仿宋_GB2312"/>
          <w:sz w:val="32"/>
          <w:szCs w:val="32"/>
          <w:lang w:eastAsia="zh-CN"/>
        </w:rPr>
        <w:t>；物业维修类</w:t>
      </w:r>
      <w:r>
        <w:rPr>
          <w:rFonts w:ascii="仿宋_GB2312" w:hAnsi="仿宋_GB2312" w:eastAsia="仿宋_GB2312" w:cs="仿宋_GB2312"/>
          <w:sz w:val="32"/>
          <w:szCs w:val="32"/>
          <w:lang w:eastAsia="zh-CN"/>
        </w:rPr>
        <w:t>896</w:t>
      </w:r>
      <w:r>
        <w:rPr>
          <w:rFonts w:hint="eastAsia" w:ascii="仿宋_GB2312" w:hAnsi="仿宋_GB2312" w:eastAsia="仿宋_GB2312" w:cs="仿宋_GB2312"/>
          <w:sz w:val="32"/>
          <w:szCs w:val="32"/>
          <w:lang w:eastAsia="zh-CN"/>
        </w:rPr>
        <w:t>件，同比上升</w:t>
      </w:r>
      <w:r>
        <w:rPr>
          <w:rFonts w:ascii="仿宋_GB2312" w:hAnsi="仿宋_GB2312" w:eastAsia="仿宋_GB2312" w:cs="仿宋_GB2312"/>
          <w:sz w:val="32"/>
          <w:szCs w:val="32"/>
          <w:lang w:eastAsia="zh-CN"/>
        </w:rPr>
        <w:t>5.54%</w:t>
      </w:r>
      <w:r>
        <w:rPr>
          <w:rFonts w:hint="eastAsia" w:ascii="仿宋_GB2312" w:hAnsi="仿宋_GB2312" w:eastAsia="仿宋_GB2312" w:cs="仿宋_GB2312"/>
          <w:sz w:val="32"/>
          <w:szCs w:val="32"/>
          <w:lang w:eastAsia="zh-CN"/>
        </w:rPr>
        <w:t>；设施改建类</w:t>
      </w:r>
      <w:r>
        <w:rPr>
          <w:rFonts w:ascii="仿宋_GB2312" w:hAnsi="仿宋_GB2312" w:eastAsia="仿宋_GB2312" w:cs="仿宋_GB2312"/>
          <w:sz w:val="32"/>
          <w:szCs w:val="32"/>
          <w:lang w:eastAsia="zh-CN"/>
        </w:rPr>
        <w:t>436</w:t>
      </w:r>
      <w:r>
        <w:rPr>
          <w:rFonts w:hint="eastAsia" w:ascii="仿宋_GB2312" w:hAnsi="仿宋_GB2312" w:eastAsia="仿宋_GB2312" w:cs="仿宋_GB2312"/>
          <w:sz w:val="32"/>
          <w:szCs w:val="32"/>
          <w:lang w:eastAsia="zh-CN"/>
        </w:rPr>
        <w:t>件，同比上升</w:t>
      </w:r>
      <w:r>
        <w:rPr>
          <w:rFonts w:ascii="仿宋_GB2312" w:hAnsi="仿宋_GB2312" w:eastAsia="仿宋_GB2312" w:cs="仿宋_GB2312"/>
          <w:sz w:val="32"/>
          <w:szCs w:val="32"/>
          <w:lang w:eastAsia="zh-CN"/>
        </w:rPr>
        <w:t>22.13%</w:t>
      </w:r>
      <w:r>
        <w:rPr>
          <w:rFonts w:hint="eastAsia" w:ascii="仿宋_GB2312" w:hAnsi="仿宋_GB2312" w:eastAsia="仿宋_GB2312" w:cs="仿宋_GB2312"/>
          <w:sz w:val="32"/>
          <w:szCs w:val="32"/>
          <w:lang w:eastAsia="zh-CN"/>
        </w:rPr>
        <w:t>；物业纠纷类</w:t>
      </w:r>
      <w:r>
        <w:rPr>
          <w:rFonts w:ascii="仿宋_GB2312" w:hAnsi="仿宋_GB2312" w:eastAsia="仿宋_GB2312" w:cs="仿宋_GB2312"/>
          <w:sz w:val="32"/>
          <w:szCs w:val="32"/>
          <w:lang w:eastAsia="zh-CN"/>
        </w:rPr>
        <w:t>335</w:t>
      </w:r>
      <w:r>
        <w:rPr>
          <w:rFonts w:hint="eastAsia" w:ascii="仿宋_GB2312" w:hAnsi="仿宋_GB2312" w:eastAsia="仿宋_GB2312" w:cs="仿宋_GB2312"/>
          <w:sz w:val="32"/>
          <w:szCs w:val="32"/>
          <w:lang w:eastAsia="zh-CN"/>
        </w:rPr>
        <w:t>件，同比上升</w:t>
      </w:r>
      <w:r>
        <w:rPr>
          <w:rFonts w:ascii="仿宋_GB2312" w:hAnsi="仿宋_GB2312" w:eastAsia="仿宋_GB2312" w:cs="仿宋_GB2312"/>
          <w:sz w:val="32"/>
          <w:szCs w:val="32"/>
          <w:lang w:eastAsia="zh-CN"/>
        </w:rPr>
        <w:t>60.29%</w:t>
      </w:r>
      <w:r>
        <w:rPr>
          <w:rFonts w:hint="eastAsia" w:ascii="仿宋_GB2312" w:hAnsi="仿宋_GB2312" w:eastAsia="仿宋_GB2312" w:cs="仿宋_GB2312"/>
          <w:sz w:val="32"/>
          <w:szCs w:val="32"/>
          <w:lang w:eastAsia="zh-CN"/>
        </w:rPr>
        <w:t>；物业费类</w:t>
      </w:r>
      <w:r>
        <w:rPr>
          <w:rFonts w:ascii="仿宋_GB2312" w:hAnsi="仿宋_GB2312" w:eastAsia="仿宋_GB2312" w:cs="仿宋_GB2312"/>
          <w:sz w:val="32"/>
          <w:szCs w:val="32"/>
          <w:lang w:eastAsia="zh-CN"/>
        </w:rPr>
        <w:t>302</w:t>
      </w:r>
      <w:r>
        <w:rPr>
          <w:rFonts w:hint="eastAsia" w:ascii="仿宋_GB2312" w:hAnsi="仿宋_GB2312" w:eastAsia="仿宋_GB2312" w:cs="仿宋_GB2312"/>
          <w:sz w:val="32"/>
          <w:szCs w:val="32"/>
          <w:lang w:eastAsia="zh-CN"/>
        </w:rPr>
        <w:t>件，同比上升</w:t>
      </w:r>
      <w:r>
        <w:rPr>
          <w:rFonts w:ascii="仿宋_GB2312" w:hAnsi="仿宋_GB2312" w:eastAsia="仿宋_GB2312" w:cs="仿宋_GB2312"/>
          <w:sz w:val="32"/>
          <w:szCs w:val="32"/>
          <w:lang w:eastAsia="zh-CN"/>
        </w:rPr>
        <w:t>19.84%</w:t>
      </w:r>
      <w:r>
        <w:rPr>
          <w:rFonts w:hint="eastAsia" w:ascii="仿宋_GB2312" w:hAnsi="仿宋_GB2312" w:eastAsia="仿宋_GB2312" w:cs="仿宋_GB2312"/>
          <w:sz w:val="32"/>
          <w:szCs w:val="32"/>
          <w:lang w:eastAsia="zh-CN"/>
        </w:rPr>
        <w:t>；安保类</w:t>
      </w:r>
      <w:r>
        <w:rPr>
          <w:rFonts w:ascii="仿宋_GB2312" w:hAnsi="仿宋_GB2312" w:eastAsia="仿宋_GB2312" w:cs="仿宋_GB2312"/>
          <w:sz w:val="32"/>
          <w:szCs w:val="32"/>
          <w:lang w:eastAsia="zh-CN"/>
        </w:rPr>
        <w:t>163</w:t>
      </w:r>
      <w:r>
        <w:rPr>
          <w:rFonts w:hint="eastAsia" w:ascii="仿宋_GB2312" w:hAnsi="仿宋_GB2312" w:eastAsia="仿宋_GB2312" w:cs="仿宋_GB2312"/>
          <w:sz w:val="32"/>
          <w:szCs w:val="32"/>
          <w:lang w:eastAsia="zh-CN"/>
        </w:rPr>
        <w:t>件，同比上升</w:t>
      </w:r>
      <w:r>
        <w:rPr>
          <w:rFonts w:ascii="仿宋_GB2312" w:hAnsi="仿宋_GB2312" w:eastAsia="仿宋_GB2312" w:cs="仿宋_GB2312"/>
          <w:sz w:val="32"/>
          <w:szCs w:val="32"/>
          <w:lang w:eastAsia="zh-CN"/>
        </w:rPr>
        <w:t>49.54%</w:t>
      </w:r>
      <w:r>
        <w:rPr>
          <w:rFonts w:hint="eastAsia" w:ascii="仿宋_GB2312" w:hAnsi="仿宋_GB2312" w:eastAsia="仿宋_GB2312" w:cs="仿宋_GB2312"/>
          <w:sz w:val="32"/>
          <w:szCs w:val="32"/>
          <w:lang w:eastAsia="zh-CN"/>
        </w:rPr>
        <w:t>，详细情况见下表</w:t>
      </w:r>
      <w:r>
        <w:rPr>
          <w:rFonts w:hint="eastAsia" w:ascii="仿宋_GB2312" w:hAnsi="仿宋_GB2312" w:eastAsia="仿宋_GB2312" w:cs="仿宋_GB2312"/>
          <w:sz w:val="30"/>
          <w:szCs w:val="30"/>
          <w:lang w:eastAsia="zh-CN"/>
        </w:rPr>
        <w:t>。</w:t>
      </w:r>
    </w:p>
    <w:tbl>
      <w:tblPr>
        <w:tblStyle w:val="35"/>
        <w:tblW w:w="8960" w:type="dxa"/>
        <w:tblInd w:w="93" w:type="dxa"/>
        <w:tblLayout w:type="autofit"/>
        <w:tblCellMar>
          <w:top w:w="0" w:type="dxa"/>
          <w:left w:w="108" w:type="dxa"/>
          <w:bottom w:w="0" w:type="dxa"/>
          <w:right w:w="108" w:type="dxa"/>
        </w:tblCellMar>
      </w:tblPr>
      <w:tblGrid>
        <w:gridCol w:w="1080"/>
        <w:gridCol w:w="3100"/>
        <w:gridCol w:w="1720"/>
        <w:gridCol w:w="1660"/>
        <w:gridCol w:w="1400"/>
      </w:tblGrid>
      <w:tr>
        <w:trPr>
          <w:trHeight w:val="270" w:hRule="atLeast"/>
        </w:trPr>
        <w:tc>
          <w:tcPr>
            <w:tcW w:w="108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序号</w:t>
            </w:r>
          </w:p>
        </w:tc>
        <w:tc>
          <w:tcPr>
            <w:tcW w:w="310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诉求类别</w:t>
            </w:r>
          </w:p>
        </w:tc>
        <w:tc>
          <w:tcPr>
            <w:tcW w:w="172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2025年数量</w:t>
            </w:r>
          </w:p>
        </w:tc>
        <w:tc>
          <w:tcPr>
            <w:tcW w:w="166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2024年数量</w:t>
            </w:r>
          </w:p>
        </w:tc>
        <w:tc>
          <w:tcPr>
            <w:tcW w:w="140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同比变化</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2751</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4110</w:t>
            </w:r>
          </w:p>
        </w:tc>
        <w:tc>
          <w:tcPr>
            <w:tcW w:w="14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-33.07%</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非直管公房物业维修养护</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896</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849</w:t>
            </w:r>
          </w:p>
        </w:tc>
        <w:tc>
          <w:tcPr>
            <w:tcW w:w="14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5.54%</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绿化养护、修剪</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740</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1011</w:t>
            </w:r>
          </w:p>
        </w:tc>
        <w:tc>
          <w:tcPr>
            <w:tcW w:w="14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-26.81%</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改建设施</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436</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357</w:t>
            </w:r>
          </w:p>
        </w:tc>
        <w:tc>
          <w:tcPr>
            <w:tcW w:w="14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22.13%</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门卫保安</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351</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353</w:t>
            </w:r>
          </w:p>
        </w:tc>
        <w:tc>
          <w:tcPr>
            <w:tcW w:w="14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-0.57%</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物业纠纷</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335</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209</w:t>
            </w:r>
          </w:p>
        </w:tc>
        <w:tc>
          <w:tcPr>
            <w:tcW w:w="14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60.29%</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物业管理费</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302</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252</w:t>
            </w:r>
          </w:p>
        </w:tc>
        <w:tc>
          <w:tcPr>
            <w:tcW w:w="14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19.84%</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维修资金使用管理</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268</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249</w:t>
            </w:r>
          </w:p>
        </w:tc>
        <w:tc>
          <w:tcPr>
            <w:tcW w:w="14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7.63%</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增设设施</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198</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270</w:t>
            </w:r>
          </w:p>
        </w:tc>
        <w:tc>
          <w:tcPr>
            <w:tcW w:w="14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-26.67%</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直管公房物业维修养护</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183</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273</w:t>
            </w:r>
          </w:p>
        </w:tc>
        <w:tc>
          <w:tcPr>
            <w:tcW w:w="14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-32.97%</w:t>
            </w:r>
          </w:p>
        </w:tc>
      </w:tr>
      <w:tr>
        <w:trPr>
          <w:trHeight w:val="270" w:hRule="atLeast"/>
        </w:trPr>
        <w:tc>
          <w:tcPr>
            <w:tcW w:w="1080" w:type="dxa"/>
            <w:tcBorders>
              <w:top w:val="single" w:color="auto" w:sz="4" w:space="0"/>
              <w:left w:val="single" w:color="auto" w:sz="4"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11</w:t>
            </w:r>
          </w:p>
        </w:tc>
        <w:tc>
          <w:tcPr>
            <w:tcW w:w="3100"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安保管理</w:t>
            </w:r>
          </w:p>
        </w:tc>
        <w:tc>
          <w:tcPr>
            <w:tcW w:w="1720"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163</w:t>
            </w:r>
          </w:p>
        </w:tc>
        <w:tc>
          <w:tcPr>
            <w:tcW w:w="1660"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109</w:t>
            </w:r>
          </w:p>
        </w:tc>
        <w:tc>
          <w:tcPr>
            <w:tcW w:w="1400" w:type="dxa"/>
            <w:tcBorders>
              <w:top w:val="single" w:color="auto" w:sz="4" w:space="0"/>
              <w:left w:val="single" w:color="auto" w:sz="6"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49.54%</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12</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绿化调整</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114</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160</w:t>
            </w:r>
          </w:p>
        </w:tc>
        <w:tc>
          <w:tcPr>
            <w:tcW w:w="14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-28.75%</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13</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小区积水</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15</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89</w:t>
            </w:r>
          </w:p>
        </w:tc>
        <w:tc>
          <w:tcPr>
            <w:tcW w:w="14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-83.15%</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14</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垃圾收集点环境卫生</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11</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w:t>
            </w:r>
          </w:p>
        </w:tc>
        <w:tc>
          <w:tcPr>
            <w:tcW w:w="14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10.00%</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15</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小区树木倒伏</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136</w:t>
            </w:r>
          </w:p>
        </w:tc>
        <w:tc>
          <w:tcPr>
            <w:tcW w:w="14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-92.65%</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16</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962121投诉</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w:t>
            </w:r>
          </w:p>
        </w:tc>
        <w:tc>
          <w:tcPr>
            <w:tcW w:w="14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100.00%</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17</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962121报修</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w:t>
            </w:r>
          </w:p>
        </w:tc>
        <w:tc>
          <w:tcPr>
            <w:tcW w:w="14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0.00%</w:t>
            </w:r>
          </w:p>
        </w:tc>
      </w:tr>
    </w:tbl>
    <w:p>
      <w:pPr>
        <w:pStyle w:val="2"/>
        <w:ind w:left="440"/>
        <w:rPr>
          <w:rFonts w:eastAsia="宋体"/>
          <w:lang w:eastAsia="zh-CN"/>
        </w:rPr>
      </w:pPr>
    </w:p>
    <w:p>
      <w:pPr>
        <w:spacing w:before="120" w:after="120" w:line="288" w:lineRule="auto"/>
        <w:rPr>
          <w:rFonts w:ascii="仿宋_GB2312" w:hAnsi="仿宋_GB2312" w:eastAsia="仿宋_GB2312" w:cs="仿宋_GB2312"/>
          <w:b/>
          <w:bCs/>
          <w:color w:val="1C4A83"/>
          <w:sz w:val="30"/>
          <w:szCs w:val="30"/>
          <w:lang w:eastAsia="zh-CN"/>
        </w:rPr>
      </w:pPr>
      <w:r>
        <w:rPr>
          <w:lang w:eastAsia="zh-CN"/>
        </w:rPr>
        <w:drawing>
          <wp:inline distT="0" distB="0" distL="0" distR="0">
            <wp:extent cx="5486400" cy="5415280"/>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486400" cy="5415280"/>
                    </a:xfrm>
                    <a:prstGeom prst="rect">
                      <a:avLst/>
                    </a:prstGeom>
                  </pic:spPr>
                </pic:pic>
              </a:graphicData>
            </a:graphic>
          </wp:inline>
        </w:drawing>
      </w:r>
    </w:p>
    <w:p>
      <w:pPr>
        <w:jc w:val="center"/>
        <w:rPr>
          <w:rFonts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b/>
          <w:bCs/>
          <w:sz w:val="30"/>
          <w:szCs w:val="30"/>
          <w:lang w:eastAsia="zh-CN"/>
        </w:rPr>
        <w:t>图表：</w:t>
      </w:r>
      <w:r>
        <w:rPr>
          <w:rFonts w:hint="eastAsia" w:ascii="仿宋_GB2312" w:hAnsi="仿宋_GB2312" w:eastAsia="仿宋_GB2312" w:cs="仿宋_GB2312"/>
          <w:sz w:val="30"/>
          <w:szCs w:val="30"/>
          <w:lang w:eastAsia="zh-CN"/>
        </w:rPr>
        <w:t>物业日常管理类工单诉求分布）</w:t>
      </w:r>
    </w:p>
    <w:p>
      <w:pPr>
        <w:rPr>
          <w:rFonts w:ascii="仿宋_GB2312" w:hAnsi="仿宋_GB2312" w:eastAsia="仿宋_GB2312"/>
          <w:b/>
          <w:sz w:val="32"/>
          <w:lang w:eastAsia="zh-CN"/>
        </w:rPr>
      </w:pPr>
    </w:p>
    <w:p>
      <w:pPr>
        <w:numPr>
          <w:ilvl w:val="0"/>
          <w:numId w:val="7"/>
        </w:numPr>
        <w:rPr>
          <w:rFonts w:ascii="仿宋_GB2312" w:hAnsi="仿宋_GB2312" w:eastAsia="仿宋_GB2312"/>
          <w:b/>
          <w:sz w:val="32"/>
        </w:rPr>
      </w:pPr>
      <w:r>
        <w:rPr>
          <w:rFonts w:ascii="仿宋_GB2312" w:hAnsi="仿宋_GB2312" w:eastAsia="仿宋_GB2312"/>
          <w:b/>
          <w:sz w:val="32"/>
        </w:rPr>
        <w:t>按月度分布情况分析</w:t>
      </w:r>
    </w:p>
    <w:p>
      <w:pPr>
        <w:ind w:firstLine="420"/>
        <w:rPr>
          <w:lang w:eastAsia="zh-CN"/>
        </w:rPr>
      </w:pPr>
      <w:r>
        <w:rPr>
          <w:rFonts w:ascii="仿宋_GB2312" w:hAnsi="仿宋_GB2312" w:eastAsia="仿宋_GB2312"/>
          <w:sz w:val="32"/>
          <w:lang w:eastAsia="zh-CN"/>
        </w:rPr>
        <w:t>诉求较高的前三个月为</w:t>
      </w:r>
      <w:r>
        <w:rPr>
          <w:rFonts w:hint="eastAsia" w:ascii="仿宋_GB2312" w:hAnsi="仿宋_GB2312" w:eastAsia="仿宋_GB2312"/>
          <w:sz w:val="32"/>
          <w:lang w:eastAsia="zh-CN"/>
        </w:rPr>
        <w:t>7</w:t>
      </w:r>
      <w:r>
        <w:rPr>
          <w:rFonts w:ascii="仿宋_GB2312" w:hAnsi="仿宋_GB2312" w:eastAsia="仿宋_GB2312"/>
          <w:sz w:val="32"/>
          <w:lang w:eastAsia="zh-CN"/>
        </w:rPr>
        <w:t>月</w:t>
      </w:r>
      <w:r>
        <w:rPr>
          <w:rFonts w:hint="eastAsia" w:ascii="仿宋_GB2312" w:hAnsi="仿宋_GB2312" w:eastAsia="仿宋_GB2312"/>
          <w:sz w:val="32"/>
          <w:lang w:eastAsia="zh-CN"/>
        </w:rPr>
        <w:t>（621件）</w:t>
      </w:r>
      <w:r>
        <w:rPr>
          <w:rFonts w:ascii="仿宋_GB2312" w:hAnsi="仿宋_GB2312" w:eastAsia="仿宋_GB2312"/>
          <w:sz w:val="32"/>
          <w:lang w:eastAsia="zh-CN"/>
        </w:rPr>
        <w:t>、</w:t>
      </w:r>
      <w:r>
        <w:rPr>
          <w:rFonts w:hint="eastAsia" w:ascii="仿宋_GB2312" w:hAnsi="仿宋_GB2312" w:eastAsia="仿宋_GB2312"/>
          <w:sz w:val="32"/>
          <w:lang w:eastAsia="zh-CN"/>
        </w:rPr>
        <w:t>9</w:t>
      </w:r>
      <w:r>
        <w:rPr>
          <w:rFonts w:ascii="仿宋_GB2312" w:hAnsi="仿宋_GB2312" w:eastAsia="仿宋_GB2312"/>
          <w:sz w:val="32"/>
          <w:lang w:eastAsia="zh-CN"/>
        </w:rPr>
        <w:t>月</w:t>
      </w:r>
      <w:r>
        <w:rPr>
          <w:rFonts w:hint="eastAsia" w:ascii="仿宋_GB2312" w:hAnsi="仿宋_GB2312" w:eastAsia="仿宋_GB2312"/>
          <w:sz w:val="32"/>
          <w:lang w:eastAsia="zh-CN"/>
        </w:rPr>
        <w:t>（613件）</w:t>
      </w:r>
      <w:r>
        <w:rPr>
          <w:rFonts w:ascii="仿宋_GB2312" w:hAnsi="仿宋_GB2312" w:eastAsia="仿宋_GB2312"/>
          <w:sz w:val="32"/>
          <w:lang w:eastAsia="zh-CN"/>
        </w:rPr>
        <w:t>、</w:t>
      </w:r>
      <w:r>
        <w:rPr>
          <w:rFonts w:hint="eastAsia" w:ascii="仿宋_GB2312" w:hAnsi="仿宋_GB2312" w:eastAsia="仿宋_GB2312"/>
          <w:sz w:val="32"/>
          <w:lang w:eastAsia="zh-CN"/>
        </w:rPr>
        <w:t>8</w:t>
      </w:r>
      <w:r>
        <w:rPr>
          <w:rFonts w:ascii="仿宋_GB2312" w:hAnsi="仿宋_GB2312" w:eastAsia="仿宋_GB2312"/>
          <w:sz w:val="32"/>
          <w:lang w:eastAsia="zh-CN"/>
        </w:rPr>
        <w:t>月</w:t>
      </w:r>
      <w:r>
        <w:rPr>
          <w:rFonts w:hint="eastAsia" w:ascii="仿宋_GB2312" w:hAnsi="仿宋_GB2312" w:eastAsia="仿宋_GB2312"/>
          <w:sz w:val="32"/>
          <w:lang w:eastAsia="zh-CN"/>
        </w:rPr>
        <w:t>（606件）</w:t>
      </w:r>
      <w:r>
        <w:rPr>
          <w:rFonts w:ascii="仿宋_GB2312" w:hAnsi="仿宋_GB2312" w:eastAsia="仿宋_GB2312"/>
          <w:sz w:val="32"/>
          <w:lang w:eastAsia="zh-CN"/>
        </w:rPr>
        <w:t>。</w:t>
      </w:r>
    </w:p>
    <w:tbl>
      <w:tblPr>
        <w:tblStyle w:val="35"/>
        <w:tblW w:w="7560" w:type="dxa"/>
        <w:tblInd w:w="900" w:type="dxa"/>
        <w:tblLayout w:type="autofit"/>
        <w:tblCellMar>
          <w:top w:w="0" w:type="dxa"/>
          <w:left w:w="108" w:type="dxa"/>
          <w:bottom w:w="0" w:type="dxa"/>
          <w:right w:w="108" w:type="dxa"/>
        </w:tblCellMar>
      </w:tblPr>
      <w:tblGrid>
        <w:gridCol w:w="1080"/>
        <w:gridCol w:w="3100"/>
        <w:gridCol w:w="1720"/>
        <w:gridCol w:w="1660"/>
      </w:tblGrid>
      <w:tr>
        <w:trPr>
          <w:trHeight w:val="270" w:hRule="atLeast"/>
        </w:trPr>
        <w:tc>
          <w:tcPr>
            <w:tcW w:w="108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序号</w:t>
            </w:r>
          </w:p>
        </w:tc>
        <w:tc>
          <w:tcPr>
            <w:tcW w:w="310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月份</w:t>
            </w:r>
          </w:p>
        </w:tc>
        <w:tc>
          <w:tcPr>
            <w:tcW w:w="172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2025年数量</w:t>
            </w:r>
          </w:p>
        </w:tc>
        <w:tc>
          <w:tcPr>
            <w:tcW w:w="166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占比</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1月</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597</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8.81%</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2月</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426</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6.29%</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3月</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554</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8.18%</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4月</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548</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8.09%</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5月</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544</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8.03%</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6月</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605</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8.93%</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7月</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621</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9.16%</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8月</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606</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8.94%</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9月</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613</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9.05%</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10月</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522</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7.70%</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11</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11月</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559</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8.25%</w:t>
            </w:r>
          </w:p>
        </w:tc>
      </w:tr>
      <w:tr>
        <w:trPr>
          <w:trHeight w:val="270" w:hRule="atLeast"/>
        </w:trPr>
        <w:tc>
          <w:tcPr>
            <w:tcW w:w="1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12</w:t>
            </w:r>
          </w:p>
        </w:tc>
        <w:tc>
          <w:tcPr>
            <w:tcW w:w="31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12月</w:t>
            </w:r>
          </w:p>
        </w:tc>
        <w:tc>
          <w:tcPr>
            <w:tcW w:w="17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581</w:t>
            </w:r>
          </w:p>
        </w:tc>
        <w:tc>
          <w:tcPr>
            <w:tcW w:w="16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8.57%</w:t>
            </w:r>
          </w:p>
        </w:tc>
      </w:tr>
    </w:tbl>
    <w:p>
      <w:pPr>
        <w:pStyle w:val="2"/>
        <w:ind w:left="0" w:leftChars="0"/>
        <w:rPr>
          <w:rFonts w:ascii="仿宋_GB2312" w:hAnsi="仿宋_GB2312" w:eastAsia="仿宋_GB2312" w:cs="仿宋_GB2312"/>
          <w:sz w:val="30"/>
          <w:szCs w:val="30"/>
          <w:lang w:eastAsia="zh-CN"/>
        </w:rPr>
      </w:pPr>
    </w:p>
    <w:p>
      <w:pPr>
        <w:pStyle w:val="4"/>
        <w:ind w:firstLine="330" w:firstLineChars="150"/>
        <w:rPr>
          <w:rFonts w:eastAsia="宋体"/>
          <w:lang w:eastAsia="zh-CN"/>
        </w:rPr>
      </w:pPr>
      <w:r>
        <w:rPr>
          <w:lang w:eastAsia="zh-CN"/>
        </w:rPr>
        <w:drawing>
          <wp:inline distT="0" distB="0" distL="0" distR="0">
            <wp:extent cx="5486400" cy="323977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486400" cy="3239770"/>
                    </a:xfrm>
                    <a:prstGeom prst="rect">
                      <a:avLst/>
                    </a:prstGeom>
                  </pic:spPr>
                </pic:pic>
              </a:graphicData>
            </a:graphic>
          </wp:inline>
        </w:drawing>
      </w:r>
    </w:p>
    <w:p>
      <w:pPr>
        <w:jc w:val="center"/>
        <w:rPr>
          <w:rFonts w:ascii="仿宋_GB2312" w:hAnsi="仿宋_GB2312" w:eastAsia="仿宋_GB2312" w:cs="仿宋_GB2312"/>
          <w:sz w:val="30"/>
          <w:szCs w:val="30"/>
          <w:lang w:eastAsia="zh-CN"/>
        </w:rPr>
      </w:pPr>
      <w:r>
        <w:rPr>
          <w:rFonts w:hint="eastAsia" w:ascii="仿宋_GB2312" w:hAnsi="仿宋_GB2312" w:eastAsia="仿宋_GB2312" w:cs="仿宋_GB2312"/>
          <w:sz w:val="30"/>
          <w:szCs w:val="30"/>
          <w:lang w:eastAsia="zh-CN"/>
        </w:rPr>
        <w:t>（</w:t>
      </w:r>
      <w:r>
        <w:rPr>
          <w:rFonts w:hint="eastAsia" w:ascii="仿宋_GB2312" w:hAnsi="仿宋_GB2312" w:eastAsia="仿宋_GB2312" w:cs="仿宋_GB2312"/>
          <w:b/>
          <w:bCs/>
          <w:sz w:val="30"/>
          <w:szCs w:val="30"/>
          <w:lang w:eastAsia="zh-CN"/>
        </w:rPr>
        <w:t>图表：</w:t>
      </w:r>
      <w:r>
        <w:rPr>
          <w:rFonts w:hint="eastAsia" w:ascii="仿宋_GB2312" w:hAnsi="仿宋_GB2312" w:eastAsia="仿宋_GB2312" w:cs="仿宋_GB2312"/>
          <w:sz w:val="30"/>
          <w:szCs w:val="30"/>
          <w:lang w:eastAsia="zh-CN"/>
        </w:rPr>
        <w:t>物业日常管理类工单诉求月度情况）</w:t>
      </w:r>
    </w:p>
    <w:p>
      <w:pPr>
        <w:spacing w:before="300" w:after="120" w:line="288" w:lineRule="auto"/>
        <w:outlineLvl w:val="2"/>
        <w:rPr>
          <w:rFonts w:ascii="仿宋_GB2312" w:hAnsi="仿宋_GB2312" w:eastAsia="仿宋_GB2312" w:cs="仿宋_GB2312"/>
          <w:sz w:val="30"/>
          <w:szCs w:val="30"/>
          <w:lang w:eastAsia="zh-CN"/>
        </w:rPr>
      </w:pPr>
      <w:r>
        <w:rPr>
          <w:rFonts w:hint="eastAsia" w:ascii="仿宋_GB2312" w:hAnsi="仿宋_GB2312" w:eastAsia="仿宋_GB2312" w:cs="仿宋_GB2312"/>
          <w:b/>
          <w:bCs/>
          <w:sz w:val="30"/>
          <w:szCs w:val="30"/>
          <w:lang w:eastAsia="zh-CN"/>
        </w:rPr>
        <w:t>（3）</w:t>
      </w:r>
      <w:r>
        <w:rPr>
          <w:rFonts w:ascii="仿宋_GB2312" w:hAnsi="仿宋_GB2312" w:eastAsia="仿宋_GB2312" w:cs="仿宋_GB2312"/>
          <w:b/>
          <w:sz w:val="30"/>
          <w:szCs w:val="30"/>
          <w:lang w:eastAsia="zh-CN"/>
        </w:rPr>
        <w:t>存在问题</w:t>
      </w:r>
      <w:r>
        <w:rPr>
          <w:rFonts w:hint="eastAsia" w:ascii="仿宋_GB2312" w:hAnsi="仿宋_GB2312" w:eastAsia="仿宋_GB2312" w:cs="仿宋_GB2312"/>
          <w:b/>
          <w:sz w:val="30"/>
          <w:szCs w:val="30"/>
          <w:lang w:eastAsia="zh-CN"/>
        </w:rPr>
        <w:t>原因</w:t>
      </w:r>
      <w:r>
        <w:rPr>
          <w:rFonts w:ascii="仿宋_GB2312" w:hAnsi="仿宋_GB2312" w:eastAsia="仿宋_GB2312" w:cs="仿宋_GB2312"/>
          <w:b/>
          <w:sz w:val="30"/>
          <w:szCs w:val="30"/>
          <w:lang w:eastAsia="zh-CN"/>
        </w:rPr>
        <w:t>及改进措施</w:t>
      </w:r>
    </w:p>
    <w:p>
      <w:pPr>
        <w:spacing w:before="120" w:after="120" w:line="288" w:lineRule="auto"/>
        <w:ind w:firstLine="602"/>
        <w:rPr>
          <w:rFonts w:ascii="仿宋_GB2312" w:hAnsi="仿宋_GB2312" w:eastAsia="仿宋_GB2312" w:cs="仿宋_GB2312"/>
          <w:sz w:val="30"/>
          <w:szCs w:val="30"/>
          <w:lang w:eastAsia="zh-CN"/>
        </w:rPr>
      </w:pPr>
      <w:r>
        <w:rPr>
          <w:rFonts w:ascii="仿宋_GB2312" w:hAnsi="仿宋_GB2312" w:eastAsia="仿宋_GB2312" w:cs="仿宋_GB2312"/>
          <w:b/>
          <w:bCs/>
          <w:sz w:val="30"/>
          <w:szCs w:val="30"/>
          <w:lang w:eastAsia="zh-CN"/>
        </w:rPr>
        <w:t>（1）维修</w:t>
      </w:r>
      <w:r>
        <w:rPr>
          <w:rFonts w:hint="eastAsia" w:ascii="仿宋_GB2312" w:hAnsi="仿宋_GB2312" w:eastAsia="仿宋_GB2312" w:cs="仿宋_GB2312"/>
          <w:b/>
          <w:bCs/>
          <w:sz w:val="30"/>
          <w:szCs w:val="30"/>
          <w:lang w:eastAsia="zh-CN"/>
        </w:rPr>
        <w:t>服务</w:t>
      </w:r>
      <w:r>
        <w:rPr>
          <w:rFonts w:ascii="仿宋_GB2312" w:hAnsi="仿宋_GB2312" w:eastAsia="仿宋_GB2312" w:cs="仿宋_GB2312"/>
          <w:b/>
          <w:bCs/>
          <w:sz w:val="30"/>
          <w:szCs w:val="30"/>
          <w:lang w:eastAsia="zh-CN"/>
        </w:rPr>
        <w:t>的</w:t>
      </w:r>
      <w:r>
        <w:rPr>
          <w:rFonts w:hint="eastAsia" w:ascii="仿宋_GB2312" w:hAnsi="仿宋_GB2312" w:eastAsia="仿宋_GB2312" w:cs="仿宋_GB2312"/>
          <w:b/>
          <w:bCs/>
          <w:sz w:val="30"/>
          <w:szCs w:val="30"/>
          <w:lang w:eastAsia="zh-CN"/>
        </w:rPr>
        <w:t>响应</w:t>
      </w:r>
      <w:r>
        <w:rPr>
          <w:rFonts w:ascii="仿宋_GB2312" w:hAnsi="仿宋_GB2312" w:eastAsia="仿宋_GB2312" w:cs="仿宋_GB2312"/>
          <w:b/>
          <w:bCs/>
          <w:sz w:val="30"/>
          <w:szCs w:val="30"/>
          <w:lang w:eastAsia="zh-CN"/>
        </w:rPr>
        <w:t>速度不及时</w:t>
      </w:r>
      <w:r>
        <w:rPr>
          <w:rFonts w:hint="eastAsia" w:ascii="仿宋_GB2312" w:hAnsi="仿宋_GB2312" w:eastAsia="仿宋_GB2312" w:cs="仿宋_GB2312"/>
          <w:b/>
          <w:bCs/>
          <w:sz w:val="30"/>
          <w:szCs w:val="30"/>
          <w:lang w:eastAsia="zh-CN"/>
        </w:rPr>
        <w:t>。</w:t>
      </w:r>
      <w:r>
        <w:rPr>
          <w:rFonts w:hint="eastAsia" w:ascii="仿宋_GB2312" w:hAnsi="仿宋_GB2312" w:eastAsia="仿宋_GB2312" w:cs="仿宋_GB2312"/>
          <w:sz w:val="30"/>
          <w:szCs w:val="30"/>
          <w:lang w:eastAsia="zh-CN"/>
        </w:rPr>
        <w:t>小区物业日常</w:t>
      </w:r>
      <w:r>
        <w:rPr>
          <w:rFonts w:ascii="仿宋_GB2312" w:hAnsi="仿宋_GB2312" w:eastAsia="仿宋_GB2312" w:cs="仿宋_GB2312"/>
          <w:sz w:val="30"/>
          <w:szCs w:val="30"/>
          <w:lang w:eastAsia="zh-CN"/>
        </w:rPr>
        <w:t>管理类</w:t>
      </w:r>
      <w:r>
        <w:rPr>
          <w:rFonts w:hint="eastAsia" w:ascii="仿宋_GB2312" w:hAnsi="仿宋_GB2312" w:eastAsia="仿宋_GB2312" w:cs="仿宋_GB2312"/>
          <w:sz w:val="30"/>
          <w:szCs w:val="30"/>
          <w:lang w:eastAsia="zh-CN"/>
        </w:rPr>
        <w:t>工单</w:t>
      </w:r>
      <w:r>
        <w:rPr>
          <w:rFonts w:ascii="仿宋_GB2312" w:hAnsi="仿宋_GB2312" w:eastAsia="仿宋_GB2312" w:cs="仿宋_GB2312"/>
          <w:sz w:val="30"/>
          <w:szCs w:val="30"/>
          <w:lang w:eastAsia="zh-CN"/>
        </w:rPr>
        <w:t>总量虽然有所</w:t>
      </w:r>
      <w:r>
        <w:rPr>
          <w:rFonts w:hint="eastAsia" w:ascii="仿宋_GB2312" w:hAnsi="仿宋_GB2312" w:eastAsia="仿宋_GB2312" w:cs="仿宋_GB2312"/>
          <w:sz w:val="30"/>
          <w:szCs w:val="30"/>
          <w:lang w:eastAsia="zh-CN"/>
        </w:rPr>
        <w:t>下降，</w:t>
      </w:r>
      <w:r>
        <w:rPr>
          <w:rFonts w:ascii="仿宋_GB2312" w:hAnsi="仿宋_GB2312" w:eastAsia="仿宋_GB2312" w:cs="仿宋_GB2312"/>
          <w:sz w:val="30"/>
          <w:szCs w:val="30"/>
          <w:lang w:eastAsia="zh-CN"/>
        </w:rPr>
        <w:t>但维修类工单</w:t>
      </w:r>
      <w:r>
        <w:rPr>
          <w:rFonts w:hint="eastAsia" w:ascii="仿宋_GB2312" w:hAnsi="仿宋_GB2312" w:eastAsia="仿宋_GB2312" w:cs="仿宋_GB2312"/>
          <w:sz w:val="30"/>
          <w:szCs w:val="30"/>
          <w:lang w:eastAsia="zh-CN"/>
        </w:rPr>
        <w:t>却</w:t>
      </w:r>
      <w:r>
        <w:rPr>
          <w:rFonts w:ascii="仿宋_GB2312" w:hAnsi="仿宋_GB2312" w:eastAsia="仿宋_GB2312" w:cs="仿宋_GB2312"/>
          <w:sz w:val="30"/>
          <w:szCs w:val="30"/>
          <w:lang w:eastAsia="zh-CN"/>
        </w:rPr>
        <w:t>有明显上升，主要原因一是部分物业企业没有自己的维修队伍，外包服务导致维修响应不及时；二是部分房屋顶楼漏水、外墙渗水等</w:t>
      </w:r>
      <w:r>
        <w:rPr>
          <w:rFonts w:hint="eastAsia" w:ascii="仿宋_GB2312" w:hAnsi="仿宋_GB2312" w:eastAsia="仿宋_GB2312" w:cs="仿宋_GB2312"/>
          <w:sz w:val="30"/>
          <w:szCs w:val="30"/>
          <w:lang w:eastAsia="zh-CN"/>
        </w:rPr>
        <w:t>需要动用</w:t>
      </w:r>
      <w:r>
        <w:rPr>
          <w:rFonts w:ascii="仿宋_GB2312" w:hAnsi="仿宋_GB2312" w:eastAsia="仿宋_GB2312" w:cs="仿宋_GB2312"/>
          <w:sz w:val="30"/>
          <w:szCs w:val="30"/>
          <w:lang w:eastAsia="zh-CN"/>
        </w:rPr>
        <w:t>维修</w:t>
      </w:r>
      <w:r>
        <w:rPr>
          <w:rFonts w:hint="eastAsia" w:ascii="仿宋_GB2312" w:hAnsi="仿宋_GB2312" w:eastAsia="仿宋_GB2312" w:cs="仿宋_GB2312"/>
          <w:sz w:val="30"/>
          <w:szCs w:val="30"/>
          <w:lang w:eastAsia="zh-CN"/>
        </w:rPr>
        <w:t>资金的必须</w:t>
      </w:r>
      <w:r>
        <w:rPr>
          <w:rFonts w:ascii="仿宋_GB2312" w:hAnsi="仿宋_GB2312" w:eastAsia="仿宋_GB2312" w:cs="仿宋_GB2312"/>
          <w:sz w:val="30"/>
          <w:szCs w:val="30"/>
          <w:lang w:eastAsia="zh-CN"/>
        </w:rPr>
        <w:t>业委会同意，金额大的</w:t>
      </w:r>
      <w:r>
        <w:rPr>
          <w:rFonts w:hint="eastAsia" w:ascii="仿宋_GB2312" w:hAnsi="仿宋_GB2312" w:eastAsia="仿宋_GB2312" w:cs="仿宋_GB2312"/>
          <w:sz w:val="30"/>
          <w:szCs w:val="30"/>
          <w:lang w:eastAsia="zh-CN"/>
        </w:rPr>
        <w:t>还</w:t>
      </w:r>
      <w:r>
        <w:rPr>
          <w:rFonts w:ascii="仿宋_GB2312" w:hAnsi="仿宋_GB2312" w:eastAsia="仿宋_GB2312" w:cs="仿宋_GB2312"/>
          <w:sz w:val="30"/>
          <w:szCs w:val="30"/>
          <w:lang w:eastAsia="zh-CN"/>
        </w:rPr>
        <w:t>需要业主大会表决</w:t>
      </w:r>
      <w:r>
        <w:rPr>
          <w:rFonts w:hint="eastAsia" w:ascii="仿宋_GB2312" w:hAnsi="仿宋_GB2312" w:eastAsia="仿宋_GB2312" w:cs="仿宋_GB2312"/>
          <w:sz w:val="30"/>
          <w:szCs w:val="30"/>
          <w:lang w:eastAsia="zh-CN"/>
        </w:rPr>
        <w:t>流程</w:t>
      </w:r>
      <w:r>
        <w:rPr>
          <w:rFonts w:ascii="仿宋_GB2312" w:hAnsi="仿宋_GB2312" w:eastAsia="仿宋_GB2312" w:cs="仿宋_GB2312"/>
          <w:sz w:val="30"/>
          <w:szCs w:val="30"/>
          <w:lang w:eastAsia="zh-CN"/>
        </w:rPr>
        <w:t>，导致维修进展缓慢；三是部分新建楼盘交付的质量问题，和开发商之间的沟通不畅，维修不及时。</w:t>
      </w:r>
      <w:r>
        <w:rPr>
          <w:rFonts w:ascii="仿宋_GB2312" w:hAnsi="仿宋_GB2312" w:eastAsia="仿宋_GB2312" w:cs="仿宋_GB2312"/>
          <w:b/>
          <w:bCs/>
          <w:sz w:val="30"/>
          <w:szCs w:val="30"/>
          <w:lang w:eastAsia="zh-CN"/>
        </w:rPr>
        <w:t>改进措施</w:t>
      </w:r>
      <w:r>
        <w:rPr>
          <w:rFonts w:ascii="仿宋_GB2312" w:hAnsi="仿宋_GB2312" w:eastAsia="仿宋_GB2312" w:cs="仿宋_GB2312"/>
          <w:sz w:val="30"/>
          <w:szCs w:val="30"/>
          <w:lang w:eastAsia="zh-CN"/>
        </w:rPr>
        <w:t>：由3支区级房屋应急维修队伍为社会物业管理的</w:t>
      </w:r>
      <w:r>
        <w:rPr>
          <w:rFonts w:hint="eastAsia" w:ascii="仿宋_GB2312" w:hAnsi="仿宋_GB2312" w:eastAsia="仿宋_GB2312" w:cs="仿宋_GB2312"/>
          <w:sz w:val="30"/>
          <w:szCs w:val="30"/>
          <w:lang w:eastAsia="zh-CN"/>
        </w:rPr>
        <w:t>小区进行托底维修保障；相关职能部门加强新建商品房项目房屋施工质量的监管和验收。</w:t>
      </w:r>
    </w:p>
    <w:p>
      <w:pPr>
        <w:spacing w:before="120" w:after="120" w:line="288" w:lineRule="auto"/>
        <w:ind w:firstLine="602"/>
        <w:rPr>
          <w:rFonts w:ascii="仿宋_GB2312" w:hAnsi="仿宋_GB2312" w:eastAsia="仿宋_GB2312" w:cs="仿宋_GB2312"/>
          <w:sz w:val="30"/>
          <w:szCs w:val="30"/>
          <w:lang w:eastAsia="zh-CN"/>
        </w:rPr>
      </w:pPr>
      <w:r>
        <w:rPr>
          <w:rFonts w:ascii="仿宋_GB2312" w:hAnsi="仿宋_GB2312" w:eastAsia="仿宋_GB2312" w:cs="仿宋_GB2312"/>
          <w:b/>
          <w:bCs/>
          <w:sz w:val="30"/>
          <w:szCs w:val="30"/>
          <w:lang w:eastAsia="zh-CN"/>
        </w:rPr>
        <w:t>（2）日常</w:t>
      </w:r>
      <w:r>
        <w:rPr>
          <w:rFonts w:hint="eastAsia" w:ascii="仿宋_GB2312" w:hAnsi="仿宋_GB2312" w:eastAsia="仿宋_GB2312" w:cs="仿宋_GB2312"/>
          <w:b/>
          <w:bCs/>
          <w:sz w:val="30"/>
          <w:szCs w:val="30"/>
          <w:lang w:eastAsia="zh-CN"/>
        </w:rPr>
        <w:t>管理</w:t>
      </w:r>
      <w:r>
        <w:rPr>
          <w:rFonts w:ascii="仿宋_GB2312" w:hAnsi="仿宋_GB2312" w:eastAsia="仿宋_GB2312" w:cs="仿宋_GB2312"/>
          <w:b/>
          <w:bCs/>
          <w:sz w:val="30"/>
          <w:szCs w:val="30"/>
          <w:lang w:eastAsia="zh-CN"/>
        </w:rPr>
        <w:t>还存在薄弱</w:t>
      </w:r>
      <w:r>
        <w:rPr>
          <w:rFonts w:hint="eastAsia" w:ascii="仿宋_GB2312" w:hAnsi="仿宋_GB2312" w:eastAsia="仿宋_GB2312" w:cs="仿宋_GB2312"/>
          <w:b/>
          <w:bCs/>
          <w:sz w:val="30"/>
          <w:szCs w:val="30"/>
          <w:lang w:eastAsia="zh-CN"/>
        </w:rPr>
        <w:t>环节。</w:t>
      </w:r>
      <w:r>
        <w:rPr>
          <w:rFonts w:hint="eastAsia" w:ascii="仿宋_GB2312" w:hAnsi="仿宋_GB2312" w:eastAsia="仿宋_GB2312" w:cs="仿宋_GB2312"/>
          <w:sz w:val="30"/>
          <w:szCs w:val="30"/>
          <w:lang w:eastAsia="zh-CN"/>
        </w:rPr>
        <w:t>门卫保安、物业纠纷、安保管理类工单逆势上涨，主要原因是部分物业企业对“四保”外包服务缺乏监管考核，同时居民对安全保障、服务态度的需求持续提升。</w:t>
      </w:r>
      <w:r>
        <w:rPr>
          <w:rFonts w:hint="eastAsia" w:ascii="仿宋_GB2312" w:hAnsi="仿宋_GB2312" w:eastAsia="仿宋_GB2312" w:cs="仿宋_GB2312"/>
          <w:b/>
          <w:bCs/>
          <w:sz w:val="30"/>
          <w:szCs w:val="30"/>
          <w:lang w:eastAsia="zh-CN"/>
        </w:rPr>
        <w:t>改进措施</w:t>
      </w:r>
      <w:r>
        <w:rPr>
          <w:rFonts w:hint="eastAsia" w:ascii="仿宋_GB2312" w:hAnsi="仿宋_GB2312" w:eastAsia="仿宋_GB2312" w:cs="仿宋_GB2312"/>
          <w:sz w:val="30"/>
          <w:szCs w:val="30"/>
          <w:lang w:eastAsia="zh-CN"/>
        </w:rPr>
        <w:t>：规范服务标准，明确门卫值守、安保巡逻、纠纷处置等服务流程与考核标准；组织开展物业从业人员专项培训，重点提升物业从业人员的沟通协调、应急处置能力，从源头减少服务类纠纷。</w:t>
      </w:r>
    </w:p>
    <w:p>
      <w:pPr>
        <w:spacing w:before="120" w:after="120" w:line="288" w:lineRule="auto"/>
        <w:ind w:firstLine="602"/>
        <w:rPr>
          <w:rFonts w:ascii="仿宋_GB2312" w:hAnsi="仿宋_GB2312" w:eastAsia="仿宋_GB2312" w:cs="仿宋_GB2312"/>
          <w:b/>
          <w:sz w:val="30"/>
          <w:szCs w:val="30"/>
          <w:lang w:eastAsia="zh-CN"/>
        </w:rPr>
      </w:pPr>
      <w:r>
        <w:rPr>
          <w:rFonts w:ascii="仿宋_GB2312" w:hAnsi="仿宋_GB2312" w:eastAsia="仿宋_GB2312" w:cs="仿宋_GB2312"/>
          <w:b/>
          <w:bCs/>
          <w:sz w:val="30"/>
          <w:szCs w:val="30"/>
          <w:lang w:eastAsia="zh-CN"/>
        </w:rPr>
        <w:t>（3）信息公开仍然</w:t>
      </w:r>
      <w:r>
        <w:rPr>
          <w:rFonts w:hint="eastAsia" w:ascii="仿宋_GB2312" w:hAnsi="仿宋_GB2312" w:eastAsia="仿宋_GB2312" w:cs="仿宋_GB2312"/>
          <w:b/>
          <w:bCs/>
          <w:sz w:val="30"/>
          <w:szCs w:val="30"/>
          <w:lang w:eastAsia="zh-CN"/>
        </w:rPr>
        <w:t>不够透明。</w:t>
      </w:r>
      <w:r>
        <w:rPr>
          <w:rFonts w:hint="eastAsia" w:ascii="仿宋_GB2312" w:hAnsi="仿宋_GB2312" w:eastAsia="仿宋_GB2312" w:cs="仿宋_GB2312"/>
          <w:sz w:val="30"/>
          <w:szCs w:val="30"/>
          <w:lang w:eastAsia="zh-CN"/>
        </w:rPr>
        <w:t>物业管理费工单增长与部分小区物业费调价、收支明细公示不透明息息相关。维修资金使用管理工单中，多涉及使用流程不规范、业主知情权未充分保障等问题。</w:t>
      </w:r>
      <w:r>
        <w:rPr>
          <w:rFonts w:hint="eastAsia" w:ascii="仿宋_GB2312" w:hAnsi="仿宋_GB2312" w:eastAsia="仿宋_GB2312" w:cs="仿宋_GB2312"/>
          <w:b/>
          <w:bCs/>
          <w:sz w:val="30"/>
          <w:szCs w:val="30"/>
          <w:lang w:eastAsia="zh-CN"/>
        </w:rPr>
        <w:t>改进措施</w:t>
      </w:r>
      <w:r>
        <w:rPr>
          <w:rFonts w:hint="eastAsia" w:ascii="仿宋_GB2312" w:hAnsi="仿宋_GB2312" w:eastAsia="仿宋_GB2312" w:cs="仿宋_GB2312"/>
          <w:sz w:val="30"/>
          <w:szCs w:val="30"/>
          <w:lang w:eastAsia="zh-CN"/>
        </w:rPr>
        <w:t>：认真抓好物业服务企业“六公开”的落实，对每季度公共收益未按要求进行入账和公示的物业企业采取信用记分处理。物业费调价的小区要做好物业费评估，并充分做好宣传引导、沟通协商等基础工作。</w:t>
      </w:r>
    </w:p>
    <w:p>
      <w:pPr>
        <w:jc w:val="both"/>
        <w:rPr>
          <w:rFonts w:ascii="仿宋_GB2312" w:hAnsi="仿宋_GB2312" w:eastAsia="仿宋_GB2312" w:cs="仿宋_GB2312"/>
          <w:sz w:val="30"/>
          <w:szCs w:val="30"/>
          <w:lang w:eastAsia="zh-CN"/>
        </w:rPr>
      </w:pPr>
    </w:p>
    <w:p>
      <w:pPr>
        <w:pStyle w:val="2"/>
        <w:ind w:left="440"/>
        <w:rPr>
          <w:rFonts w:eastAsia="宋体"/>
          <w:lang w:eastAsia="zh-CN"/>
        </w:rPr>
      </w:pPr>
    </w:p>
    <w:p>
      <w:pPr>
        <w:rPr>
          <w:lang w:eastAsia="zh-CN"/>
        </w:rPr>
      </w:pPr>
      <w:r>
        <w:rPr>
          <w:rFonts w:ascii="仿宋_GB2312" w:hAnsi="仿宋_GB2312" w:eastAsia="仿宋_GB2312"/>
          <w:b/>
          <w:sz w:val="32"/>
          <w:lang w:eastAsia="zh-CN"/>
        </w:rPr>
        <w:t>2. 按物业服务企业分析</w:t>
      </w:r>
    </w:p>
    <w:p>
      <w:pPr>
        <w:rPr>
          <w:rFonts w:ascii="仿宋_GB2312" w:hAnsi="仿宋_GB2312" w:eastAsia="仿宋_GB2312"/>
          <w:b/>
          <w:sz w:val="32"/>
          <w:lang w:eastAsia="zh-CN"/>
        </w:rPr>
      </w:pPr>
      <w:r>
        <w:rPr>
          <w:rFonts w:ascii="仿宋_GB2312" w:hAnsi="仿宋_GB2312" w:eastAsia="仿宋_GB2312"/>
          <w:b/>
          <w:sz w:val="32"/>
          <w:lang w:eastAsia="zh-CN"/>
        </w:rPr>
        <w:t>（1）工单数量情况</w:t>
      </w:r>
    </w:p>
    <w:p>
      <w:pPr>
        <w:pStyle w:val="2"/>
        <w:ind w:left="440"/>
        <w:rPr>
          <w:rFonts w:eastAsia="宋体"/>
          <w:lang w:eastAsia="zh-CN"/>
        </w:rPr>
      </w:pPr>
    </w:p>
    <w:p>
      <w:pPr>
        <w:pStyle w:val="4"/>
        <w:rPr>
          <w:rFonts w:eastAsia="宋体"/>
          <w:lang w:eastAsia="zh-CN"/>
        </w:rPr>
      </w:pPr>
    </w:p>
    <w:tbl>
      <w:tblPr>
        <w:tblStyle w:val="35"/>
        <w:tblW w:w="11500" w:type="dxa"/>
        <w:tblInd w:w="-1070" w:type="dxa"/>
        <w:tblLayout w:type="autofit"/>
        <w:tblCellMar>
          <w:top w:w="0" w:type="dxa"/>
          <w:left w:w="108" w:type="dxa"/>
          <w:bottom w:w="0" w:type="dxa"/>
          <w:right w:w="108" w:type="dxa"/>
        </w:tblCellMar>
      </w:tblPr>
      <w:tblGrid>
        <w:gridCol w:w="700"/>
        <w:gridCol w:w="3560"/>
        <w:gridCol w:w="860"/>
        <w:gridCol w:w="880"/>
        <w:gridCol w:w="980"/>
        <w:gridCol w:w="780"/>
        <w:gridCol w:w="3740"/>
      </w:tblGrid>
      <w:tr>
        <w:trPr>
          <w:trHeight w:val="870" w:hRule="atLeast"/>
        </w:trPr>
        <w:tc>
          <w:tcPr>
            <w:tcW w:w="700"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序号</w:t>
            </w:r>
          </w:p>
        </w:tc>
        <w:tc>
          <w:tcPr>
            <w:tcW w:w="356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物业</w:t>
            </w:r>
          </w:p>
        </w:tc>
        <w:tc>
          <w:tcPr>
            <w:tcW w:w="86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工单量</w:t>
            </w:r>
          </w:p>
        </w:tc>
        <w:tc>
          <w:tcPr>
            <w:tcW w:w="88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在管小区数</w:t>
            </w:r>
          </w:p>
        </w:tc>
        <w:tc>
          <w:tcPr>
            <w:tcW w:w="98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在管户数</w:t>
            </w:r>
          </w:p>
        </w:tc>
        <w:tc>
          <w:tcPr>
            <w:tcW w:w="78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密度</w:t>
            </w:r>
          </w:p>
        </w:tc>
        <w:tc>
          <w:tcPr>
            <w:tcW w:w="374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核心问题</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w:t>
            </w:r>
          </w:p>
        </w:tc>
        <w:tc>
          <w:tcPr>
            <w:tcW w:w="35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上海高建物业有限公司</w:t>
            </w:r>
          </w:p>
        </w:tc>
        <w:tc>
          <w:tcPr>
            <w:tcW w:w="8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711</w:t>
            </w:r>
          </w:p>
        </w:tc>
        <w:tc>
          <w:tcPr>
            <w:tcW w:w="8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80</w:t>
            </w:r>
          </w:p>
        </w:tc>
        <w:tc>
          <w:tcPr>
            <w:tcW w:w="9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47772</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1.49</w:t>
            </w:r>
          </w:p>
        </w:tc>
        <w:tc>
          <w:tcPr>
            <w:tcW w:w="374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w:t>
            </w:r>
          </w:p>
        </w:tc>
        <w:tc>
          <w:tcPr>
            <w:tcW w:w="35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上海衡复物业有限公司</w:t>
            </w:r>
          </w:p>
        </w:tc>
        <w:tc>
          <w:tcPr>
            <w:tcW w:w="8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552</w:t>
            </w:r>
          </w:p>
        </w:tc>
        <w:tc>
          <w:tcPr>
            <w:tcW w:w="8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103</w:t>
            </w:r>
          </w:p>
        </w:tc>
        <w:tc>
          <w:tcPr>
            <w:tcW w:w="9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30591</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1.80</w:t>
            </w:r>
          </w:p>
        </w:tc>
        <w:tc>
          <w:tcPr>
            <w:tcW w:w="374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w:t>
            </w:r>
          </w:p>
        </w:tc>
        <w:tc>
          <w:tcPr>
            <w:tcW w:w="35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上海徐房物业有限公司</w:t>
            </w:r>
          </w:p>
        </w:tc>
        <w:tc>
          <w:tcPr>
            <w:tcW w:w="8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347</w:t>
            </w:r>
          </w:p>
        </w:tc>
        <w:tc>
          <w:tcPr>
            <w:tcW w:w="8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53</w:t>
            </w:r>
          </w:p>
        </w:tc>
        <w:tc>
          <w:tcPr>
            <w:tcW w:w="9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34427</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1.01</w:t>
            </w:r>
          </w:p>
        </w:tc>
        <w:tc>
          <w:tcPr>
            <w:tcW w:w="374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w:t>
            </w:r>
          </w:p>
        </w:tc>
        <w:tc>
          <w:tcPr>
            <w:tcW w:w="35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上海汇成物业有限公司</w:t>
            </w:r>
          </w:p>
        </w:tc>
        <w:tc>
          <w:tcPr>
            <w:tcW w:w="8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166</w:t>
            </w:r>
          </w:p>
        </w:tc>
        <w:tc>
          <w:tcPr>
            <w:tcW w:w="8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14</w:t>
            </w:r>
          </w:p>
        </w:tc>
        <w:tc>
          <w:tcPr>
            <w:tcW w:w="9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18453</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0.90</w:t>
            </w:r>
          </w:p>
        </w:tc>
        <w:tc>
          <w:tcPr>
            <w:tcW w:w="374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w:t>
            </w:r>
          </w:p>
        </w:tc>
        <w:tc>
          <w:tcPr>
            <w:tcW w:w="35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上海轻工物业管理有限公司</w:t>
            </w:r>
          </w:p>
        </w:tc>
        <w:tc>
          <w:tcPr>
            <w:tcW w:w="8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165</w:t>
            </w:r>
          </w:p>
        </w:tc>
        <w:tc>
          <w:tcPr>
            <w:tcW w:w="8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15</w:t>
            </w:r>
          </w:p>
        </w:tc>
        <w:tc>
          <w:tcPr>
            <w:tcW w:w="9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9826</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1.68</w:t>
            </w:r>
          </w:p>
        </w:tc>
        <w:tc>
          <w:tcPr>
            <w:tcW w:w="374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物业管理费</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物业纠纷</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w:t>
            </w:r>
          </w:p>
        </w:tc>
        <w:tc>
          <w:tcPr>
            <w:tcW w:w="35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上海安得物业管理有限公司</w:t>
            </w:r>
          </w:p>
        </w:tc>
        <w:tc>
          <w:tcPr>
            <w:tcW w:w="8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156</w:t>
            </w:r>
          </w:p>
        </w:tc>
        <w:tc>
          <w:tcPr>
            <w:tcW w:w="8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12</w:t>
            </w:r>
          </w:p>
        </w:tc>
        <w:tc>
          <w:tcPr>
            <w:tcW w:w="9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10322</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1.51</w:t>
            </w:r>
          </w:p>
        </w:tc>
        <w:tc>
          <w:tcPr>
            <w:tcW w:w="374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改建设施</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w:t>
            </w:r>
          </w:p>
        </w:tc>
        <w:tc>
          <w:tcPr>
            <w:tcW w:w="35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上海万科物业服务有限公司</w:t>
            </w:r>
          </w:p>
        </w:tc>
        <w:tc>
          <w:tcPr>
            <w:tcW w:w="8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145</w:t>
            </w:r>
          </w:p>
        </w:tc>
        <w:tc>
          <w:tcPr>
            <w:tcW w:w="8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w:t>
            </w:r>
          </w:p>
        </w:tc>
        <w:tc>
          <w:tcPr>
            <w:tcW w:w="9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3572</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4.06</w:t>
            </w:r>
          </w:p>
        </w:tc>
        <w:tc>
          <w:tcPr>
            <w:tcW w:w="374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改建设施</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w:t>
            </w:r>
          </w:p>
        </w:tc>
        <w:tc>
          <w:tcPr>
            <w:tcW w:w="35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上海中星集团申城物业有限公司</w:t>
            </w:r>
          </w:p>
        </w:tc>
        <w:tc>
          <w:tcPr>
            <w:tcW w:w="8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137</w:t>
            </w:r>
          </w:p>
        </w:tc>
        <w:tc>
          <w:tcPr>
            <w:tcW w:w="8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w:t>
            </w:r>
          </w:p>
        </w:tc>
        <w:tc>
          <w:tcPr>
            <w:tcW w:w="9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14859</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0.92</w:t>
            </w:r>
          </w:p>
        </w:tc>
        <w:tc>
          <w:tcPr>
            <w:tcW w:w="374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物业纠纷</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w:t>
            </w:r>
          </w:p>
        </w:tc>
        <w:tc>
          <w:tcPr>
            <w:tcW w:w="35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上海中海物业管理有限公司</w:t>
            </w:r>
          </w:p>
        </w:tc>
        <w:tc>
          <w:tcPr>
            <w:tcW w:w="8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101</w:t>
            </w:r>
          </w:p>
        </w:tc>
        <w:tc>
          <w:tcPr>
            <w:tcW w:w="8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w:t>
            </w:r>
          </w:p>
        </w:tc>
        <w:tc>
          <w:tcPr>
            <w:tcW w:w="9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7739</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1.31</w:t>
            </w:r>
          </w:p>
        </w:tc>
        <w:tc>
          <w:tcPr>
            <w:tcW w:w="374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w:t>
            </w:r>
          </w:p>
        </w:tc>
        <w:tc>
          <w:tcPr>
            <w:tcW w:w="35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秀澜（上海）物业管理有限公司</w:t>
            </w:r>
          </w:p>
        </w:tc>
        <w:tc>
          <w:tcPr>
            <w:tcW w:w="86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101</w:t>
            </w:r>
          </w:p>
        </w:tc>
        <w:tc>
          <w:tcPr>
            <w:tcW w:w="8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12</w:t>
            </w:r>
          </w:p>
        </w:tc>
        <w:tc>
          <w:tcPr>
            <w:tcW w:w="9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9668</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1.04</w:t>
            </w:r>
          </w:p>
        </w:tc>
        <w:tc>
          <w:tcPr>
            <w:tcW w:w="374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p>
        </w:tc>
      </w:tr>
    </w:tbl>
    <w:p>
      <w:pPr>
        <w:rPr>
          <w:rFonts w:eastAsia="宋体"/>
          <w:lang w:eastAsia="zh-CN"/>
        </w:rPr>
      </w:pPr>
    </w:p>
    <w:p>
      <w:pPr>
        <w:rPr>
          <w:rFonts w:ascii="仿宋_GB2312" w:hAnsi="仿宋_GB2312" w:eastAsia="仿宋_GB2312"/>
          <w:b/>
          <w:sz w:val="32"/>
          <w:lang w:eastAsia="zh-CN"/>
        </w:rPr>
      </w:pPr>
      <w:r>
        <w:rPr>
          <w:rFonts w:ascii="仿宋_GB2312" w:hAnsi="仿宋_GB2312" w:eastAsia="仿宋_GB2312"/>
          <w:b/>
          <w:sz w:val="32"/>
        </w:rPr>
        <w:t>3. 按小区分析</w:t>
      </w:r>
    </w:p>
    <w:p>
      <w:pPr>
        <w:pStyle w:val="2"/>
        <w:ind w:left="440"/>
        <w:rPr>
          <w:rFonts w:eastAsia="宋体"/>
          <w:lang w:eastAsia="zh-CN"/>
        </w:rPr>
      </w:pPr>
    </w:p>
    <w:tbl>
      <w:tblPr>
        <w:tblStyle w:val="35"/>
        <w:tblW w:w="9980" w:type="dxa"/>
        <w:tblInd w:w="93" w:type="dxa"/>
        <w:tblLayout w:type="autofit"/>
        <w:tblCellMar>
          <w:top w:w="0" w:type="dxa"/>
          <w:left w:w="108" w:type="dxa"/>
          <w:bottom w:w="0" w:type="dxa"/>
          <w:right w:w="108" w:type="dxa"/>
        </w:tblCellMar>
      </w:tblPr>
      <w:tblGrid>
        <w:gridCol w:w="700"/>
        <w:gridCol w:w="1320"/>
        <w:gridCol w:w="2080"/>
        <w:gridCol w:w="940"/>
        <w:gridCol w:w="700"/>
        <w:gridCol w:w="780"/>
        <w:gridCol w:w="3460"/>
      </w:tblGrid>
      <w:tr>
        <w:trPr>
          <w:trHeight w:val="270" w:hRule="atLeast"/>
        </w:trPr>
        <w:tc>
          <w:tcPr>
            <w:tcW w:w="700"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序号</w:t>
            </w:r>
          </w:p>
        </w:tc>
        <w:tc>
          <w:tcPr>
            <w:tcW w:w="132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街道</w:t>
            </w:r>
          </w:p>
        </w:tc>
        <w:tc>
          <w:tcPr>
            <w:tcW w:w="208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小区名</w:t>
            </w:r>
          </w:p>
        </w:tc>
        <w:tc>
          <w:tcPr>
            <w:tcW w:w="94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工单量</w:t>
            </w:r>
          </w:p>
        </w:tc>
        <w:tc>
          <w:tcPr>
            <w:tcW w:w="70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户数</w:t>
            </w:r>
          </w:p>
        </w:tc>
        <w:tc>
          <w:tcPr>
            <w:tcW w:w="78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密度</w:t>
            </w:r>
          </w:p>
        </w:tc>
        <w:tc>
          <w:tcPr>
            <w:tcW w:w="346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核心问题</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虹梅路街道</w:t>
            </w:r>
          </w:p>
        </w:tc>
        <w:tc>
          <w:tcPr>
            <w:tcW w:w="20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鑫桂苑·侨高中心</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126</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1756</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7.18</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改建设施</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p>
        </w:tc>
      </w:tr>
      <w:tr>
        <w:trPr>
          <w:trHeight w:val="1080" w:hRule="atLeast"/>
        </w:trPr>
        <w:tc>
          <w:tcPr>
            <w:tcW w:w="700" w:type="dxa"/>
            <w:tcBorders>
              <w:top w:val="single" w:color="auto" w:sz="4" w:space="0"/>
              <w:left w:val="single" w:color="auto" w:sz="4"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w:t>
            </w:r>
          </w:p>
        </w:tc>
        <w:tc>
          <w:tcPr>
            <w:tcW w:w="1320"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斜土路街道</w:t>
            </w:r>
          </w:p>
        </w:tc>
        <w:tc>
          <w:tcPr>
            <w:tcW w:w="2080"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日晖六村</w:t>
            </w:r>
          </w:p>
        </w:tc>
        <w:tc>
          <w:tcPr>
            <w:tcW w:w="940"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70</w:t>
            </w:r>
          </w:p>
        </w:tc>
        <w:tc>
          <w:tcPr>
            <w:tcW w:w="700"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2917</w:t>
            </w:r>
          </w:p>
        </w:tc>
        <w:tc>
          <w:tcPr>
            <w:tcW w:w="780"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2.40</w:t>
            </w:r>
          </w:p>
        </w:tc>
        <w:tc>
          <w:tcPr>
            <w:tcW w:w="3460" w:type="dxa"/>
            <w:tcBorders>
              <w:top w:val="single" w:color="auto" w:sz="4" w:space="0"/>
              <w:left w:val="single" w:color="auto" w:sz="6"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长桥街道</w:t>
            </w:r>
          </w:p>
        </w:tc>
        <w:tc>
          <w:tcPr>
            <w:tcW w:w="20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罗秀新二村</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61</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2493</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2.45</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改建设施</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枫林路街道</w:t>
            </w:r>
          </w:p>
        </w:tc>
        <w:tc>
          <w:tcPr>
            <w:tcW w:w="20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天钥新村</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55</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3066</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1.79</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门卫保安</w:t>
            </w:r>
          </w:p>
        </w:tc>
      </w:tr>
      <w:tr>
        <w:trPr>
          <w:trHeight w:val="108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华泾镇</w:t>
            </w:r>
          </w:p>
        </w:tc>
        <w:tc>
          <w:tcPr>
            <w:tcW w:w="20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馨宁公寓</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48</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4822</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1.00</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物业纠纷</w:t>
            </w:r>
          </w:p>
        </w:tc>
      </w:tr>
      <w:tr>
        <w:trPr>
          <w:trHeight w:val="108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枫林路街道</w:t>
            </w:r>
          </w:p>
        </w:tc>
        <w:tc>
          <w:tcPr>
            <w:tcW w:w="20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龙山新村</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48</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2565</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1.87</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p>
        </w:tc>
      </w:tr>
      <w:tr>
        <w:trPr>
          <w:trHeight w:val="108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枫林路街道</w:t>
            </w:r>
          </w:p>
        </w:tc>
        <w:tc>
          <w:tcPr>
            <w:tcW w:w="20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西木小区</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47</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2543</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1.85</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绿化养护、修剪</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湖南路街道</w:t>
            </w:r>
          </w:p>
        </w:tc>
        <w:tc>
          <w:tcPr>
            <w:tcW w:w="20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安福直管公房</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47</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949</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4.95</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绿化养护、修剪</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直管公房物业维修养护</w:t>
            </w:r>
          </w:p>
        </w:tc>
      </w:tr>
      <w:tr>
        <w:trPr>
          <w:trHeight w:val="108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凌云路街道</w:t>
            </w:r>
          </w:p>
        </w:tc>
        <w:tc>
          <w:tcPr>
            <w:tcW w:w="20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凌云新村</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44</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2414</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1.82</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p>
        </w:tc>
      </w:tr>
      <w:tr>
        <w:trPr>
          <w:trHeight w:val="108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徐家汇街道</w:t>
            </w:r>
          </w:p>
        </w:tc>
        <w:tc>
          <w:tcPr>
            <w:tcW w:w="20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江南裕德</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43</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492</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8.74</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物业纠纷</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p>
        </w:tc>
      </w:tr>
    </w:tbl>
    <w:p>
      <w:pPr>
        <w:rPr>
          <w:rFonts w:ascii="黑体" w:hAnsi="黑体" w:eastAsia="黑体"/>
          <w:b/>
          <w:sz w:val="32"/>
          <w:lang w:eastAsia="zh-CN"/>
        </w:rPr>
      </w:pPr>
    </w:p>
    <w:p>
      <w:pPr>
        <w:rPr>
          <w:lang w:eastAsia="zh-CN"/>
        </w:rPr>
      </w:pPr>
      <w:r>
        <w:rPr>
          <w:rFonts w:ascii="黑体" w:hAnsi="黑体" w:eastAsia="黑体"/>
          <w:b/>
          <w:sz w:val="32"/>
          <w:lang w:eastAsia="zh-CN"/>
        </w:rPr>
        <w:t>二、2026年1-3月</w:t>
      </w:r>
      <w:r>
        <w:rPr>
          <w:rFonts w:hint="eastAsia" w:ascii="黑体" w:hAnsi="黑体" w:eastAsia="黑体"/>
          <w:b/>
          <w:sz w:val="32"/>
          <w:lang w:eastAsia="zh-CN"/>
        </w:rPr>
        <w:t>物业日常管理</w:t>
      </w:r>
      <w:r>
        <w:rPr>
          <w:rFonts w:ascii="黑体" w:hAnsi="黑体" w:eastAsia="黑体"/>
          <w:b/>
          <w:sz w:val="32"/>
          <w:lang w:eastAsia="zh-CN"/>
        </w:rPr>
        <w:t>类工单情况</w:t>
      </w:r>
    </w:p>
    <w:p>
      <w:pPr>
        <w:rPr>
          <w:rFonts w:hint="eastAsia" w:eastAsia="宋体"/>
          <w:lang w:eastAsia="zh-CN"/>
        </w:rPr>
      </w:pPr>
      <w:r>
        <w:rPr>
          <w:rFonts w:ascii="楷体_GB2312" w:hAnsi="楷体_GB2312" w:eastAsia="楷体_GB2312"/>
          <w:b/>
          <w:sz w:val="32"/>
          <w:lang w:eastAsia="zh-CN"/>
        </w:rPr>
        <w:t>（一）</w:t>
      </w:r>
      <w:r>
        <w:rPr>
          <w:rFonts w:hint="eastAsia" w:ascii="楷体_GB2312" w:hAnsi="楷体_GB2312" w:eastAsia="宋体"/>
          <w:b/>
          <w:sz w:val="32"/>
          <w:lang w:eastAsia="zh-CN"/>
        </w:rPr>
        <w:t>整体情况</w:t>
      </w:r>
    </w:p>
    <w:p>
      <w:pPr>
        <w:ind w:firstLine="420"/>
        <w:rPr>
          <w:rFonts w:hint="eastAsia" w:ascii="仿宋_GB2312" w:hAnsi="仿宋_GB2312" w:eastAsia="仿宋_GB2312"/>
          <w:sz w:val="32"/>
          <w:lang w:eastAsia="zh-CN"/>
        </w:rPr>
      </w:pPr>
      <w:r>
        <w:rPr>
          <w:rFonts w:ascii="仿宋_GB2312" w:hAnsi="仿宋_GB2312" w:eastAsia="仿宋_GB2312"/>
          <w:sz w:val="32"/>
          <w:lang w:eastAsia="zh-CN"/>
        </w:rPr>
        <w:t>本次统计周期为2026年1月1日至2026年3月31日，共分析</w:t>
      </w:r>
      <w:r>
        <w:rPr>
          <w:rFonts w:hint="eastAsia" w:ascii="仿宋_GB2312" w:hAnsi="仿宋_GB2312" w:eastAsia="仿宋_GB2312"/>
          <w:sz w:val="32"/>
          <w:lang w:eastAsia="zh-CN"/>
        </w:rPr>
        <w:t>物业日常管理类</w:t>
      </w:r>
      <w:r>
        <w:rPr>
          <w:rFonts w:ascii="仿宋_GB2312" w:hAnsi="仿宋_GB2312" w:eastAsia="仿宋_GB2312"/>
          <w:sz w:val="32"/>
          <w:lang w:eastAsia="zh-CN"/>
        </w:rPr>
        <w:t>工单</w:t>
      </w:r>
      <w:r>
        <w:rPr>
          <w:rFonts w:hint="eastAsia" w:ascii="仿宋_GB2312" w:hAnsi="仿宋_GB2312" w:eastAsia="仿宋_GB2312"/>
          <w:sz w:val="32"/>
          <w:lang w:eastAsia="zh-CN"/>
        </w:rPr>
        <w:t>1268</w:t>
      </w:r>
      <w:r>
        <w:rPr>
          <w:rFonts w:ascii="仿宋_GB2312" w:hAnsi="仿宋_GB2312" w:eastAsia="仿宋_GB2312"/>
          <w:sz w:val="32"/>
          <w:lang w:eastAsia="zh-CN"/>
        </w:rPr>
        <w:t xml:space="preserve"> 条，与2025年同期的 </w:t>
      </w:r>
      <w:r>
        <w:rPr>
          <w:rFonts w:hint="eastAsia" w:ascii="仿宋_GB2312" w:hAnsi="仿宋_GB2312" w:eastAsia="仿宋_GB2312"/>
          <w:sz w:val="32"/>
          <w:lang w:eastAsia="zh-CN"/>
        </w:rPr>
        <w:t>1577</w:t>
      </w:r>
      <w:r>
        <w:rPr>
          <w:rFonts w:ascii="仿宋_GB2312" w:hAnsi="仿宋_GB2312" w:eastAsia="仿宋_GB2312"/>
          <w:sz w:val="32"/>
          <w:lang w:eastAsia="zh-CN"/>
        </w:rPr>
        <w:t xml:space="preserve"> 条相比，</w:t>
      </w:r>
      <w:r>
        <w:rPr>
          <w:rFonts w:hint="eastAsia" w:ascii="仿宋_GB2312" w:hAnsi="仿宋_GB2312" w:eastAsia="仿宋_GB2312"/>
          <w:sz w:val="32"/>
          <w:lang w:eastAsia="zh-CN"/>
        </w:rPr>
        <w:t>下降309</w:t>
      </w:r>
      <w:r>
        <w:rPr>
          <w:rFonts w:ascii="仿宋_GB2312" w:hAnsi="仿宋_GB2312" w:eastAsia="仿宋_GB2312"/>
          <w:sz w:val="32"/>
          <w:lang w:eastAsia="zh-CN"/>
        </w:rPr>
        <w:t>条</w:t>
      </w:r>
      <w:r>
        <w:rPr>
          <w:rFonts w:hint="eastAsia" w:ascii="仿宋_GB2312" w:hAnsi="仿宋_GB2312" w:eastAsia="仿宋_GB2312"/>
          <w:sz w:val="32"/>
          <w:lang w:eastAsia="zh-CN"/>
        </w:rPr>
        <w:t>，同比下降19.59</w:t>
      </w:r>
      <w:r>
        <w:rPr>
          <w:rFonts w:ascii="仿宋_GB2312" w:hAnsi="仿宋_GB2312" w:eastAsia="仿宋_GB2312"/>
          <w:sz w:val="32"/>
          <w:lang w:eastAsia="zh-CN"/>
        </w:rPr>
        <w:t>%。</w:t>
      </w:r>
      <w:r>
        <w:rPr>
          <w:rFonts w:hint="eastAsia" w:ascii="仿宋_GB2312" w:hAnsi="仿宋_GB2312" w:eastAsia="仿宋_GB2312"/>
          <w:sz w:val="32"/>
          <w:lang w:eastAsia="zh-CN"/>
        </w:rPr>
        <w:t>涉及</w:t>
      </w:r>
      <w:r>
        <w:rPr>
          <w:rFonts w:ascii="仿宋_GB2312" w:hAnsi="仿宋_GB2312" w:eastAsia="仿宋_GB2312"/>
          <w:sz w:val="32"/>
          <w:lang w:eastAsia="zh-CN"/>
        </w:rPr>
        <w:t xml:space="preserve"> </w:t>
      </w:r>
      <w:r>
        <w:rPr>
          <w:rFonts w:hint="eastAsia" w:ascii="仿宋_GB2312" w:hAnsi="仿宋_GB2312" w:eastAsia="仿宋_GB2312"/>
          <w:sz w:val="32"/>
          <w:lang w:eastAsia="zh-CN"/>
        </w:rPr>
        <w:t>467</w:t>
      </w:r>
      <w:r>
        <w:rPr>
          <w:rFonts w:ascii="仿宋_GB2312" w:hAnsi="仿宋_GB2312" w:eastAsia="仿宋_GB2312"/>
          <w:sz w:val="32"/>
          <w:lang w:eastAsia="zh-CN"/>
        </w:rPr>
        <w:t xml:space="preserve"> </w:t>
      </w:r>
      <w:r>
        <w:rPr>
          <w:rFonts w:hint="eastAsia" w:ascii="仿宋_GB2312" w:hAnsi="仿宋_GB2312" w:eastAsia="仿宋_GB2312"/>
          <w:sz w:val="32"/>
          <w:lang w:eastAsia="zh-CN"/>
        </w:rPr>
        <w:t>个小区，占比47.41</w:t>
      </w:r>
      <w:r>
        <w:rPr>
          <w:rFonts w:ascii="仿宋_GB2312" w:hAnsi="仿宋_GB2312" w:eastAsia="仿宋_GB2312"/>
          <w:sz w:val="32"/>
          <w:lang w:eastAsia="zh-CN"/>
        </w:rPr>
        <w:t>%</w:t>
      </w:r>
      <w:r>
        <w:rPr>
          <w:rFonts w:hint="eastAsia" w:ascii="仿宋_GB2312" w:hAnsi="仿宋_GB2312" w:eastAsia="仿宋_GB2312"/>
          <w:sz w:val="32"/>
          <w:lang w:eastAsia="zh-CN"/>
        </w:rPr>
        <w:t>；涉及物业服务企业168家，占比67.2</w:t>
      </w:r>
      <w:r>
        <w:rPr>
          <w:rFonts w:ascii="仿宋_GB2312" w:hAnsi="仿宋_GB2312" w:eastAsia="仿宋_GB2312"/>
          <w:sz w:val="32"/>
          <w:lang w:eastAsia="zh-CN"/>
        </w:rPr>
        <w:t>%</w:t>
      </w:r>
      <w:r>
        <w:rPr>
          <w:rFonts w:hint="eastAsia" w:ascii="仿宋_GB2312" w:hAnsi="仿宋_GB2312" w:eastAsia="仿宋_GB2312"/>
          <w:sz w:val="32"/>
          <w:lang w:eastAsia="zh-CN"/>
        </w:rPr>
        <w:t>。</w:t>
      </w:r>
    </w:p>
    <w:p>
      <w:pPr>
        <w:rPr>
          <w:lang w:eastAsia="zh-CN"/>
        </w:rPr>
      </w:pPr>
      <w:r>
        <w:rPr>
          <w:rFonts w:ascii="楷体_GB2312" w:hAnsi="楷体_GB2312" w:eastAsia="楷体_GB2312"/>
          <w:b/>
          <w:sz w:val="32"/>
          <w:lang w:eastAsia="zh-CN"/>
        </w:rPr>
        <w:t>（二）多维度分析</w:t>
      </w:r>
    </w:p>
    <w:p>
      <w:pPr>
        <w:rPr>
          <w:lang w:eastAsia="zh-CN"/>
        </w:rPr>
      </w:pPr>
      <w:r>
        <w:rPr>
          <w:rFonts w:ascii="仿宋_GB2312" w:hAnsi="仿宋_GB2312" w:eastAsia="仿宋_GB2312"/>
          <w:b/>
          <w:sz w:val="32"/>
          <w:lang w:eastAsia="zh-CN"/>
        </w:rPr>
        <w:t>1. 按工单量分布情况分析</w:t>
      </w:r>
    </w:p>
    <w:tbl>
      <w:tblPr>
        <w:tblStyle w:val="35"/>
        <w:tblW w:w="8208" w:type="dxa"/>
        <w:tblInd w:w="689" w:type="dxa"/>
        <w:tblLayout w:type="autofit"/>
        <w:tblCellMar>
          <w:top w:w="0" w:type="dxa"/>
          <w:left w:w="108" w:type="dxa"/>
          <w:bottom w:w="0" w:type="dxa"/>
          <w:right w:w="108" w:type="dxa"/>
        </w:tblCellMar>
      </w:tblPr>
      <w:tblGrid>
        <w:gridCol w:w="2820"/>
        <w:gridCol w:w="2140"/>
        <w:gridCol w:w="1940"/>
        <w:gridCol w:w="1308"/>
      </w:tblGrid>
      <w:tr>
        <w:trPr>
          <w:trHeight w:val="270" w:hRule="atLeast"/>
        </w:trPr>
        <w:tc>
          <w:tcPr>
            <w:tcW w:w="282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诉求类别</w:t>
            </w:r>
          </w:p>
        </w:tc>
        <w:tc>
          <w:tcPr>
            <w:tcW w:w="214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2026年</w:t>
            </w:r>
            <w:r>
              <w:rPr>
                <w:rFonts w:hint="eastAsia" w:ascii="宋体" w:hAnsi="宋体" w:eastAsia="宋体" w:cs="宋体"/>
                <w:b/>
                <w:bCs/>
                <w:color w:val="000000"/>
                <w:lang w:val="en-US" w:eastAsia="zh-CN"/>
              </w:rPr>
              <w:t>第一季度</w:t>
            </w:r>
            <w:r>
              <w:rPr>
                <w:rFonts w:hint="eastAsia" w:ascii="宋体" w:hAnsi="宋体" w:eastAsia="宋体" w:cs="宋体"/>
                <w:b/>
                <w:bCs/>
                <w:color w:val="000000"/>
                <w:lang w:eastAsia="zh-CN"/>
              </w:rPr>
              <w:t>数量</w:t>
            </w:r>
          </w:p>
        </w:tc>
        <w:tc>
          <w:tcPr>
            <w:tcW w:w="194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2025年</w:t>
            </w:r>
            <w:r>
              <w:rPr>
                <w:rFonts w:hint="eastAsia" w:ascii="宋体" w:hAnsi="宋体" w:eastAsia="宋体" w:cs="宋体"/>
                <w:b/>
                <w:bCs/>
                <w:color w:val="000000"/>
                <w:lang w:val="en-US" w:eastAsia="zh-CN"/>
              </w:rPr>
              <w:t>第一季度</w:t>
            </w:r>
            <w:r>
              <w:rPr>
                <w:rFonts w:hint="eastAsia" w:ascii="宋体" w:hAnsi="宋体" w:eastAsia="宋体" w:cs="宋体"/>
                <w:b/>
                <w:bCs/>
                <w:color w:val="000000"/>
                <w:lang w:eastAsia="zh-CN"/>
              </w:rPr>
              <w:t>数量</w:t>
            </w:r>
          </w:p>
        </w:tc>
        <w:tc>
          <w:tcPr>
            <w:tcW w:w="1308"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同比变化</w:t>
            </w:r>
          </w:p>
        </w:tc>
      </w:tr>
      <w:tr>
        <w:trPr>
          <w:trHeight w:val="270" w:hRule="atLeast"/>
        </w:trPr>
        <w:tc>
          <w:tcPr>
            <w:tcW w:w="282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p>
        </w:tc>
        <w:tc>
          <w:tcPr>
            <w:tcW w:w="21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588</w:t>
            </w:r>
          </w:p>
        </w:tc>
        <w:tc>
          <w:tcPr>
            <w:tcW w:w="1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664</w:t>
            </w:r>
          </w:p>
        </w:tc>
        <w:tc>
          <w:tcPr>
            <w:tcW w:w="1308"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-11.45%</w:t>
            </w:r>
          </w:p>
        </w:tc>
      </w:tr>
      <w:tr>
        <w:trPr>
          <w:trHeight w:val="270" w:hRule="atLeast"/>
        </w:trPr>
        <w:tc>
          <w:tcPr>
            <w:tcW w:w="282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非直管公房物业维修养护</w:t>
            </w:r>
          </w:p>
        </w:tc>
        <w:tc>
          <w:tcPr>
            <w:tcW w:w="21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172</w:t>
            </w:r>
          </w:p>
        </w:tc>
        <w:tc>
          <w:tcPr>
            <w:tcW w:w="1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192</w:t>
            </w:r>
          </w:p>
        </w:tc>
        <w:tc>
          <w:tcPr>
            <w:tcW w:w="1308"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-10.42%</w:t>
            </w:r>
          </w:p>
        </w:tc>
      </w:tr>
      <w:tr>
        <w:trPr>
          <w:trHeight w:val="270" w:hRule="atLeast"/>
        </w:trPr>
        <w:tc>
          <w:tcPr>
            <w:tcW w:w="282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绿化养护、修剪</w:t>
            </w:r>
          </w:p>
        </w:tc>
        <w:tc>
          <w:tcPr>
            <w:tcW w:w="21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94</w:t>
            </w:r>
          </w:p>
        </w:tc>
        <w:tc>
          <w:tcPr>
            <w:tcW w:w="1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150</w:t>
            </w:r>
          </w:p>
        </w:tc>
        <w:tc>
          <w:tcPr>
            <w:tcW w:w="1308"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-37.33%</w:t>
            </w:r>
          </w:p>
        </w:tc>
      </w:tr>
      <w:tr>
        <w:trPr>
          <w:trHeight w:val="270" w:hRule="atLeast"/>
        </w:trPr>
        <w:tc>
          <w:tcPr>
            <w:tcW w:w="282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门卫保安</w:t>
            </w:r>
          </w:p>
        </w:tc>
        <w:tc>
          <w:tcPr>
            <w:tcW w:w="21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89</w:t>
            </w:r>
          </w:p>
        </w:tc>
        <w:tc>
          <w:tcPr>
            <w:tcW w:w="1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78</w:t>
            </w:r>
          </w:p>
        </w:tc>
        <w:tc>
          <w:tcPr>
            <w:tcW w:w="1308"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14.10%</w:t>
            </w:r>
          </w:p>
        </w:tc>
      </w:tr>
      <w:tr>
        <w:trPr>
          <w:trHeight w:val="270" w:hRule="atLeast"/>
        </w:trPr>
        <w:tc>
          <w:tcPr>
            <w:tcW w:w="282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物业纠纷</w:t>
            </w:r>
          </w:p>
        </w:tc>
        <w:tc>
          <w:tcPr>
            <w:tcW w:w="21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64</w:t>
            </w:r>
          </w:p>
        </w:tc>
        <w:tc>
          <w:tcPr>
            <w:tcW w:w="1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72</w:t>
            </w:r>
          </w:p>
        </w:tc>
        <w:tc>
          <w:tcPr>
            <w:tcW w:w="1308"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-11.11%</w:t>
            </w:r>
          </w:p>
        </w:tc>
      </w:tr>
      <w:tr>
        <w:trPr>
          <w:trHeight w:val="270" w:hRule="atLeast"/>
        </w:trPr>
        <w:tc>
          <w:tcPr>
            <w:tcW w:w="282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物业管理费</w:t>
            </w:r>
          </w:p>
        </w:tc>
        <w:tc>
          <w:tcPr>
            <w:tcW w:w="21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58</w:t>
            </w:r>
          </w:p>
        </w:tc>
        <w:tc>
          <w:tcPr>
            <w:tcW w:w="1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59</w:t>
            </w:r>
          </w:p>
        </w:tc>
        <w:tc>
          <w:tcPr>
            <w:tcW w:w="1308"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-1.69%</w:t>
            </w:r>
          </w:p>
        </w:tc>
      </w:tr>
      <w:tr>
        <w:trPr>
          <w:trHeight w:val="270" w:hRule="atLeast"/>
        </w:trPr>
        <w:tc>
          <w:tcPr>
            <w:tcW w:w="282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改建设施</w:t>
            </w:r>
          </w:p>
        </w:tc>
        <w:tc>
          <w:tcPr>
            <w:tcW w:w="21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51</w:t>
            </w:r>
          </w:p>
        </w:tc>
        <w:tc>
          <w:tcPr>
            <w:tcW w:w="1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182</w:t>
            </w:r>
          </w:p>
        </w:tc>
        <w:tc>
          <w:tcPr>
            <w:tcW w:w="1308"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-71.98%</w:t>
            </w:r>
          </w:p>
        </w:tc>
      </w:tr>
      <w:tr>
        <w:trPr>
          <w:trHeight w:val="270" w:hRule="atLeast"/>
        </w:trPr>
        <w:tc>
          <w:tcPr>
            <w:tcW w:w="282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维修资金使用管理</w:t>
            </w:r>
          </w:p>
        </w:tc>
        <w:tc>
          <w:tcPr>
            <w:tcW w:w="21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42</w:t>
            </w:r>
          </w:p>
        </w:tc>
        <w:tc>
          <w:tcPr>
            <w:tcW w:w="1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54</w:t>
            </w:r>
          </w:p>
        </w:tc>
        <w:tc>
          <w:tcPr>
            <w:tcW w:w="1308"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-22.22%</w:t>
            </w:r>
          </w:p>
        </w:tc>
      </w:tr>
      <w:tr>
        <w:trPr>
          <w:trHeight w:val="270" w:hRule="atLeast"/>
        </w:trPr>
        <w:tc>
          <w:tcPr>
            <w:tcW w:w="282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安保管理</w:t>
            </w:r>
          </w:p>
        </w:tc>
        <w:tc>
          <w:tcPr>
            <w:tcW w:w="21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33</w:t>
            </w:r>
          </w:p>
        </w:tc>
        <w:tc>
          <w:tcPr>
            <w:tcW w:w="1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35</w:t>
            </w:r>
          </w:p>
        </w:tc>
        <w:tc>
          <w:tcPr>
            <w:tcW w:w="1308"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-5.71%</w:t>
            </w:r>
          </w:p>
        </w:tc>
      </w:tr>
      <w:tr>
        <w:trPr>
          <w:trHeight w:val="270" w:hRule="atLeast"/>
        </w:trPr>
        <w:tc>
          <w:tcPr>
            <w:tcW w:w="282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直管公房物业维修养护</w:t>
            </w:r>
          </w:p>
        </w:tc>
        <w:tc>
          <w:tcPr>
            <w:tcW w:w="21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32</w:t>
            </w:r>
          </w:p>
        </w:tc>
        <w:tc>
          <w:tcPr>
            <w:tcW w:w="1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35</w:t>
            </w:r>
          </w:p>
        </w:tc>
        <w:tc>
          <w:tcPr>
            <w:tcW w:w="1308"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-8.57%</w:t>
            </w:r>
          </w:p>
        </w:tc>
      </w:tr>
      <w:tr>
        <w:trPr>
          <w:trHeight w:val="270" w:hRule="atLeast"/>
        </w:trPr>
        <w:tc>
          <w:tcPr>
            <w:tcW w:w="282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增设设施</w:t>
            </w:r>
          </w:p>
        </w:tc>
        <w:tc>
          <w:tcPr>
            <w:tcW w:w="21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28</w:t>
            </w:r>
          </w:p>
        </w:tc>
        <w:tc>
          <w:tcPr>
            <w:tcW w:w="1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29</w:t>
            </w:r>
          </w:p>
        </w:tc>
        <w:tc>
          <w:tcPr>
            <w:tcW w:w="1308"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-3.45%</w:t>
            </w:r>
          </w:p>
        </w:tc>
      </w:tr>
      <w:tr>
        <w:trPr>
          <w:trHeight w:val="270" w:hRule="atLeast"/>
        </w:trPr>
        <w:tc>
          <w:tcPr>
            <w:tcW w:w="282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绿化调整</w:t>
            </w:r>
          </w:p>
        </w:tc>
        <w:tc>
          <w:tcPr>
            <w:tcW w:w="21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16</w:t>
            </w:r>
          </w:p>
        </w:tc>
        <w:tc>
          <w:tcPr>
            <w:tcW w:w="1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23</w:t>
            </w:r>
          </w:p>
        </w:tc>
        <w:tc>
          <w:tcPr>
            <w:tcW w:w="1308"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-30.43%</w:t>
            </w:r>
          </w:p>
        </w:tc>
      </w:tr>
      <w:tr>
        <w:trPr>
          <w:trHeight w:val="270" w:hRule="atLeast"/>
        </w:trPr>
        <w:tc>
          <w:tcPr>
            <w:tcW w:w="282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小区树木倒伏</w:t>
            </w:r>
          </w:p>
        </w:tc>
        <w:tc>
          <w:tcPr>
            <w:tcW w:w="21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w:t>
            </w:r>
          </w:p>
        </w:tc>
        <w:tc>
          <w:tcPr>
            <w:tcW w:w="1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w:t>
            </w:r>
          </w:p>
        </w:tc>
        <w:tc>
          <w:tcPr>
            <w:tcW w:w="1308"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0.00%</w:t>
            </w:r>
          </w:p>
        </w:tc>
      </w:tr>
      <w:tr>
        <w:trPr>
          <w:trHeight w:val="270" w:hRule="atLeast"/>
        </w:trPr>
        <w:tc>
          <w:tcPr>
            <w:tcW w:w="282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垃圾收集点周边卫生</w:t>
            </w:r>
          </w:p>
        </w:tc>
        <w:tc>
          <w:tcPr>
            <w:tcW w:w="21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w:t>
            </w:r>
          </w:p>
        </w:tc>
        <w:tc>
          <w:tcPr>
            <w:tcW w:w="1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w:t>
            </w:r>
          </w:p>
        </w:tc>
        <w:tc>
          <w:tcPr>
            <w:tcW w:w="1308"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-100.00%</w:t>
            </w:r>
          </w:p>
        </w:tc>
      </w:tr>
      <w:tr>
        <w:trPr>
          <w:trHeight w:val="270" w:hRule="atLeast"/>
        </w:trPr>
        <w:tc>
          <w:tcPr>
            <w:tcW w:w="282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962121报修</w:t>
            </w:r>
          </w:p>
        </w:tc>
        <w:tc>
          <w:tcPr>
            <w:tcW w:w="21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w:t>
            </w:r>
          </w:p>
        </w:tc>
        <w:tc>
          <w:tcPr>
            <w:tcW w:w="1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w:t>
            </w:r>
          </w:p>
        </w:tc>
        <w:tc>
          <w:tcPr>
            <w:tcW w:w="1308"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-100.00%</w:t>
            </w:r>
          </w:p>
        </w:tc>
      </w:tr>
    </w:tbl>
    <w:p>
      <w:pPr>
        <w:pStyle w:val="2"/>
        <w:ind w:left="440"/>
        <w:rPr>
          <w:rFonts w:hint="eastAsia" w:eastAsia="宋体"/>
          <w:lang w:eastAsia="zh-CN"/>
        </w:rPr>
      </w:pPr>
    </w:p>
    <w:p>
      <w:pPr>
        <w:ind w:firstLine="420"/>
        <w:rPr>
          <w:rFonts w:hint="eastAsia" w:ascii="仿宋_GB2312" w:hAnsi="华文中宋" w:eastAsia="仿宋_GB2312" w:cs="Times New Roman"/>
          <w:b w:val="0"/>
          <w:bCs w:val="0"/>
          <w:sz w:val="30"/>
          <w:szCs w:val="30"/>
          <w:lang w:val="en-US" w:eastAsia="zh-CN"/>
          <w14:ligatures w14:val="standardContextual"/>
        </w:rPr>
      </w:pPr>
      <w:r>
        <w:rPr>
          <w:rFonts w:ascii="仿宋_GB2312" w:hAnsi="仿宋_GB2312" w:eastAsia="仿宋_GB2312"/>
          <w:b/>
          <w:bCs/>
          <w:sz w:val="32"/>
        </w:rPr>
        <w:t>建议措施：</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default" w:ascii="仿宋_GB2312" w:hAnsi="华文中宋" w:eastAsia="仿宋_GB2312" w:cs="Times New Roman"/>
          <w:b w:val="0"/>
          <w:bCs w:val="0"/>
          <w:sz w:val="32"/>
          <w:szCs w:val="32"/>
          <w:lang w:val="en-US" w:eastAsia="zh-CN"/>
          <w14:ligatures w14:val="standardContextual"/>
        </w:rPr>
      </w:pPr>
      <w:r>
        <w:rPr>
          <w:rFonts w:hint="eastAsia" w:ascii="仿宋_GB2312" w:hAnsi="华文中宋" w:eastAsia="仿宋_GB2312" w:cs="Times New Roman"/>
          <w:b w:val="0"/>
          <w:bCs w:val="0"/>
          <w:sz w:val="32"/>
          <w:szCs w:val="32"/>
          <w:lang w:val="en-US" w:eastAsia="zh-CN"/>
          <w14:ligatures w14:val="standardContextual"/>
        </w:rPr>
        <w:t>物业做好小区保安、保洁、保修、保绿主责主业工作，重点解决小区垃圾厢房及投放点周边环境卫生等投诉集中问题。</w:t>
      </w:r>
      <w:r>
        <w:rPr>
          <w:rFonts w:hint="eastAsia" w:ascii="仿宋_GB2312" w:eastAsia="仿宋_GB2312"/>
          <w:sz w:val="32"/>
          <w:szCs w:val="32"/>
          <w:lang w:val="en-US" w:eastAsia="zh-CN"/>
        </w:rPr>
        <w:t>针对居民报修，做到急修30分钟到现场，一般维修30分钟联系、24小时内上门维修。</w:t>
      </w:r>
      <w:r>
        <w:rPr>
          <w:rFonts w:hint="eastAsia" w:ascii="仿宋_GB2312" w:hAnsi="华文中宋" w:eastAsia="仿宋_GB2312" w:cs="Times New Roman"/>
          <w:b w:val="0"/>
          <w:bCs w:val="0"/>
          <w:sz w:val="32"/>
          <w:szCs w:val="32"/>
          <w:lang w:val="en-US" w:eastAsia="zh-CN"/>
          <w14:ligatures w14:val="standardContextual"/>
        </w:rPr>
        <w:t>对居民自用部位报修的收费问题，严格执行“维修前告知”，避免居民产生误解。汛期前做好小区高大树木的检查加固工作，对发生倒伏的树木及时进行清理和扶正加固。</w:t>
      </w:r>
    </w:p>
    <w:p>
      <w:pPr>
        <w:keepNext w:val="0"/>
        <w:keepLines w:val="0"/>
        <w:pageBreakBefore w:val="0"/>
        <w:widowControl w:val="0"/>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华文中宋" w:eastAsia="仿宋_GB2312" w:cs="Times New Roman"/>
          <w:b w:val="0"/>
          <w:bCs w:val="0"/>
          <w:sz w:val="32"/>
          <w:szCs w:val="32"/>
          <w:lang w:val="en-US" w:eastAsia="zh-CN"/>
          <w14:ligatures w14:val="standardContextual"/>
        </w:rPr>
      </w:pPr>
      <w:r>
        <w:rPr>
          <w:rFonts w:hint="eastAsia" w:ascii="仿宋_GB2312" w:hAnsi="华文中宋" w:eastAsia="仿宋_GB2312" w:cs="Times New Roman"/>
          <w:b w:val="0"/>
          <w:bCs w:val="0"/>
          <w:sz w:val="32"/>
          <w:szCs w:val="32"/>
          <w:lang w:val="en-US" w:eastAsia="zh-CN"/>
          <w14:ligatures w14:val="standardContextual"/>
        </w:rPr>
        <w:t>针对物业纠纷、安全问题，各街镇牵头组织各小区“一规两约”全覆盖更新修订，协商制定小区人员出入等管理规约。</w:t>
      </w:r>
    </w:p>
    <w:p>
      <w:pPr>
        <w:keepNext w:val="0"/>
        <w:keepLines w:val="0"/>
        <w:pageBreakBefore w:val="0"/>
        <w:widowControl w:val="0"/>
        <w:kinsoku/>
        <w:wordWrap/>
        <w:overflowPunct/>
        <w:topLinePunct w:val="0"/>
        <w:autoSpaceDE/>
        <w:autoSpaceDN/>
        <w:bidi w:val="0"/>
        <w:adjustRightInd/>
        <w:snapToGrid/>
        <w:spacing w:line="500" w:lineRule="exact"/>
        <w:ind w:firstLine="640" w:firstLineChars="200"/>
        <w:jc w:val="both"/>
        <w:textAlignment w:val="auto"/>
        <w:rPr>
          <w:rFonts w:hint="eastAsia" w:ascii="仿宋_GB2312" w:hAnsi="华文中宋" w:eastAsia="仿宋_GB2312"/>
          <w:b w:val="0"/>
          <w:bCs w:val="0"/>
          <w:sz w:val="32"/>
          <w:szCs w:val="32"/>
          <w:highlight w:val="none"/>
          <w:lang w:val="en-US" w:eastAsia="zh-CN"/>
        </w:rPr>
      </w:pPr>
      <w:r>
        <w:rPr>
          <w:rFonts w:hint="eastAsia" w:ascii="仿宋_GB2312" w:hAnsi="华文中宋" w:eastAsia="仿宋_GB2312" w:cs="Times New Roman"/>
          <w:b w:val="0"/>
          <w:bCs w:val="0"/>
          <w:sz w:val="32"/>
          <w:szCs w:val="32"/>
          <w:highlight w:val="none"/>
          <w:lang w:val="en-US" w:eastAsia="zh-CN"/>
          <w14:ligatures w14:val="standardContextual"/>
        </w:rPr>
        <w:t>针对物业职责范围内的工单，</w:t>
      </w:r>
      <w:r>
        <w:rPr>
          <w:rFonts w:hint="eastAsia" w:ascii="仿宋_GB2312" w:hAnsi="华文中宋" w:eastAsia="仿宋_GB2312"/>
          <w:b w:val="0"/>
          <w:bCs w:val="0"/>
          <w:sz w:val="32"/>
          <w:szCs w:val="32"/>
          <w:highlight w:val="none"/>
          <w:lang w:val="en-US" w:eastAsia="zh-CN"/>
        </w:rPr>
        <w:t>街镇城建中心督促物业及时整改。对物业未尽到发现、劝阻、报告职责，或未按要求及时完成整改的，城建中心及时报街镇城管中队和区房管局进行行政处罚和信用记分处理。</w:t>
      </w:r>
    </w:p>
    <w:p>
      <w:pPr>
        <w:keepNext w:val="0"/>
        <w:keepLines w:val="0"/>
        <w:pageBreakBefore w:val="0"/>
        <w:widowControl w:val="0"/>
        <w:numPr>
          <w:ilvl w:val="0"/>
          <w:numId w:val="0"/>
        </w:numPr>
        <w:kinsoku/>
        <w:wordWrap/>
        <w:overflowPunct/>
        <w:topLinePunct w:val="0"/>
        <w:autoSpaceDE/>
        <w:autoSpaceDN/>
        <w:bidi w:val="0"/>
        <w:adjustRightInd/>
        <w:snapToGrid/>
        <w:spacing w:line="500" w:lineRule="exact"/>
        <w:ind w:firstLine="640" w:firstLineChars="200"/>
        <w:jc w:val="both"/>
        <w:textAlignment w:val="auto"/>
        <w:rPr>
          <w:rFonts w:hint="eastAsia"/>
          <w:lang w:val="en-US" w:eastAsia="zh-CN"/>
        </w:rPr>
      </w:pPr>
      <w:r>
        <w:rPr>
          <w:rFonts w:hint="eastAsia" w:ascii="仿宋_GB2312" w:hAnsi="华文中宋" w:eastAsia="仿宋_GB2312" w:cs="Times New Roman"/>
          <w:b w:val="0"/>
          <w:bCs w:val="0"/>
          <w:sz w:val="32"/>
          <w:szCs w:val="32"/>
          <w:lang w:val="en-US" w:eastAsia="zh-CN"/>
          <w14:ligatures w14:val="standardContextual"/>
        </w:rPr>
        <w:t>针对小区</w:t>
      </w:r>
      <w:r>
        <w:rPr>
          <w:rFonts w:hint="default" w:ascii="仿宋_GB2312" w:hAnsi="华文中宋" w:eastAsia="仿宋_GB2312" w:cs="Times New Roman"/>
          <w:b w:val="0"/>
          <w:bCs w:val="0"/>
          <w:sz w:val="32"/>
          <w:szCs w:val="32"/>
          <w:lang w:val="en-US" w:eastAsia="zh-CN"/>
          <w14:ligatures w14:val="standardContextual"/>
        </w:rPr>
        <w:t>绿化养护、修剪</w:t>
      </w:r>
      <w:r>
        <w:rPr>
          <w:rFonts w:hint="eastAsia" w:ascii="仿宋_GB2312" w:hAnsi="华文中宋" w:eastAsia="仿宋_GB2312" w:cs="Times New Roman"/>
          <w:b w:val="0"/>
          <w:bCs w:val="0"/>
          <w:sz w:val="32"/>
          <w:szCs w:val="32"/>
          <w:lang w:val="en-US" w:eastAsia="zh-CN"/>
          <w14:ligatures w14:val="standardContextual"/>
        </w:rPr>
        <w:t>、调整、树木倒伏等问题，区绿化市容局组织物业企业开展培训，就绿化养护、调整、修剪、汛期前树木加固、树木安全的初步鉴定等知识做好宣贯，帮助物业降低小区绿化类投诉。</w:t>
      </w:r>
      <w:bookmarkStart w:id="0" w:name="_GoBack"/>
      <w:bookmarkEnd w:id="0"/>
    </w:p>
    <w:p>
      <w:pPr>
        <w:rPr>
          <w:rFonts w:ascii="仿宋_GB2312" w:hAnsi="仿宋_GB2312" w:eastAsia="仿宋_GB2312"/>
          <w:b/>
          <w:sz w:val="32"/>
          <w:lang w:eastAsia="zh-CN"/>
        </w:rPr>
      </w:pPr>
    </w:p>
    <w:p>
      <w:pPr>
        <w:rPr>
          <w:rFonts w:hint="eastAsia" w:ascii="仿宋_GB2312" w:hAnsi="仿宋_GB2312" w:eastAsia="仿宋_GB2312"/>
          <w:b/>
          <w:sz w:val="32"/>
          <w:lang w:eastAsia="zh-CN"/>
        </w:rPr>
      </w:pPr>
      <w:r>
        <w:rPr>
          <w:rFonts w:ascii="仿宋_GB2312" w:hAnsi="仿宋_GB2312" w:eastAsia="仿宋_GB2312"/>
          <w:b/>
          <w:sz w:val="32"/>
          <w:lang w:eastAsia="zh-CN"/>
        </w:rPr>
        <w:t>2. 按物业服务企业分析</w:t>
      </w:r>
    </w:p>
    <w:p>
      <w:pPr>
        <w:rPr>
          <w:rFonts w:hint="eastAsia" w:ascii="仿宋_GB2312" w:hAnsi="仿宋_GB2312" w:eastAsia="仿宋_GB2312"/>
          <w:b/>
          <w:sz w:val="32"/>
          <w:lang w:eastAsia="zh-CN"/>
        </w:rPr>
      </w:pPr>
      <w:r>
        <w:rPr>
          <w:rFonts w:ascii="仿宋_GB2312" w:hAnsi="仿宋_GB2312" w:eastAsia="仿宋_GB2312"/>
          <w:b/>
          <w:sz w:val="32"/>
          <w:lang w:eastAsia="zh-CN"/>
        </w:rPr>
        <w:t>（1）工单数量</w:t>
      </w:r>
      <w:r>
        <w:rPr>
          <w:rFonts w:hint="eastAsia" w:ascii="仿宋_GB2312" w:hAnsi="仿宋_GB2312" w:eastAsia="仿宋_GB2312"/>
          <w:b/>
          <w:sz w:val="32"/>
          <w:lang w:eastAsia="zh-CN"/>
        </w:rPr>
        <w:t>前十物业</w:t>
      </w:r>
      <w:r>
        <w:rPr>
          <w:rFonts w:ascii="仿宋_GB2312" w:hAnsi="仿宋_GB2312" w:eastAsia="仿宋_GB2312"/>
          <w:b/>
          <w:sz w:val="32"/>
          <w:lang w:eastAsia="zh-CN"/>
        </w:rPr>
        <w:t>情况</w:t>
      </w:r>
    </w:p>
    <w:tbl>
      <w:tblPr>
        <w:tblStyle w:val="35"/>
        <w:tblW w:w="10490" w:type="dxa"/>
        <w:tblInd w:w="-459" w:type="dxa"/>
        <w:tblLayout w:type="autofit"/>
        <w:tblCellMar>
          <w:top w:w="0" w:type="dxa"/>
          <w:left w:w="108" w:type="dxa"/>
          <w:bottom w:w="0" w:type="dxa"/>
          <w:right w:w="108" w:type="dxa"/>
        </w:tblCellMar>
      </w:tblPr>
      <w:tblGrid>
        <w:gridCol w:w="567"/>
        <w:gridCol w:w="2694"/>
        <w:gridCol w:w="992"/>
        <w:gridCol w:w="992"/>
        <w:gridCol w:w="766"/>
        <w:gridCol w:w="935"/>
        <w:gridCol w:w="3544"/>
      </w:tblGrid>
      <w:tr>
        <w:trPr>
          <w:trHeight w:val="540" w:hRule="atLeast"/>
        </w:trPr>
        <w:tc>
          <w:tcPr>
            <w:tcW w:w="567"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序号</w:t>
            </w:r>
          </w:p>
        </w:tc>
        <w:tc>
          <w:tcPr>
            <w:tcW w:w="2694"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物业</w:t>
            </w:r>
          </w:p>
        </w:tc>
        <w:tc>
          <w:tcPr>
            <w:tcW w:w="992"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工单量</w:t>
            </w:r>
          </w:p>
        </w:tc>
        <w:tc>
          <w:tcPr>
            <w:tcW w:w="992"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在管</w:t>
            </w:r>
            <w:r>
              <w:rPr>
                <w:rFonts w:hint="eastAsia" w:ascii="宋体" w:hAnsi="宋体" w:eastAsia="宋体" w:cs="宋体"/>
                <w:b/>
                <w:bCs/>
                <w:color w:val="000000"/>
                <w:lang w:eastAsia="zh-CN"/>
              </w:rPr>
              <w:br w:type="textWrapping"/>
            </w:r>
            <w:r>
              <w:rPr>
                <w:rFonts w:hint="eastAsia" w:ascii="宋体" w:hAnsi="宋体" w:eastAsia="宋体" w:cs="宋体"/>
                <w:b/>
                <w:bCs/>
                <w:color w:val="000000"/>
                <w:lang w:eastAsia="zh-CN"/>
              </w:rPr>
              <w:t>小区数</w:t>
            </w:r>
          </w:p>
        </w:tc>
        <w:tc>
          <w:tcPr>
            <w:tcW w:w="76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在管</w:t>
            </w:r>
            <w:r>
              <w:rPr>
                <w:rFonts w:hint="eastAsia" w:ascii="宋体" w:hAnsi="宋体" w:eastAsia="宋体" w:cs="宋体"/>
                <w:b/>
                <w:bCs/>
                <w:color w:val="000000"/>
                <w:lang w:eastAsia="zh-CN"/>
              </w:rPr>
              <w:br w:type="textWrapping"/>
            </w:r>
            <w:r>
              <w:rPr>
                <w:rFonts w:hint="eastAsia" w:ascii="宋体" w:hAnsi="宋体" w:eastAsia="宋体" w:cs="宋体"/>
                <w:b/>
                <w:bCs/>
                <w:color w:val="000000"/>
                <w:lang w:eastAsia="zh-CN"/>
              </w:rPr>
              <w:t>户数</w:t>
            </w:r>
          </w:p>
        </w:tc>
        <w:tc>
          <w:tcPr>
            <w:tcW w:w="935"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密度</w:t>
            </w:r>
          </w:p>
        </w:tc>
        <w:tc>
          <w:tcPr>
            <w:tcW w:w="3544"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诉求较高的前三项</w:t>
            </w:r>
            <w:r>
              <w:rPr>
                <w:rFonts w:hint="eastAsia" w:ascii="宋体" w:hAnsi="宋体" w:eastAsia="宋体" w:cs="宋体"/>
                <w:b/>
                <w:bCs/>
                <w:color w:val="000000"/>
                <w:lang w:eastAsia="zh-CN"/>
              </w:rPr>
              <w:br w:type="textWrapping"/>
            </w:r>
            <w:r>
              <w:rPr>
                <w:rFonts w:hint="eastAsia" w:ascii="宋体" w:hAnsi="宋体" w:eastAsia="宋体" w:cs="宋体"/>
                <w:b/>
                <w:bCs/>
                <w:color w:val="000000"/>
                <w:lang w:eastAsia="zh-CN"/>
              </w:rPr>
              <w:t>（按子类统计）</w:t>
            </w:r>
          </w:p>
        </w:tc>
      </w:tr>
      <w:tr>
        <w:trPr>
          <w:trHeight w:val="810" w:hRule="atLeast"/>
        </w:trPr>
        <w:tc>
          <w:tcPr>
            <w:tcW w:w="567"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w:t>
            </w:r>
          </w:p>
        </w:tc>
        <w:tc>
          <w:tcPr>
            <w:tcW w:w="2694"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上海高建物业有限公司</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145</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79</w:t>
            </w:r>
          </w:p>
        </w:tc>
        <w:tc>
          <w:tcPr>
            <w:tcW w:w="766"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44976</w:t>
            </w:r>
          </w:p>
        </w:tc>
        <w:tc>
          <w:tcPr>
            <w:tcW w:w="935"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0.32</w:t>
            </w:r>
          </w:p>
        </w:tc>
        <w:tc>
          <w:tcPr>
            <w:tcW w:w="3544"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门卫保安</w:t>
            </w:r>
          </w:p>
        </w:tc>
      </w:tr>
      <w:tr>
        <w:trPr>
          <w:trHeight w:val="810" w:hRule="atLeast"/>
        </w:trPr>
        <w:tc>
          <w:tcPr>
            <w:tcW w:w="567"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w:t>
            </w:r>
          </w:p>
        </w:tc>
        <w:tc>
          <w:tcPr>
            <w:tcW w:w="2694"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上海衡复物业有限公司</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111</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103</w:t>
            </w:r>
          </w:p>
        </w:tc>
        <w:tc>
          <w:tcPr>
            <w:tcW w:w="766"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30640</w:t>
            </w:r>
          </w:p>
        </w:tc>
        <w:tc>
          <w:tcPr>
            <w:tcW w:w="935"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0.36</w:t>
            </w:r>
          </w:p>
        </w:tc>
        <w:tc>
          <w:tcPr>
            <w:tcW w:w="3544"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p>
        </w:tc>
      </w:tr>
      <w:tr>
        <w:trPr>
          <w:trHeight w:val="810" w:hRule="atLeast"/>
        </w:trPr>
        <w:tc>
          <w:tcPr>
            <w:tcW w:w="567"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w:t>
            </w:r>
          </w:p>
        </w:tc>
        <w:tc>
          <w:tcPr>
            <w:tcW w:w="2694"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上海徐房物业有限公司</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62</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51</w:t>
            </w:r>
          </w:p>
        </w:tc>
        <w:tc>
          <w:tcPr>
            <w:tcW w:w="766"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32867</w:t>
            </w:r>
          </w:p>
        </w:tc>
        <w:tc>
          <w:tcPr>
            <w:tcW w:w="935"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0.19</w:t>
            </w:r>
          </w:p>
        </w:tc>
        <w:tc>
          <w:tcPr>
            <w:tcW w:w="3544"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p>
        </w:tc>
      </w:tr>
      <w:tr>
        <w:trPr>
          <w:trHeight w:val="810" w:hRule="atLeast"/>
        </w:trPr>
        <w:tc>
          <w:tcPr>
            <w:tcW w:w="567" w:type="dxa"/>
            <w:tcBorders>
              <w:top w:val="single" w:color="auto" w:sz="4" w:space="0"/>
              <w:left w:val="single" w:color="auto" w:sz="4"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w:t>
            </w:r>
          </w:p>
        </w:tc>
        <w:tc>
          <w:tcPr>
            <w:tcW w:w="2694"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上海汇成物业有限公司</w:t>
            </w:r>
          </w:p>
        </w:tc>
        <w:tc>
          <w:tcPr>
            <w:tcW w:w="992"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48</w:t>
            </w:r>
          </w:p>
        </w:tc>
        <w:tc>
          <w:tcPr>
            <w:tcW w:w="992"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14</w:t>
            </w:r>
          </w:p>
        </w:tc>
        <w:tc>
          <w:tcPr>
            <w:tcW w:w="766"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19224</w:t>
            </w:r>
          </w:p>
        </w:tc>
        <w:tc>
          <w:tcPr>
            <w:tcW w:w="935"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0.25</w:t>
            </w:r>
          </w:p>
        </w:tc>
        <w:tc>
          <w:tcPr>
            <w:tcW w:w="3544" w:type="dxa"/>
            <w:tcBorders>
              <w:top w:val="single" w:color="auto" w:sz="4" w:space="0"/>
              <w:left w:val="single" w:color="auto" w:sz="6"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物业纠纷</w:t>
            </w:r>
          </w:p>
        </w:tc>
      </w:tr>
      <w:tr>
        <w:trPr>
          <w:trHeight w:val="810" w:hRule="atLeast"/>
        </w:trPr>
        <w:tc>
          <w:tcPr>
            <w:tcW w:w="567"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w:t>
            </w:r>
          </w:p>
        </w:tc>
        <w:tc>
          <w:tcPr>
            <w:tcW w:w="2694"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上海中誉物业管理有限公司</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26</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w:t>
            </w:r>
          </w:p>
        </w:tc>
        <w:tc>
          <w:tcPr>
            <w:tcW w:w="766"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6915</w:t>
            </w:r>
          </w:p>
        </w:tc>
        <w:tc>
          <w:tcPr>
            <w:tcW w:w="935"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0.38</w:t>
            </w:r>
          </w:p>
        </w:tc>
        <w:tc>
          <w:tcPr>
            <w:tcW w:w="3544"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门卫保安</w:t>
            </w:r>
          </w:p>
        </w:tc>
      </w:tr>
      <w:tr>
        <w:trPr>
          <w:trHeight w:val="810" w:hRule="atLeast"/>
        </w:trPr>
        <w:tc>
          <w:tcPr>
            <w:tcW w:w="567"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w:t>
            </w:r>
          </w:p>
        </w:tc>
        <w:tc>
          <w:tcPr>
            <w:tcW w:w="2694"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上海轻工物业管理有限公司</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26</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15</w:t>
            </w:r>
          </w:p>
        </w:tc>
        <w:tc>
          <w:tcPr>
            <w:tcW w:w="766"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10031</w:t>
            </w:r>
          </w:p>
        </w:tc>
        <w:tc>
          <w:tcPr>
            <w:tcW w:w="935"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0.26</w:t>
            </w:r>
          </w:p>
        </w:tc>
        <w:tc>
          <w:tcPr>
            <w:tcW w:w="3544"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p>
        </w:tc>
      </w:tr>
      <w:tr>
        <w:trPr>
          <w:trHeight w:val="810" w:hRule="atLeast"/>
        </w:trPr>
        <w:tc>
          <w:tcPr>
            <w:tcW w:w="567"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w:t>
            </w:r>
          </w:p>
        </w:tc>
        <w:tc>
          <w:tcPr>
            <w:tcW w:w="2694"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上海中鹊物业服务有限公司</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23</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17</w:t>
            </w:r>
          </w:p>
        </w:tc>
        <w:tc>
          <w:tcPr>
            <w:tcW w:w="766"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15488</w:t>
            </w:r>
          </w:p>
        </w:tc>
        <w:tc>
          <w:tcPr>
            <w:tcW w:w="935"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0.15</w:t>
            </w:r>
          </w:p>
        </w:tc>
        <w:tc>
          <w:tcPr>
            <w:tcW w:w="3544"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物业纠纷</w:t>
            </w:r>
          </w:p>
        </w:tc>
      </w:tr>
      <w:tr>
        <w:trPr>
          <w:trHeight w:val="810" w:hRule="atLeast"/>
        </w:trPr>
        <w:tc>
          <w:tcPr>
            <w:tcW w:w="567"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w:t>
            </w:r>
          </w:p>
        </w:tc>
        <w:tc>
          <w:tcPr>
            <w:tcW w:w="2694"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秀澜（上海）物业管理有限公司</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22</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12</w:t>
            </w:r>
          </w:p>
        </w:tc>
        <w:tc>
          <w:tcPr>
            <w:tcW w:w="766"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9715</w:t>
            </w:r>
          </w:p>
        </w:tc>
        <w:tc>
          <w:tcPr>
            <w:tcW w:w="935"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0.23</w:t>
            </w:r>
          </w:p>
        </w:tc>
        <w:tc>
          <w:tcPr>
            <w:tcW w:w="3544"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维修资金使用管理</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p>
        </w:tc>
      </w:tr>
      <w:tr>
        <w:trPr>
          <w:trHeight w:val="810" w:hRule="atLeast"/>
        </w:trPr>
        <w:tc>
          <w:tcPr>
            <w:tcW w:w="567"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w:t>
            </w:r>
          </w:p>
        </w:tc>
        <w:tc>
          <w:tcPr>
            <w:tcW w:w="2694"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上海晏鑫物业有限公司</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21</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w:t>
            </w:r>
          </w:p>
        </w:tc>
        <w:tc>
          <w:tcPr>
            <w:tcW w:w="766"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7292</w:t>
            </w:r>
          </w:p>
        </w:tc>
        <w:tc>
          <w:tcPr>
            <w:tcW w:w="935"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0.29</w:t>
            </w:r>
          </w:p>
        </w:tc>
        <w:tc>
          <w:tcPr>
            <w:tcW w:w="3544"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p>
        </w:tc>
      </w:tr>
      <w:tr>
        <w:trPr>
          <w:trHeight w:val="810" w:hRule="atLeast"/>
        </w:trPr>
        <w:tc>
          <w:tcPr>
            <w:tcW w:w="567"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w:t>
            </w:r>
          </w:p>
        </w:tc>
        <w:tc>
          <w:tcPr>
            <w:tcW w:w="2694"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上海安得物业管理有限公司</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21</w:t>
            </w:r>
          </w:p>
        </w:tc>
        <w:tc>
          <w:tcPr>
            <w:tcW w:w="992"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12</w:t>
            </w:r>
          </w:p>
        </w:tc>
        <w:tc>
          <w:tcPr>
            <w:tcW w:w="766"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10467</w:t>
            </w:r>
          </w:p>
        </w:tc>
        <w:tc>
          <w:tcPr>
            <w:tcW w:w="935"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0.20</w:t>
            </w:r>
          </w:p>
        </w:tc>
        <w:tc>
          <w:tcPr>
            <w:tcW w:w="3544"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p>
        </w:tc>
      </w:tr>
    </w:tbl>
    <w:p>
      <w:pPr>
        <w:pStyle w:val="2"/>
        <w:ind w:left="0" w:leftChars="0"/>
        <w:rPr>
          <w:rFonts w:hint="eastAsia" w:eastAsia="宋体"/>
          <w:lang w:eastAsia="zh-CN"/>
        </w:rPr>
      </w:pPr>
    </w:p>
    <w:p>
      <w:pPr>
        <w:rPr>
          <w:rFonts w:hint="eastAsia" w:ascii="仿宋_GB2312" w:hAnsi="仿宋_GB2312" w:eastAsia="仿宋_GB2312"/>
          <w:b/>
          <w:sz w:val="32"/>
          <w:lang w:eastAsia="zh-CN"/>
        </w:rPr>
      </w:pPr>
      <w:r>
        <w:rPr>
          <w:rFonts w:ascii="仿宋_GB2312" w:hAnsi="仿宋_GB2312" w:eastAsia="仿宋_GB2312"/>
          <w:b/>
          <w:sz w:val="32"/>
          <w:lang w:eastAsia="zh-CN"/>
        </w:rPr>
        <w:t>（</w:t>
      </w:r>
      <w:r>
        <w:rPr>
          <w:rFonts w:hint="eastAsia" w:ascii="仿宋_GB2312" w:hAnsi="仿宋_GB2312" w:eastAsia="仿宋_GB2312"/>
          <w:b/>
          <w:sz w:val="32"/>
          <w:lang w:eastAsia="zh-CN"/>
        </w:rPr>
        <w:t>2</w:t>
      </w:r>
      <w:r>
        <w:rPr>
          <w:rFonts w:ascii="仿宋_GB2312" w:hAnsi="仿宋_GB2312" w:eastAsia="仿宋_GB2312"/>
          <w:b/>
          <w:sz w:val="32"/>
          <w:lang w:eastAsia="zh-CN"/>
        </w:rPr>
        <w:t>）</w:t>
      </w:r>
      <w:r>
        <w:rPr>
          <w:rFonts w:hint="eastAsia" w:ascii="仿宋_GB2312" w:hAnsi="仿宋_GB2312" w:eastAsia="仿宋_GB2312"/>
          <w:b/>
          <w:sz w:val="32"/>
          <w:lang w:eastAsia="zh-CN"/>
        </w:rPr>
        <w:t>徐房、城投集团下属物业</w:t>
      </w:r>
      <w:r>
        <w:rPr>
          <w:rFonts w:ascii="仿宋_GB2312" w:hAnsi="仿宋_GB2312" w:eastAsia="仿宋_GB2312"/>
          <w:b/>
          <w:sz w:val="32"/>
          <w:lang w:eastAsia="zh-CN"/>
        </w:rPr>
        <w:t>情况</w:t>
      </w:r>
    </w:p>
    <w:tbl>
      <w:tblPr>
        <w:tblStyle w:val="35"/>
        <w:tblW w:w="9080" w:type="dxa"/>
        <w:tblInd w:w="93" w:type="dxa"/>
        <w:tblLayout w:type="autofit"/>
        <w:tblCellMar>
          <w:top w:w="0" w:type="dxa"/>
          <w:left w:w="108" w:type="dxa"/>
          <w:bottom w:w="0" w:type="dxa"/>
          <w:right w:w="108" w:type="dxa"/>
        </w:tblCellMar>
      </w:tblPr>
      <w:tblGrid>
        <w:gridCol w:w="3040"/>
        <w:gridCol w:w="2320"/>
        <w:gridCol w:w="2220"/>
        <w:gridCol w:w="1500"/>
      </w:tblGrid>
      <w:tr>
        <w:trPr>
          <w:trHeight w:val="810" w:hRule="atLeast"/>
        </w:trPr>
        <w:tc>
          <w:tcPr>
            <w:tcW w:w="304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物业服务企业</w:t>
            </w:r>
          </w:p>
        </w:tc>
        <w:tc>
          <w:tcPr>
            <w:tcW w:w="232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2026年</w:t>
            </w:r>
            <w:r>
              <w:rPr>
                <w:rFonts w:hint="eastAsia" w:ascii="宋体" w:hAnsi="宋体" w:eastAsia="宋体" w:cs="宋体"/>
                <w:b/>
                <w:bCs/>
                <w:color w:val="000000"/>
                <w:lang w:val="en-US" w:eastAsia="zh-CN"/>
              </w:rPr>
              <w:t>第一季度</w:t>
            </w:r>
            <w:r>
              <w:rPr>
                <w:rFonts w:hint="eastAsia" w:ascii="宋体" w:hAnsi="宋体" w:eastAsia="宋体" w:cs="宋体"/>
                <w:b/>
                <w:bCs/>
                <w:color w:val="000000"/>
                <w:lang w:eastAsia="zh-CN"/>
              </w:rPr>
              <w:t>工单量</w:t>
            </w:r>
          </w:p>
        </w:tc>
        <w:tc>
          <w:tcPr>
            <w:tcW w:w="222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2025年</w:t>
            </w:r>
            <w:r>
              <w:rPr>
                <w:rFonts w:hint="eastAsia" w:ascii="宋体" w:hAnsi="宋体" w:eastAsia="宋体" w:cs="宋体"/>
                <w:b/>
                <w:bCs/>
                <w:color w:val="000000"/>
                <w:lang w:val="en-US" w:eastAsia="zh-CN"/>
              </w:rPr>
              <w:t>第一季度</w:t>
            </w:r>
            <w:r>
              <w:rPr>
                <w:rFonts w:hint="eastAsia" w:ascii="宋体" w:hAnsi="宋体" w:eastAsia="宋体" w:cs="宋体"/>
                <w:b/>
                <w:bCs/>
                <w:color w:val="000000"/>
                <w:lang w:eastAsia="zh-CN"/>
              </w:rPr>
              <w:t>工单量</w:t>
            </w:r>
          </w:p>
        </w:tc>
        <w:tc>
          <w:tcPr>
            <w:tcW w:w="150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同比变化</w:t>
            </w:r>
          </w:p>
        </w:tc>
      </w:tr>
      <w:tr>
        <w:trPr>
          <w:trHeight w:val="270" w:hRule="atLeast"/>
        </w:trPr>
        <w:tc>
          <w:tcPr>
            <w:tcW w:w="304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上海高建物业有限公司</w:t>
            </w:r>
          </w:p>
        </w:tc>
        <w:tc>
          <w:tcPr>
            <w:tcW w:w="2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145</w:t>
            </w:r>
          </w:p>
        </w:tc>
        <w:tc>
          <w:tcPr>
            <w:tcW w:w="22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167</w:t>
            </w:r>
          </w:p>
        </w:tc>
        <w:tc>
          <w:tcPr>
            <w:tcW w:w="15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-13.17%</w:t>
            </w:r>
          </w:p>
        </w:tc>
      </w:tr>
      <w:tr>
        <w:trPr>
          <w:trHeight w:val="270" w:hRule="atLeast"/>
        </w:trPr>
        <w:tc>
          <w:tcPr>
            <w:tcW w:w="304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上海衡复物业有限公司</w:t>
            </w:r>
          </w:p>
        </w:tc>
        <w:tc>
          <w:tcPr>
            <w:tcW w:w="2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111</w:t>
            </w:r>
          </w:p>
        </w:tc>
        <w:tc>
          <w:tcPr>
            <w:tcW w:w="22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128</w:t>
            </w:r>
          </w:p>
        </w:tc>
        <w:tc>
          <w:tcPr>
            <w:tcW w:w="15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-13.28%</w:t>
            </w:r>
          </w:p>
        </w:tc>
      </w:tr>
      <w:tr>
        <w:trPr>
          <w:trHeight w:val="270" w:hRule="atLeast"/>
        </w:trPr>
        <w:tc>
          <w:tcPr>
            <w:tcW w:w="304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上海徐房物业有限公司</w:t>
            </w:r>
          </w:p>
        </w:tc>
        <w:tc>
          <w:tcPr>
            <w:tcW w:w="2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62</w:t>
            </w:r>
          </w:p>
        </w:tc>
        <w:tc>
          <w:tcPr>
            <w:tcW w:w="22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90</w:t>
            </w:r>
          </w:p>
        </w:tc>
        <w:tc>
          <w:tcPr>
            <w:tcW w:w="15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-31.11%</w:t>
            </w:r>
          </w:p>
        </w:tc>
      </w:tr>
      <w:tr>
        <w:trPr>
          <w:trHeight w:val="270" w:hRule="atLeast"/>
        </w:trPr>
        <w:tc>
          <w:tcPr>
            <w:tcW w:w="304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上海汇成物业有限公司</w:t>
            </w:r>
          </w:p>
        </w:tc>
        <w:tc>
          <w:tcPr>
            <w:tcW w:w="2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48</w:t>
            </w:r>
          </w:p>
        </w:tc>
        <w:tc>
          <w:tcPr>
            <w:tcW w:w="22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41</w:t>
            </w:r>
          </w:p>
        </w:tc>
        <w:tc>
          <w:tcPr>
            <w:tcW w:w="15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17.07%</w:t>
            </w:r>
          </w:p>
        </w:tc>
      </w:tr>
      <w:tr>
        <w:trPr>
          <w:trHeight w:val="270" w:hRule="atLeast"/>
        </w:trPr>
        <w:tc>
          <w:tcPr>
            <w:tcW w:w="304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上海中誉物业管理有限公司</w:t>
            </w:r>
          </w:p>
        </w:tc>
        <w:tc>
          <w:tcPr>
            <w:tcW w:w="2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26</w:t>
            </w:r>
          </w:p>
        </w:tc>
        <w:tc>
          <w:tcPr>
            <w:tcW w:w="22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w:t>
            </w:r>
          </w:p>
        </w:tc>
        <w:tc>
          <w:tcPr>
            <w:tcW w:w="15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333.33%</w:t>
            </w:r>
          </w:p>
        </w:tc>
      </w:tr>
    </w:tbl>
    <w:p>
      <w:pPr>
        <w:pStyle w:val="2"/>
        <w:ind w:left="0" w:leftChars="0"/>
        <w:rPr>
          <w:rFonts w:hint="eastAsia" w:eastAsia="宋体"/>
          <w:lang w:eastAsia="zh-CN"/>
        </w:rPr>
      </w:pPr>
    </w:p>
    <w:p>
      <w:pPr>
        <w:rPr>
          <w:rFonts w:ascii="仿宋_GB2312" w:hAnsi="仿宋_GB2312" w:eastAsia="仿宋_GB2312"/>
          <w:b/>
          <w:sz w:val="32"/>
          <w:lang w:eastAsia="zh-CN"/>
        </w:rPr>
      </w:pPr>
      <w:r>
        <w:rPr>
          <w:rFonts w:ascii="仿宋_GB2312" w:hAnsi="仿宋_GB2312" w:eastAsia="仿宋_GB2312"/>
          <w:b/>
          <w:sz w:val="32"/>
          <w:lang w:eastAsia="zh-CN"/>
        </w:rPr>
        <w:t>3. 按小区分析</w:t>
      </w:r>
    </w:p>
    <w:tbl>
      <w:tblPr>
        <w:tblStyle w:val="35"/>
        <w:tblW w:w="9740" w:type="dxa"/>
        <w:tblInd w:w="93" w:type="dxa"/>
        <w:tblLayout w:type="autofit"/>
        <w:tblCellMar>
          <w:top w:w="0" w:type="dxa"/>
          <w:left w:w="108" w:type="dxa"/>
          <w:bottom w:w="0" w:type="dxa"/>
          <w:right w:w="108" w:type="dxa"/>
        </w:tblCellMar>
      </w:tblPr>
      <w:tblGrid>
        <w:gridCol w:w="700"/>
        <w:gridCol w:w="1320"/>
        <w:gridCol w:w="1840"/>
        <w:gridCol w:w="940"/>
        <w:gridCol w:w="700"/>
        <w:gridCol w:w="780"/>
        <w:gridCol w:w="3460"/>
      </w:tblGrid>
      <w:tr>
        <w:trPr>
          <w:trHeight w:val="315" w:hRule="atLeast"/>
        </w:trPr>
        <w:tc>
          <w:tcPr>
            <w:tcW w:w="70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序号</w:t>
            </w:r>
          </w:p>
        </w:tc>
        <w:tc>
          <w:tcPr>
            <w:tcW w:w="132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街道</w:t>
            </w:r>
          </w:p>
        </w:tc>
        <w:tc>
          <w:tcPr>
            <w:tcW w:w="184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小区名</w:t>
            </w:r>
          </w:p>
        </w:tc>
        <w:tc>
          <w:tcPr>
            <w:tcW w:w="94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工单量</w:t>
            </w:r>
          </w:p>
        </w:tc>
        <w:tc>
          <w:tcPr>
            <w:tcW w:w="70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户数</w:t>
            </w:r>
          </w:p>
        </w:tc>
        <w:tc>
          <w:tcPr>
            <w:tcW w:w="78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密度</w:t>
            </w:r>
          </w:p>
        </w:tc>
        <w:tc>
          <w:tcPr>
            <w:tcW w:w="3460"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b/>
                <w:bCs/>
                <w:color w:val="000000"/>
                <w:lang w:eastAsia="zh-CN"/>
              </w:rPr>
            </w:pPr>
            <w:r>
              <w:rPr>
                <w:rFonts w:hint="eastAsia" w:ascii="宋体" w:hAnsi="宋体" w:eastAsia="宋体" w:cs="宋体"/>
                <w:b/>
                <w:bCs/>
                <w:color w:val="000000"/>
                <w:lang w:eastAsia="zh-CN"/>
              </w:rPr>
              <w:t>核心问题</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虹梅路街道</w:t>
            </w:r>
          </w:p>
        </w:tc>
        <w:tc>
          <w:tcPr>
            <w:tcW w:w="18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华悦家园</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3655</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0.25</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物业纠纷</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维修资金使用管理</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斜土路街道</w:t>
            </w:r>
          </w:p>
        </w:tc>
        <w:tc>
          <w:tcPr>
            <w:tcW w:w="18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日晖六村</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2919</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0.24</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p>
        </w:tc>
      </w:tr>
      <w:tr>
        <w:trPr>
          <w:trHeight w:val="810" w:hRule="atLeast"/>
        </w:trPr>
        <w:tc>
          <w:tcPr>
            <w:tcW w:w="700" w:type="dxa"/>
            <w:tcBorders>
              <w:top w:val="single" w:color="auto" w:sz="4" w:space="0"/>
              <w:left w:val="single" w:color="auto" w:sz="4"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w:t>
            </w:r>
          </w:p>
        </w:tc>
        <w:tc>
          <w:tcPr>
            <w:tcW w:w="1320"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华泾镇</w:t>
            </w:r>
          </w:p>
        </w:tc>
        <w:tc>
          <w:tcPr>
            <w:tcW w:w="1840"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华泾绿苑</w:t>
            </w:r>
          </w:p>
        </w:tc>
        <w:tc>
          <w:tcPr>
            <w:tcW w:w="940"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w:t>
            </w:r>
          </w:p>
        </w:tc>
        <w:tc>
          <w:tcPr>
            <w:tcW w:w="700"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2366</w:t>
            </w:r>
          </w:p>
        </w:tc>
        <w:tc>
          <w:tcPr>
            <w:tcW w:w="780" w:type="dxa"/>
            <w:tcBorders>
              <w:top w:val="single" w:color="auto" w:sz="4" w:space="0"/>
              <w:left w:val="single" w:color="auto" w:sz="6" w:space="0"/>
              <w:bottom w:val="single" w:color="auto" w:sz="4" w:space="0"/>
              <w:right w:val="single" w:color="auto" w:sz="6"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0.30</w:t>
            </w:r>
          </w:p>
        </w:tc>
        <w:tc>
          <w:tcPr>
            <w:tcW w:w="3460" w:type="dxa"/>
            <w:tcBorders>
              <w:top w:val="single" w:color="auto" w:sz="4" w:space="0"/>
              <w:left w:val="single" w:color="auto" w:sz="6" w:space="0"/>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物业管理费</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长桥街道</w:t>
            </w:r>
          </w:p>
        </w:tc>
        <w:tc>
          <w:tcPr>
            <w:tcW w:w="18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罗秀新二村</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2494</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0.28</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门卫保安</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改建设施</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斜土路街道</w:t>
            </w:r>
          </w:p>
        </w:tc>
        <w:tc>
          <w:tcPr>
            <w:tcW w:w="18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尚海湾二期</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2049</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0.29</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门卫保安</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改建设施</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长桥街道</w:t>
            </w:r>
          </w:p>
        </w:tc>
        <w:tc>
          <w:tcPr>
            <w:tcW w:w="18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华滨家园</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6</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2561</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0.23</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物业管理费</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湖南路街道</w:t>
            </w:r>
          </w:p>
        </w:tc>
        <w:tc>
          <w:tcPr>
            <w:tcW w:w="18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东湖直管公房</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731</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0.68</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绿化养护、修剪</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门卫保安</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8</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凌云路街道</w:t>
            </w:r>
          </w:p>
        </w:tc>
        <w:tc>
          <w:tcPr>
            <w:tcW w:w="18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梅陇五村(多层)</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5</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1603</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0.31</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安保管理</w:t>
            </w:r>
          </w:p>
        </w:tc>
      </w:tr>
      <w:tr>
        <w:trPr>
          <w:trHeight w:val="81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9</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枫林路街道</w:t>
            </w:r>
          </w:p>
        </w:tc>
        <w:tc>
          <w:tcPr>
            <w:tcW w:w="18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西木小区</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2543</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0.16</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非直管公房物业维修养护</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绿化调整</w:t>
            </w:r>
          </w:p>
        </w:tc>
      </w:tr>
      <w:tr>
        <w:trPr>
          <w:trHeight w:val="540" w:hRule="atLeast"/>
        </w:trPr>
        <w:tc>
          <w:tcPr>
            <w:tcW w:w="70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10</w:t>
            </w:r>
          </w:p>
        </w:tc>
        <w:tc>
          <w:tcPr>
            <w:tcW w:w="132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田林街道</w:t>
            </w:r>
          </w:p>
        </w:tc>
        <w:tc>
          <w:tcPr>
            <w:tcW w:w="18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虹桥大仕馆</w:t>
            </w:r>
          </w:p>
        </w:tc>
        <w:tc>
          <w:tcPr>
            <w:tcW w:w="94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4</w:t>
            </w:r>
          </w:p>
        </w:tc>
        <w:tc>
          <w:tcPr>
            <w:tcW w:w="70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320</w:t>
            </w:r>
          </w:p>
        </w:tc>
        <w:tc>
          <w:tcPr>
            <w:tcW w:w="780" w:type="dxa"/>
            <w:tcBorders>
              <w:top w:val="nil"/>
              <w:left w:val="nil"/>
              <w:bottom w:val="single" w:color="auto" w:sz="4" w:space="0"/>
              <w:right w:val="single" w:color="auto" w:sz="4" w:space="0"/>
            </w:tcBorders>
            <w:shd w:val="clear" w:color="auto" w:fill="auto"/>
            <w:noWrap/>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1.25</w:t>
            </w:r>
          </w:p>
        </w:tc>
        <w:tc>
          <w:tcPr>
            <w:tcW w:w="3460" w:type="dxa"/>
            <w:tcBorders>
              <w:top w:val="nil"/>
              <w:left w:val="nil"/>
              <w:bottom w:val="single" w:color="auto" w:sz="4" w:space="0"/>
              <w:right w:val="single" w:color="auto" w:sz="4" w:space="0"/>
            </w:tcBorders>
            <w:shd w:val="clear" w:color="auto" w:fill="auto"/>
            <w:vAlign w:val="center"/>
          </w:tcPr>
          <w:p>
            <w:pPr>
              <w:spacing w:after="0" w:line="240" w:lineRule="auto"/>
              <w:jc w:val="center"/>
              <w:rPr>
                <w:rFonts w:ascii="宋体" w:hAnsi="宋体" w:eastAsia="宋体" w:cs="宋体"/>
                <w:color w:val="000000"/>
                <w:lang w:eastAsia="zh-CN"/>
              </w:rPr>
            </w:pPr>
            <w:r>
              <w:rPr>
                <w:rFonts w:hint="eastAsia" w:ascii="宋体" w:hAnsi="宋体" w:eastAsia="宋体" w:cs="宋体"/>
                <w:color w:val="000000"/>
                <w:lang w:eastAsia="zh-CN"/>
              </w:rPr>
              <w:t>小区物业日常事务</w:t>
            </w:r>
            <w:r>
              <w:rPr>
                <w:rFonts w:hint="eastAsia" w:ascii="宋体" w:hAnsi="宋体" w:eastAsia="宋体" w:cs="宋体"/>
                <w:color w:val="000000"/>
                <w:lang w:eastAsia="zh-CN"/>
              </w:rPr>
              <w:br w:type="textWrapping"/>
            </w:r>
            <w:r>
              <w:rPr>
                <w:rFonts w:hint="eastAsia" w:ascii="宋体" w:hAnsi="宋体" w:eastAsia="宋体" w:cs="宋体"/>
                <w:color w:val="000000"/>
                <w:lang w:eastAsia="zh-CN"/>
              </w:rPr>
              <w:t>维修资金使用管理</w:t>
            </w:r>
          </w:p>
        </w:tc>
      </w:tr>
    </w:tbl>
    <w:p>
      <w:pPr>
        <w:rPr>
          <w:lang w:eastAsia="zh-C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2010600030101010101"/>
    <w:charset w:val="7A"/>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70409020205020404"/>
    <w:charset w:val="00"/>
    <w:family w:val="modern"/>
    <w:pitch w:val="default"/>
    <w:sig w:usb0="00000000" w:usb1="00000000" w:usb2="00000000" w:usb3="00000000" w:csb0="00000001" w:csb1="00000000"/>
  </w:font>
  <w:font w:name="华文中宋">
    <w:altName w:val="汉仪书宋二KW"/>
    <w:panose1 w:val="02010600040101010101"/>
    <w:charset w:val="86"/>
    <w:family w:val="auto"/>
    <w:pitch w:val="default"/>
    <w:sig w:usb0="00000000" w:usb1="00000000" w:usb2="00000010" w:usb3="00000000" w:csb0="0004009F" w:csb1="00000000"/>
  </w:font>
  <w:font w:name="楷体_GB2312">
    <w:altName w:val="汉仪楷体简"/>
    <w:panose1 w:val="00000000000000000000"/>
    <w:charset w:val="00"/>
    <w:family w:val="auto"/>
    <w:pitch w:val="default"/>
    <w:sig w:usb0="00000000" w:usb1="00000000" w:usb2="00000000" w:usb3="00000000" w:csb0="00000000" w:csb1="00000000"/>
  </w:font>
  <w:font w:name="仿宋_GB2312">
    <w:altName w:val="方正仿宋_GBK"/>
    <w:panose1 w:val="02010609030101010101"/>
    <w:charset w:val="86"/>
    <w:family w:val="modern"/>
    <w:pitch w:val="default"/>
    <w:sig w:usb0="00000000" w:usb1="00000000" w:usb2="0000001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方正仿宋_GBK">
    <w:panose1 w:val="02000000000000000000"/>
    <w:charset w:val="86"/>
    <w:family w:val="auto"/>
    <w:pitch w:val="default"/>
    <w:sig w:usb0="A00002BF" w:usb1="38CF7CFA" w:usb2="00082016" w:usb3="00000000" w:csb0="0004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80"/>
    <w:family w:val="roman"/>
    <w:pitch w:val="default"/>
    <w:sig w:usb0="00000000" w:usb1="00000000" w:usb2="00000010" w:usb3="00000000" w:csb0="00020000" w:csb1="00000000"/>
  </w:font>
  <w:font w:name="仿宋_GB2312">
    <w:altName w:val="方正仿宋_GBK"/>
    <w:panose1 w:val="00000000000000000000"/>
    <w:charset w:val="00"/>
    <w:family w:val="auto"/>
    <w:pitch w:val="default"/>
    <w:sig w:usb0="00000000" w:usb1="00000000" w:usb2="00000000" w:usb3="00000000" w:csb0="00000000" w:csb1="00000000"/>
  </w:font>
  <w:font w:name="华文中宋">
    <w:altName w:val="汉仪书宋二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BE08FE"/>
    <w:multiLevelType w:val="singleLevel"/>
    <w:tmpl w:val="FEBE08FE"/>
    <w:lvl w:ilvl="0" w:tentative="0">
      <w:start w:val="2"/>
      <w:numFmt w:val="decimal"/>
      <w:suff w:val="nothing"/>
      <w:lvlText w:val="（%1）"/>
      <w:lvlJc w:val="left"/>
    </w:lvl>
  </w:abstractNum>
  <w:abstractNum w:abstractNumId="1">
    <w:nsid w:val="FFFFFF7E"/>
    <w:multiLevelType w:val="singleLevel"/>
    <w:tmpl w:val="FFFFFF7E"/>
    <w:lvl w:ilvl="0" w:tentative="0">
      <w:start w:val="1"/>
      <w:numFmt w:val="decimal"/>
      <w:pStyle w:val="22"/>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6"/>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1"/>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7"/>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9"/>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doNotDisplayPageBoundaries w:val="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5C95"/>
    <w:rsid w:val="0015074B"/>
    <w:rsid w:val="00192171"/>
    <w:rsid w:val="0019683C"/>
    <w:rsid w:val="001D39E8"/>
    <w:rsid w:val="002722B6"/>
    <w:rsid w:val="0029639D"/>
    <w:rsid w:val="002D05B5"/>
    <w:rsid w:val="00326F90"/>
    <w:rsid w:val="0039617A"/>
    <w:rsid w:val="00397308"/>
    <w:rsid w:val="003E01DB"/>
    <w:rsid w:val="00406880"/>
    <w:rsid w:val="007B6592"/>
    <w:rsid w:val="009F38C0"/>
    <w:rsid w:val="00AA1D8D"/>
    <w:rsid w:val="00B47730"/>
    <w:rsid w:val="00C65985"/>
    <w:rsid w:val="00CB0664"/>
    <w:rsid w:val="00FC693F"/>
    <w:rsid w:val="77FEBB56"/>
    <w:rsid w:val="C67D6E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qFormat="1" w:unhideWhenUsed="0" w:uiPriority="0" w:semiHidden="0"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0" w:semiHidden="0"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6">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7">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8">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9">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10">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11">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2">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3">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4">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Body Text First Indent 2"/>
    <w:basedOn w:val="3"/>
    <w:next w:val="4"/>
    <w:qFormat/>
    <w:uiPriority w:val="0"/>
  </w:style>
  <w:style w:type="paragraph" w:styleId="3">
    <w:name w:val="Body Text Indent"/>
    <w:basedOn w:val="1"/>
    <w:qFormat/>
    <w:uiPriority w:val="0"/>
    <w:pPr>
      <w:spacing w:after="120"/>
      <w:ind w:left="200" w:leftChars="200"/>
    </w:pPr>
  </w:style>
  <w:style w:type="paragraph" w:styleId="4">
    <w:name w:val="Body Text"/>
    <w:basedOn w:val="1"/>
    <w:next w:val="1"/>
    <w:link w:val="147"/>
    <w:unhideWhenUsed/>
    <w:uiPriority w:val="99"/>
    <w:pPr>
      <w:spacing w:after="120"/>
    </w:pPr>
  </w:style>
  <w:style w:type="paragraph" w:styleId="5">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5">
    <w:name w:val="List 3"/>
    <w:basedOn w:val="1"/>
    <w:unhideWhenUsed/>
    <w:uiPriority w:val="99"/>
    <w:pPr>
      <w:ind w:left="1080" w:hanging="360"/>
      <w:contextualSpacing/>
    </w:pPr>
  </w:style>
  <w:style w:type="paragraph" w:styleId="16">
    <w:name w:val="List Number 2"/>
    <w:basedOn w:val="1"/>
    <w:unhideWhenUsed/>
    <w:uiPriority w:val="99"/>
    <w:pPr>
      <w:numPr>
        <w:ilvl w:val="0"/>
        <w:numId w:val="1"/>
      </w:numPr>
      <w:contextualSpacing/>
    </w:pPr>
  </w:style>
  <w:style w:type="paragraph" w:styleId="17">
    <w:name w:val="List Number"/>
    <w:basedOn w:val="1"/>
    <w:unhideWhenUsed/>
    <w:uiPriority w:val="99"/>
    <w:pPr>
      <w:numPr>
        <w:ilvl w:val="0"/>
        <w:numId w:val="2"/>
      </w:numPr>
      <w:contextualSpacing/>
    </w:pPr>
  </w:style>
  <w:style w:type="paragraph" w:styleId="18">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9">
    <w:name w:val="List Bullet"/>
    <w:basedOn w:val="1"/>
    <w:unhideWhenUsed/>
    <w:uiPriority w:val="99"/>
    <w:pPr>
      <w:numPr>
        <w:ilvl w:val="0"/>
        <w:numId w:val="3"/>
      </w:numPr>
      <w:contextualSpacing/>
    </w:pPr>
  </w:style>
  <w:style w:type="paragraph" w:styleId="20">
    <w:name w:val="Body Text 3"/>
    <w:basedOn w:val="1"/>
    <w:link w:val="149"/>
    <w:unhideWhenUsed/>
    <w:uiPriority w:val="99"/>
    <w:pPr>
      <w:spacing w:after="120"/>
    </w:pPr>
    <w:rPr>
      <w:sz w:val="16"/>
      <w:szCs w:val="16"/>
    </w:rPr>
  </w:style>
  <w:style w:type="paragraph" w:styleId="21">
    <w:name w:val="List Bullet 3"/>
    <w:basedOn w:val="1"/>
    <w:unhideWhenUsed/>
    <w:uiPriority w:val="99"/>
    <w:pPr>
      <w:numPr>
        <w:ilvl w:val="0"/>
        <w:numId w:val="4"/>
      </w:numPr>
      <w:contextualSpacing/>
    </w:pPr>
  </w:style>
  <w:style w:type="paragraph" w:styleId="22">
    <w:name w:val="List Number 3"/>
    <w:basedOn w:val="1"/>
    <w:unhideWhenUsed/>
    <w:uiPriority w:val="99"/>
    <w:pPr>
      <w:numPr>
        <w:ilvl w:val="0"/>
        <w:numId w:val="5"/>
      </w:numPr>
      <w:contextualSpacing/>
    </w:pPr>
  </w:style>
  <w:style w:type="paragraph" w:styleId="23">
    <w:name w:val="List 2"/>
    <w:basedOn w:val="1"/>
    <w:unhideWhenUsed/>
    <w:uiPriority w:val="99"/>
    <w:pPr>
      <w:ind w:left="720" w:hanging="360"/>
      <w:contextualSpacing/>
    </w:pPr>
  </w:style>
  <w:style w:type="paragraph" w:styleId="24">
    <w:name w:val="List Continue"/>
    <w:basedOn w:val="1"/>
    <w:unhideWhenUsed/>
    <w:uiPriority w:val="99"/>
    <w:pPr>
      <w:spacing w:after="120"/>
      <w:ind w:left="360"/>
      <w:contextualSpacing/>
    </w:pPr>
  </w:style>
  <w:style w:type="paragraph" w:styleId="25">
    <w:name w:val="List Bullet 2"/>
    <w:basedOn w:val="1"/>
    <w:unhideWhenUsed/>
    <w:uiPriority w:val="99"/>
    <w:pPr>
      <w:numPr>
        <w:ilvl w:val="0"/>
        <w:numId w:val="6"/>
      </w:numPr>
      <w:contextualSpacing/>
    </w:pPr>
  </w:style>
  <w:style w:type="paragraph" w:styleId="26">
    <w:name w:val="Balloon Text"/>
    <w:basedOn w:val="1"/>
    <w:link w:val="167"/>
    <w:semiHidden/>
    <w:unhideWhenUsed/>
    <w:uiPriority w:val="99"/>
    <w:pPr>
      <w:spacing w:after="0" w:line="240" w:lineRule="auto"/>
    </w:pPr>
    <w:rPr>
      <w:sz w:val="18"/>
      <w:szCs w:val="18"/>
    </w:rPr>
  </w:style>
  <w:style w:type="paragraph" w:styleId="27">
    <w:name w:val="footer"/>
    <w:basedOn w:val="1"/>
    <w:link w:val="139"/>
    <w:unhideWhenUsed/>
    <w:uiPriority w:val="99"/>
    <w:pPr>
      <w:tabs>
        <w:tab w:val="center" w:pos="4680"/>
        <w:tab w:val="right" w:pos="9360"/>
      </w:tabs>
      <w:spacing w:after="0" w:line="240" w:lineRule="auto"/>
    </w:pPr>
  </w:style>
  <w:style w:type="paragraph" w:styleId="28">
    <w:name w:val="header"/>
    <w:basedOn w:val="1"/>
    <w:link w:val="138"/>
    <w:unhideWhenUsed/>
    <w:uiPriority w:val="99"/>
    <w:pPr>
      <w:tabs>
        <w:tab w:val="center" w:pos="4680"/>
        <w:tab w:val="right" w:pos="9360"/>
      </w:tabs>
      <w:spacing w:after="0" w:line="240" w:lineRule="auto"/>
    </w:pPr>
  </w:style>
  <w:style w:type="paragraph" w:styleId="29">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uiPriority w:val="99"/>
    <w:pPr>
      <w:ind w:left="360" w:hanging="360"/>
      <w:contextualSpacing/>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页眉 Char"/>
    <w:basedOn w:val="135"/>
    <w:link w:val="28"/>
    <w:uiPriority w:val="99"/>
  </w:style>
  <w:style w:type="character" w:customStyle="1" w:styleId="139">
    <w:name w:val="页脚 Char"/>
    <w:basedOn w:val="135"/>
    <w:link w:val="27"/>
    <w:uiPriority w:val="99"/>
  </w:style>
  <w:style w:type="paragraph" w:styleId="140">
    <w:name w:val="No Spacing"/>
    <w:qFormat/>
    <w:uiPriority w:val="1"/>
    <w:rPr>
      <w:rFonts w:asciiTheme="minorHAnsi" w:hAnsiTheme="minorHAnsi" w:eastAsiaTheme="minorEastAsia" w:cstheme="minorBidi"/>
      <w:sz w:val="22"/>
      <w:szCs w:val="22"/>
      <w:lang w:val="en-US" w:eastAsia="en-US" w:bidi="ar-SA"/>
    </w:rPr>
  </w:style>
  <w:style w:type="character" w:customStyle="1" w:styleId="141">
    <w:name w:val="标题 1 Char"/>
    <w:basedOn w:val="135"/>
    <w:link w:val="6"/>
    <w:uiPriority w:val="9"/>
    <w:rPr>
      <w:rFonts w:asciiTheme="majorHAnsi" w:hAnsiTheme="majorHAnsi" w:eastAsiaTheme="majorEastAsia" w:cstheme="majorBidi"/>
      <w:b/>
      <w:bCs/>
      <w:color w:val="376092" w:themeColor="accent1" w:themeShade="BF"/>
      <w:sz w:val="28"/>
      <w:szCs w:val="28"/>
    </w:rPr>
  </w:style>
  <w:style w:type="character" w:customStyle="1" w:styleId="142">
    <w:name w:val="标题 2 Char"/>
    <w:basedOn w:val="135"/>
    <w:link w:val="7"/>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标题 3 Char"/>
    <w:basedOn w:val="135"/>
    <w:link w:val="8"/>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标题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副标题 Char"/>
    <w:basedOn w:val="135"/>
    <w:link w:val="29"/>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正文文本 Char"/>
    <w:basedOn w:val="135"/>
    <w:link w:val="4"/>
    <w:uiPriority w:val="99"/>
  </w:style>
  <w:style w:type="character" w:customStyle="1" w:styleId="148">
    <w:name w:val="正文文本 2 Char"/>
    <w:basedOn w:val="135"/>
    <w:link w:val="31"/>
    <w:uiPriority w:val="99"/>
  </w:style>
  <w:style w:type="character" w:customStyle="1" w:styleId="149">
    <w:name w:val="正文文本 3 Char"/>
    <w:basedOn w:val="135"/>
    <w:link w:val="20"/>
    <w:uiPriority w:val="99"/>
    <w:rPr>
      <w:sz w:val="16"/>
      <w:szCs w:val="16"/>
    </w:rPr>
  </w:style>
  <w:style w:type="character" w:customStyle="1" w:styleId="150">
    <w:name w:val="宏文本 Char"/>
    <w:basedOn w:val="135"/>
    <w:link w:val="5"/>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引用 Char"/>
    <w:basedOn w:val="135"/>
    <w:link w:val="151"/>
    <w:uiPriority w:val="29"/>
    <w:rPr>
      <w:i/>
      <w:iCs/>
      <w:color w:val="000000" w:themeColor="text1"/>
      <w14:textFill>
        <w14:solidFill>
          <w14:schemeClr w14:val="tx1"/>
        </w14:solidFill>
      </w14:textFill>
    </w:rPr>
  </w:style>
  <w:style w:type="character" w:customStyle="1" w:styleId="153">
    <w:name w:val="标题 4 Char"/>
    <w:basedOn w:val="135"/>
    <w:link w:val="9"/>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标题 5 Char"/>
    <w:basedOn w:val="135"/>
    <w:link w:val="10"/>
    <w:semiHidden/>
    <w:uiPriority w:val="9"/>
    <w:rPr>
      <w:rFonts w:asciiTheme="majorHAnsi" w:hAnsiTheme="majorHAnsi" w:eastAsiaTheme="majorEastAsia" w:cstheme="majorBidi"/>
      <w:color w:val="254061" w:themeColor="accent1" w:themeShade="80"/>
    </w:rPr>
  </w:style>
  <w:style w:type="character" w:customStyle="1" w:styleId="155">
    <w:name w:val="标题 6 Char"/>
    <w:basedOn w:val="135"/>
    <w:link w:val="11"/>
    <w:semiHidden/>
    <w:uiPriority w:val="9"/>
    <w:rPr>
      <w:rFonts w:asciiTheme="majorHAnsi" w:hAnsiTheme="majorHAnsi" w:eastAsiaTheme="majorEastAsia" w:cstheme="majorBidi"/>
      <w:i/>
      <w:iCs/>
      <w:color w:val="254061" w:themeColor="accent1" w:themeShade="80"/>
    </w:rPr>
  </w:style>
  <w:style w:type="character" w:customStyle="1" w:styleId="156">
    <w:name w:val="标题 7 Char"/>
    <w:basedOn w:val="135"/>
    <w:link w:val="12"/>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标题 8 Char"/>
    <w:basedOn w:val="135"/>
    <w:link w:val="13"/>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标题 9 Char"/>
    <w:basedOn w:val="135"/>
    <w:link w:val="14"/>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明显引用 Char"/>
    <w:basedOn w:val="135"/>
    <w:link w:val="159"/>
    <w:uiPriority w:val="30"/>
    <w:rPr>
      <w:b/>
      <w:bCs/>
      <w:i/>
      <w:iCs/>
      <w:color w:val="4F81BD" w:themeColor="accent1"/>
      <w14:textFill>
        <w14:solidFill>
          <w14:schemeClr w14:val="accent1"/>
        </w14:solidFill>
      </w14:textFill>
    </w:rPr>
  </w:style>
  <w:style w:type="character" w:customStyle="1" w:styleId="161">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明显强调1"/>
    <w:basedOn w:val="135"/>
    <w:qFormat/>
    <w:uiPriority w:val="21"/>
    <w:rPr>
      <w:b/>
      <w:bCs/>
      <w:i/>
      <w:iCs/>
      <w:color w:val="4F81BD" w:themeColor="accent1"/>
      <w14:textFill>
        <w14:solidFill>
          <w14:schemeClr w14:val="accent1"/>
        </w14:solidFill>
      </w14:textFill>
    </w:rPr>
  </w:style>
  <w:style w:type="character" w:customStyle="1" w:styleId="163">
    <w:name w:val="不明显参考1"/>
    <w:basedOn w:val="135"/>
    <w:qFormat/>
    <w:uiPriority w:val="31"/>
    <w:rPr>
      <w:smallCaps/>
      <w:color w:val="C0504D" w:themeColor="accent2"/>
      <w:u w:val="single"/>
      <w14:textFill>
        <w14:solidFill>
          <w14:schemeClr w14:val="accent2"/>
        </w14:solidFill>
      </w14:textFill>
    </w:rPr>
  </w:style>
  <w:style w:type="character" w:customStyle="1" w:styleId="164">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书籍标题1"/>
    <w:basedOn w:val="135"/>
    <w:qFormat/>
    <w:uiPriority w:val="33"/>
    <w:rPr>
      <w:b/>
      <w:bCs/>
      <w:smallCaps/>
      <w:spacing w:val="5"/>
    </w:rPr>
  </w:style>
  <w:style w:type="paragraph" w:customStyle="1" w:styleId="166">
    <w:name w:val="TOC 标题1"/>
    <w:basedOn w:val="6"/>
    <w:next w:val="1"/>
    <w:semiHidden/>
    <w:unhideWhenUsed/>
    <w:qFormat/>
    <w:uiPriority w:val="39"/>
    <w:pPr>
      <w:outlineLvl w:val="9"/>
    </w:pPr>
  </w:style>
  <w:style w:type="character" w:customStyle="1" w:styleId="167">
    <w:name w:val="批注框文本 Char"/>
    <w:basedOn w:val="135"/>
    <w:link w:val="26"/>
    <w:semiHidden/>
    <w:uiPriority w:val="99"/>
    <w:rPr>
      <w:sz w:val="18"/>
      <w:szCs w:val="18"/>
      <w:lang w:eastAsia="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9</Pages>
  <Words>821</Words>
  <Characters>4685</Characters>
  <Lines>39</Lines>
  <Paragraphs>10</Paragraphs>
  <TotalTime>1</TotalTime>
  <ScaleCrop>false</ScaleCrop>
  <LinksUpToDate>false</LinksUpToDate>
  <CharactersWithSpaces>5496</CharactersWithSpaces>
  <Application>WPS Office_6.2.0.8299_F1E327BC-269C-435d-A152-05C5408002CA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2026-05-22T10:19:00Z</dcterms:created>
  <dc:creator>python-docx</dc:creator>
  <dc:description>generated by python-docx</dc:description>
  <cp:lastModifiedBy>江沂</cp:lastModifiedBy>
  <dcterms:modified xsi:type="dcterms:W3CDTF">2026-05-22T15:10:53Z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9FD88D3A760F4C4E7D01106A2A920D47_43</vt:lpwstr>
  </property>
</Properties>
</file>