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firstLine="0" w:firstLineChars="0"/>
        <w:jc w:val="center"/>
        <w:rPr>
          <w:rFonts w:hint="eastAsia" w:ascii="华文中宋" w:hAnsi="华文中宋" w:eastAsia="华文中宋" w:cs="华文中宋"/>
          <w:b/>
          <w:bCs w:val="0"/>
          <w:sz w:val="36"/>
          <w:szCs w:val="36"/>
        </w:rPr>
      </w:pPr>
      <w:r>
        <w:rPr>
          <w:rFonts w:hint="eastAsia" w:ascii="华文中宋" w:hAnsi="华文中宋" w:eastAsia="华文中宋" w:cs="华文中宋"/>
          <w:b/>
          <w:bCs w:val="0"/>
          <w:sz w:val="36"/>
          <w:szCs w:val="36"/>
        </w:rPr>
        <w:t>2025年徐汇区物业治理</w:t>
      </w:r>
      <w:r>
        <w:rPr>
          <w:rFonts w:hint="eastAsia" w:ascii="华文中宋" w:hAnsi="华文中宋" w:eastAsia="华文中宋" w:cs="华文中宋"/>
          <w:b/>
          <w:bCs w:val="0"/>
          <w:sz w:val="36"/>
          <w:szCs w:val="36"/>
          <w:lang w:val="en-US" w:eastAsia="zh-CN"/>
        </w:rPr>
        <w:t>类</w:t>
      </w:r>
      <w:r>
        <w:rPr>
          <w:rFonts w:hint="eastAsia" w:ascii="华文中宋" w:hAnsi="华文中宋" w:eastAsia="华文中宋" w:cs="华文中宋"/>
          <w:b/>
          <w:bCs w:val="0"/>
          <w:sz w:val="36"/>
          <w:szCs w:val="36"/>
        </w:rPr>
        <w:t>工单年度分析报告</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2025年</w:t>
      </w:r>
      <w:r>
        <w:rPr>
          <w:rFonts w:ascii="仿宋_GB2312" w:hAnsi="仿宋_GB2312" w:eastAsia="仿宋_GB2312" w:cs="仿宋_GB2312"/>
          <w:sz w:val="30"/>
          <w:szCs w:val="30"/>
          <w:lang w:val="en-US" w:eastAsia="zh-CN"/>
        </w:rPr>
        <w:t>，徐汇</w:t>
      </w:r>
      <w:r>
        <w:rPr>
          <w:rFonts w:hint="eastAsia" w:ascii="仿宋_GB2312" w:hAnsi="仿宋_GB2312" w:eastAsia="仿宋_GB2312" w:cs="仿宋_GB2312"/>
          <w:sz w:val="30"/>
          <w:szCs w:val="30"/>
          <w:lang w:val="en-US" w:eastAsia="zh-CN"/>
        </w:rPr>
        <w:t>区物业治理类工单</w:t>
      </w:r>
      <w:r>
        <w:rPr>
          <w:rFonts w:ascii="仿宋_GB2312" w:hAnsi="仿宋_GB2312" w:eastAsia="仿宋_GB2312" w:cs="仿宋_GB2312"/>
          <w:sz w:val="30"/>
          <w:szCs w:val="30"/>
        </w:rPr>
        <w:t>总</w:t>
      </w:r>
      <w:r>
        <w:rPr>
          <w:rFonts w:hint="eastAsia" w:ascii="仿宋_GB2312" w:hAnsi="仿宋_GB2312" w:eastAsia="仿宋_GB2312" w:cs="仿宋_GB2312"/>
          <w:sz w:val="30"/>
          <w:szCs w:val="30"/>
        </w:rPr>
        <w:t>计12587件，较2024年的15096件</w:t>
      </w:r>
      <w:r>
        <w:rPr>
          <w:rFonts w:ascii="仿宋_GB2312" w:hAnsi="仿宋_GB2312" w:eastAsia="仿宋_GB2312" w:cs="仿宋_GB2312"/>
          <w:sz w:val="30"/>
          <w:szCs w:val="30"/>
        </w:rPr>
        <w:t>同比</w:t>
      </w:r>
      <w:r>
        <w:rPr>
          <w:rFonts w:hint="eastAsia" w:ascii="仿宋_GB2312" w:hAnsi="仿宋_GB2312" w:eastAsia="仿宋_GB2312" w:cs="仿宋_GB2312"/>
          <w:sz w:val="30"/>
          <w:szCs w:val="30"/>
        </w:rPr>
        <w:t>下降16.62%</w:t>
      </w:r>
      <w:r>
        <w:rPr>
          <w:rFonts w:ascii="仿宋_GB2312" w:hAnsi="仿宋_GB2312" w:eastAsia="仿宋_GB2312" w:cs="仿宋_GB2312"/>
          <w:sz w:val="30"/>
          <w:szCs w:val="30"/>
        </w:rPr>
        <w:t>。全区985个小区中</w:t>
      </w:r>
      <w:r>
        <w:rPr>
          <w:rFonts w:hint="eastAsia" w:ascii="仿宋_GB2312" w:hAnsi="仿宋_GB2312" w:eastAsia="仿宋_GB2312" w:cs="仿宋_GB2312"/>
          <w:sz w:val="30"/>
          <w:szCs w:val="30"/>
        </w:rPr>
        <w:t>涉及</w:t>
      </w:r>
      <w:r>
        <w:rPr>
          <w:rFonts w:ascii="仿宋_GB2312" w:hAnsi="仿宋_GB2312" w:eastAsia="仿宋_GB2312" w:cs="仿宋_GB2312"/>
          <w:sz w:val="30"/>
          <w:szCs w:val="30"/>
        </w:rPr>
        <w:t>物业管理类投诉的</w:t>
      </w:r>
      <w:r>
        <w:rPr>
          <w:rFonts w:hint="eastAsia" w:ascii="仿宋_GB2312" w:hAnsi="仿宋_GB2312" w:eastAsia="仿宋_GB2312" w:cs="仿宋_GB2312"/>
          <w:sz w:val="30"/>
          <w:szCs w:val="30"/>
        </w:rPr>
        <w:t>小区843个</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占</w:t>
      </w:r>
      <w:r>
        <w:rPr>
          <w:rFonts w:ascii="仿宋_GB2312" w:hAnsi="仿宋_GB2312" w:eastAsia="仿宋_GB2312" w:cs="仿宋_GB2312"/>
          <w:sz w:val="30"/>
          <w:szCs w:val="30"/>
        </w:rPr>
        <w:t>比</w:t>
      </w:r>
      <w:r>
        <w:rPr>
          <w:rFonts w:hint="eastAsia" w:ascii="仿宋_GB2312" w:hAnsi="仿宋_GB2312" w:eastAsia="仿宋_GB2312" w:cs="仿宋_GB2312"/>
          <w:sz w:val="30"/>
          <w:szCs w:val="30"/>
        </w:rPr>
        <w:t>85.58%</w:t>
      </w:r>
      <w:r>
        <w:rPr>
          <w:rFonts w:ascii="仿宋_GB2312" w:hAnsi="仿宋_GB2312" w:eastAsia="仿宋_GB2312" w:cs="仿宋_GB2312"/>
          <w:sz w:val="30"/>
          <w:szCs w:val="30"/>
        </w:rPr>
        <w:t>。全区</w:t>
      </w:r>
      <w:r>
        <w:rPr>
          <w:rFonts w:hint="eastAsia" w:ascii="仿宋_GB2312" w:hAnsi="仿宋_GB2312" w:eastAsia="仿宋_GB2312" w:cs="仿宋_GB2312"/>
          <w:sz w:val="30"/>
          <w:szCs w:val="30"/>
          <w:highlight w:val="yellow"/>
          <w:lang w:val="en-US" w:eastAsia="zh-CN"/>
        </w:rPr>
        <w:t>249</w:t>
      </w:r>
      <w:bookmarkStart w:id="18" w:name="_GoBack"/>
      <w:bookmarkEnd w:id="18"/>
      <w:r>
        <w:rPr>
          <w:rFonts w:ascii="仿宋_GB2312" w:hAnsi="仿宋_GB2312" w:eastAsia="仿宋_GB2312" w:cs="仿宋_GB2312"/>
          <w:sz w:val="30"/>
          <w:szCs w:val="30"/>
        </w:rPr>
        <w:t>家物业服务企业中涉及</w:t>
      </w:r>
      <w:r>
        <w:rPr>
          <w:rFonts w:hint="eastAsia" w:ascii="仿宋_GB2312" w:hAnsi="仿宋_GB2312" w:eastAsia="仿宋_GB2312" w:cs="仿宋_GB2312"/>
          <w:sz w:val="30"/>
          <w:szCs w:val="30"/>
          <w:lang w:eastAsia="zh-CN"/>
        </w:rPr>
        <w:t>到</w:t>
      </w:r>
      <w:r>
        <w:rPr>
          <w:rFonts w:ascii="仿宋_GB2312" w:hAnsi="仿宋_GB2312" w:eastAsia="仿宋_GB2312" w:cs="仿宋_GB2312"/>
          <w:sz w:val="30"/>
          <w:szCs w:val="30"/>
        </w:rPr>
        <w:t>物业管理类投诉的</w:t>
      </w:r>
      <w:r>
        <w:rPr>
          <w:rFonts w:hint="eastAsia" w:ascii="仿宋_GB2312" w:hAnsi="仿宋_GB2312" w:eastAsia="仿宋_GB2312" w:cs="仿宋_GB2312"/>
          <w:sz w:val="30"/>
          <w:szCs w:val="30"/>
        </w:rPr>
        <w:t>239</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占</w:t>
      </w:r>
      <w:r>
        <w:rPr>
          <w:rFonts w:ascii="仿宋_GB2312" w:hAnsi="仿宋_GB2312" w:eastAsia="仿宋_GB2312" w:cs="仿宋_GB2312"/>
          <w:sz w:val="30"/>
          <w:szCs w:val="30"/>
        </w:rPr>
        <w:t>比</w:t>
      </w:r>
      <w:r>
        <w:rPr>
          <w:rFonts w:hint="eastAsia" w:ascii="仿宋_GB2312" w:hAnsi="仿宋_GB2312" w:eastAsia="仿宋_GB2312" w:cs="仿宋_GB2312"/>
          <w:sz w:val="30"/>
          <w:szCs w:val="30"/>
        </w:rPr>
        <w:t>95.6%</w:t>
      </w:r>
      <w:r>
        <w:rPr>
          <w:rFonts w:ascii="仿宋_GB2312" w:hAnsi="仿宋_GB2312" w:eastAsia="仿宋_GB2312" w:cs="仿宋_GB2312"/>
          <w:sz w:val="30"/>
          <w:szCs w:val="30"/>
        </w:rPr>
        <w:t>。下面，将物业管理类投诉从工单、小区、物业企业、街镇四个维度进行对比分析，寻求进一步降低物业管理类投诉总量，增加办结满意率的方法措施</w:t>
      </w:r>
      <w:r>
        <w:rPr>
          <w:rFonts w:hint="eastAsia" w:ascii="仿宋_GB2312" w:hAnsi="仿宋_GB2312" w:eastAsia="仿宋_GB2312" w:cs="仿宋_GB2312"/>
          <w:sz w:val="30"/>
          <w:szCs w:val="30"/>
        </w:rPr>
        <w:t>。</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一、工单全量</w:t>
      </w:r>
      <w:r>
        <w:rPr>
          <w:rFonts w:ascii="黑体" w:hAnsi="黑体" w:eastAsia="黑体" w:cs="黑体"/>
          <w:b w:val="0"/>
          <w:bCs w:val="0"/>
          <w:sz w:val="30"/>
          <w:szCs w:val="30"/>
          <w:lang w:val="en-US" w:eastAsia="zh-CN"/>
        </w:rPr>
        <w:t>分析</w:t>
      </w:r>
    </w:p>
    <w:tbl>
      <w:tblPr>
        <w:tblStyle w:val="9"/>
        <w:tblW w:w="8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63"/>
        <w:gridCol w:w="2135"/>
        <w:gridCol w:w="2135"/>
        <w:gridCol w:w="1285"/>
      </w:tblGrid>
      <w:tr>
        <w:trPr>
          <w:tblHeader/>
          <w:jc w:val="center"/>
        </w:trPr>
        <w:tc>
          <w:tcPr>
            <w:tcW w:w="296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黑体" w:hAnsi="黑体" w:eastAsia="黑体" w:cs="黑体"/>
                <w:i w:val="0"/>
                <w:iCs w:val="0"/>
                <w:color w:val="000000"/>
                <w:sz w:val="30"/>
                <w:szCs w:val="30"/>
                <w:u w:val="none"/>
                <w:lang w:val="en-US" w:eastAsia="zh-CN"/>
              </w:rPr>
            </w:pPr>
            <w:r>
              <w:rPr>
                <w:rFonts w:hint="eastAsia" w:ascii="黑体" w:hAnsi="黑体" w:eastAsia="黑体" w:cs="黑体"/>
                <w:i w:val="0"/>
                <w:iCs w:val="0"/>
                <w:color w:val="000000"/>
                <w:sz w:val="30"/>
                <w:szCs w:val="30"/>
                <w:u w:val="none"/>
                <w:lang w:val="en-US" w:eastAsia="zh-CN"/>
              </w:rPr>
              <w:t>工单分类</w:t>
            </w:r>
          </w:p>
        </w:tc>
        <w:tc>
          <w:tcPr>
            <w:tcW w:w="2135"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黑体" w:hAnsi="黑体" w:eastAsia="黑体" w:cs="黑体"/>
                <w:i w:val="0"/>
                <w:iCs w:val="0"/>
                <w:color w:val="000000"/>
                <w:sz w:val="30"/>
                <w:szCs w:val="30"/>
                <w:u w:val="none"/>
              </w:rPr>
            </w:pPr>
            <w:r>
              <w:rPr>
                <w:rFonts w:hint="eastAsia" w:ascii="黑体" w:hAnsi="黑体" w:eastAsia="黑体" w:cs="黑体"/>
                <w:i w:val="0"/>
                <w:iCs w:val="0"/>
                <w:color w:val="000000"/>
                <w:kern w:val="0"/>
                <w:sz w:val="30"/>
                <w:szCs w:val="30"/>
                <w:u w:val="none"/>
                <w:lang w:val="en-US" w:eastAsia="zh-CN"/>
              </w:rPr>
              <w:t>2024年工单量</w:t>
            </w:r>
          </w:p>
        </w:tc>
        <w:tc>
          <w:tcPr>
            <w:tcW w:w="2135"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黑体" w:hAnsi="黑体" w:eastAsia="黑体" w:cs="黑体"/>
                <w:i w:val="0"/>
                <w:iCs w:val="0"/>
                <w:color w:val="000000"/>
                <w:sz w:val="30"/>
                <w:szCs w:val="30"/>
                <w:u w:val="none"/>
              </w:rPr>
            </w:pPr>
            <w:r>
              <w:rPr>
                <w:rFonts w:hint="eastAsia" w:ascii="黑体" w:hAnsi="黑体" w:eastAsia="黑体" w:cs="黑体"/>
                <w:i w:val="0"/>
                <w:iCs w:val="0"/>
                <w:color w:val="000000"/>
                <w:kern w:val="0"/>
                <w:sz w:val="30"/>
                <w:szCs w:val="30"/>
                <w:u w:val="none"/>
                <w:lang w:val="en-US" w:eastAsia="zh-CN"/>
              </w:rPr>
              <w:t>2025年工单量</w:t>
            </w:r>
          </w:p>
        </w:tc>
        <w:tc>
          <w:tcPr>
            <w:tcW w:w="1285"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黑体" w:hAnsi="黑体" w:eastAsia="黑体" w:cs="黑体"/>
                <w:i w:val="0"/>
                <w:iCs w:val="0"/>
                <w:color w:val="000000"/>
                <w:sz w:val="30"/>
                <w:szCs w:val="30"/>
                <w:u w:val="none"/>
              </w:rPr>
            </w:pPr>
            <w:r>
              <w:rPr>
                <w:rFonts w:hint="eastAsia" w:ascii="黑体" w:hAnsi="黑体" w:eastAsia="黑体" w:cs="黑体"/>
                <w:i w:val="0"/>
                <w:iCs w:val="0"/>
                <w:color w:val="000000"/>
                <w:kern w:val="0"/>
                <w:sz w:val="30"/>
                <w:szCs w:val="30"/>
                <w:u w:val="none"/>
                <w:lang w:val="en-US" w:eastAsia="zh-CN"/>
              </w:rPr>
              <w:t>降幅</w:t>
            </w:r>
          </w:p>
        </w:tc>
      </w:tr>
      <w:tr>
        <w:trPr>
          <w:jc w:val="center"/>
        </w:trPr>
        <w:tc>
          <w:tcPr>
            <w:tcW w:w="296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物业日常管理类</w:t>
            </w:r>
          </w:p>
        </w:tc>
        <w:tc>
          <w:tcPr>
            <w:tcW w:w="213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8439</w:t>
            </w:r>
          </w:p>
        </w:tc>
        <w:tc>
          <w:tcPr>
            <w:tcW w:w="213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6776</w:t>
            </w:r>
          </w:p>
        </w:tc>
        <w:tc>
          <w:tcPr>
            <w:tcW w:w="128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-19.71%</w:t>
            </w:r>
          </w:p>
        </w:tc>
      </w:tr>
      <w:tr>
        <w:trPr>
          <w:jc w:val="center"/>
        </w:trPr>
        <w:tc>
          <w:tcPr>
            <w:tcW w:w="296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停车管理类</w:t>
            </w:r>
          </w:p>
        </w:tc>
        <w:tc>
          <w:tcPr>
            <w:tcW w:w="213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4026</w:t>
            </w:r>
          </w:p>
        </w:tc>
        <w:tc>
          <w:tcPr>
            <w:tcW w:w="213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3458</w:t>
            </w:r>
          </w:p>
        </w:tc>
        <w:tc>
          <w:tcPr>
            <w:tcW w:w="128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-14.11%</w:t>
            </w:r>
          </w:p>
        </w:tc>
      </w:tr>
      <w:tr>
        <w:trPr>
          <w:jc w:val="center"/>
        </w:trPr>
        <w:tc>
          <w:tcPr>
            <w:tcW w:w="296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垃圾清理类</w:t>
            </w:r>
          </w:p>
        </w:tc>
        <w:tc>
          <w:tcPr>
            <w:tcW w:w="213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1269</w:t>
            </w:r>
          </w:p>
        </w:tc>
        <w:tc>
          <w:tcPr>
            <w:tcW w:w="213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1257</w:t>
            </w:r>
          </w:p>
        </w:tc>
        <w:tc>
          <w:tcPr>
            <w:tcW w:w="128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-0.95%</w:t>
            </w:r>
          </w:p>
        </w:tc>
      </w:tr>
      <w:tr>
        <w:trPr>
          <w:jc w:val="center"/>
        </w:trPr>
        <w:tc>
          <w:tcPr>
            <w:tcW w:w="296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业委会规范化运作类</w:t>
            </w:r>
          </w:p>
        </w:tc>
        <w:tc>
          <w:tcPr>
            <w:tcW w:w="213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1362</w:t>
            </w:r>
          </w:p>
        </w:tc>
        <w:tc>
          <w:tcPr>
            <w:tcW w:w="213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1096</w:t>
            </w:r>
          </w:p>
        </w:tc>
        <w:tc>
          <w:tcPr>
            <w:tcW w:w="128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-19.53%</w:t>
            </w:r>
          </w:p>
        </w:tc>
      </w:tr>
      <w:tr>
        <w:trPr>
          <w:jc w:val="center"/>
        </w:trPr>
        <w:tc>
          <w:tcPr>
            <w:tcW w:w="296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adjustRightInd/>
              <w:snapToGrid w:val="0"/>
              <w:spacing w:line="240" w:lineRule="auto"/>
              <w:ind w:left="0" w:firstLine="0" w:firstLineChars="0"/>
              <w:jc w:val="left"/>
              <w:textAlignment w:val="center"/>
              <w:rPr>
                <w:rFonts w:ascii="仿宋_GB2312" w:hAnsi="仿宋_GB2312" w:eastAsia="仿宋_GB2312" w:cs="仿宋_GB2312"/>
                <w:b/>
                <w:bCs/>
                <w:i w:val="0"/>
                <w:iCs w:val="0"/>
                <w:color w:val="000000"/>
                <w:kern w:val="0"/>
                <w:sz w:val="30"/>
                <w:szCs w:val="30"/>
                <w:u w:val="none"/>
                <w:lang w:val="en-US" w:eastAsia="zh-CN"/>
              </w:rPr>
            </w:pPr>
            <w:r>
              <w:rPr>
                <w:rFonts w:ascii="仿宋_GB2312" w:hAnsi="仿宋_GB2312" w:eastAsia="仿宋_GB2312" w:cs="仿宋_GB2312"/>
                <w:b/>
                <w:bCs/>
                <w:i w:val="0"/>
                <w:iCs w:val="0"/>
                <w:color w:val="000000"/>
                <w:kern w:val="0"/>
                <w:sz w:val="30"/>
                <w:szCs w:val="30"/>
                <w:u w:val="none"/>
                <w:lang w:val="en-US" w:eastAsia="zh-CN"/>
              </w:rPr>
              <w:t>合  计</w:t>
            </w:r>
          </w:p>
        </w:tc>
        <w:tc>
          <w:tcPr>
            <w:tcW w:w="213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adjustRightInd/>
              <w:snapToGrid w:val="0"/>
              <w:spacing w:line="240" w:lineRule="auto"/>
              <w:ind w:left="0" w:firstLine="0" w:firstLineChars="0"/>
              <w:jc w:val="center"/>
              <w:textAlignment w:val="center"/>
              <w:rPr>
                <w:rFonts w:ascii="仿宋_GB2312" w:hAnsi="仿宋_GB2312" w:eastAsia="仿宋_GB2312" w:cs="仿宋_GB2312"/>
                <w:b/>
                <w:bCs/>
                <w:i w:val="0"/>
                <w:iCs w:val="0"/>
                <w:color w:val="000000"/>
                <w:kern w:val="0"/>
                <w:sz w:val="30"/>
                <w:szCs w:val="30"/>
                <w:u w:val="none"/>
                <w:lang w:val="en-US" w:eastAsia="zh-CN"/>
              </w:rPr>
            </w:pPr>
            <w:r>
              <w:rPr>
                <w:rFonts w:ascii="仿宋_GB2312" w:hAnsi="仿宋_GB2312" w:eastAsia="仿宋_GB2312" w:cs="仿宋_GB2312"/>
                <w:b/>
                <w:bCs/>
                <w:i w:val="0"/>
                <w:iCs w:val="0"/>
                <w:color w:val="000000"/>
                <w:kern w:val="0"/>
                <w:sz w:val="30"/>
                <w:szCs w:val="30"/>
                <w:u w:val="none"/>
                <w:lang w:val="en-US" w:eastAsia="zh-CN"/>
              </w:rPr>
              <w:t>15096</w:t>
            </w:r>
          </w:p>
        </w:tc>
        <w:tc>
          <w:tcPr>
            <w:tcW w:w="213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adjustRightInd/>
              <w:snapToGrid w:val="0"/>
              <w:spacing w:line="240" w:lineRule="auto"/>
              <w:ind w:left="0" w:firstLine="0" w:firstLineChars="0"/>
              <w:jc w:val="center"/>
              <w:textAlignment w:val="center"/>
              <w:rPr>
                <w:rFonts w:ascii="仿宋_GB2312" w:hAnsi="仿宋_GB2312" w:eastAsia="仿宋_GB2312" w:cs="仿宋_GB2312"/>
                <w:b/>
                <w:bCs/>
                <w:i w:val="0"/>
                <w:iCs w:val="0"/>
                <w:color w:val="000000"/>
                <w:kern w:val="0"/>
                <w:sz w:val="30"/>
                <w:szCs w:val="30"/>
                <w:u w:val="none"/>
                <w:lang w:val="en-US" w:eastAsia="zh-CN"/>
              </w:rPr>
            </w:pPr>
            <w:r>
              <w:rPr>
                <w:rFonts w:ascii="仿宋_GB2312" w:hAnsi="仿宋_GB2312" w:eastAsia="仿宋_GB2312" w:cs="仿宋_GB2312"/>
                <w:b/>
                <w:bCs/>
                <w:i w:val="0"/>
                <w:iCs w:val="0"/>
                <w:color w:val="000000"/>
                <w:kern w:val="0"/>
                <w:sz w:val="30"/>
                <w:szCs w:val="30"/>
                <w:u w:val="none"/>
                <w:lang w:val="en-US" w:eastAsia="zh-CN"/>
              </w:rPr>
              <w:t>12587</w:t>
            </w:r>
          </w:p>
        </w:tc>
        <w:tc>
          <w:tcPr>
            <w:tcW w:w="128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adjustRightInd/>
              <w:snapToGrid w:val="0"/>
              <w:spacing w:line="240" w:lineRule="auto"/>
              <w:ind w:left="0" w:firstLine="0" w:firstLineChars="0"/>
              <w:jc w:val="center"/>
              <w:textAlignment w:val="center"/>
              <w:rPr>
                <w:rFonts w:ascii="仿宋_GB2312" w:hAnsi="仿宋_GB2312" w:eastAsia="仿宋_GB2312" w:cs="仿宋_GB2312"/>
                <w:b/>
                <w:bCs/>
                <w:i w:val="0"/>
                <w:iCs w:val="0"/>
                <w:color w:val="000000"/>
                <w:kern w:val="0"/>
                <w:sz w:val="30"/>
                <w:szCs w:val="30"/>
                <w:u w:val="none"/>
                <w:lang w:val="en-US" w:eastAsia="zh-CN"/>
              </w:rPr>
            </w:pPr>
            <w:r>
              <w:rPr>
                <w:rFonts w:ascii="仿宋_GB2312" w:hAnsi="仿宋_GB2312" w:eastAsia="仿宋_GB2312" w:cs="仿宋_GB2312"/>
                <w:b/>
                <w:bCs/>
                <w:i w:val="0"/>
                <w:iCs w:val="0"/>
                <w:color w:val="000000"/>
                <w:kern w:val="0"/>
                <w:sz w:val="30"/>
                <w:szCs w:val="30"/>
                <w:u w:val="none"/>
                <w:lang w:val="en-US" w:eastAsia="zh-CN"/>
              </w:rPr>
              <w:t>-16.62%</w:t>
            </w:r>
          </w:p>
        </w:tc>
      </w:tr>
    </w:tbl>
    <w:p>
      <w:pPr>
        <w:keepNext w:val="0"/>
        <w:keepLines w:val="0"/>
        <w:pageBreakBefore w:val="0"/>
        <w:widowControl w:val="0"/>
        <w:kinsoku/>
        <w:wordWrap/>
        <w:overflowPunct/>
        <w:topLinePunct w:val="0"/>
        <w:autoSpaceDE/>
        <w:autoSpaceDN/>
        <w:bidi w:val="0"/>
        <w:adjustRightInd/>
        <w:snapToGrid/>
        <w:spacing w:before="120" w:after="120" w:line="288" w:lineRule="auto"/>
        <w:ind w:left="0" w:firstLine="0" w:firstLineChars="0"/>
        <w:jc w:val="both"/>
        <w:rPr>
          <w:rFonts w:hint="eastAsia" w:ascii="仿宋_GB2312" w:hAnsi="仿宋_GB2312" w:eastAsia="仿宋_GB2312" w:cs="仿宋_GB2312"/>
          <w:b/>
          <w:bCs/>
          <w:color w:val="1C4A83"/>
          <w:kern w:val="0"/>
          <w:sz w:val="30"/>
          <w:szCs w:val="30"/>
          <w:lang w:eastAsia="zh-CN"/>
        </w:rPr>
      </w:pPr>
      <w:r>
        <w:drawing>
          <wp:inline distT="0" distB="0" distL="114300" distR="114300">
            <wp:extent cx="5271135" cy="3443605"/>
            <wp:effectExtent l="0" t="0" r="12065" b="1079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7"/>
                    <a:stretch>
                      <a:fillRect/>
                    </a:stretch>
                  </pic:blipFill>
                  <pic:spPr>
                    <a:xfrm>
                      <a:off x="0" y="0"/>
                      <a:ext cx="5271135" cy="34436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24" w:lineRule="auto"/>
        <w:ind w:left="0"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图表1：</w:t>
      </w:r>
      <w:r>
        <w:rPr>
          <w:rFonts w:hint="eastAsia" w:ascii="仿宋_GB2312" w:hAnsi="仿宋_GB2312" w:eastAsia="仿宋_GB2312" w:cs="仿宋_GB2312"/>
          <w:sz w:val="30"/>
          <w:szCs w:val="30"/>
          <w:lang w:val="en-US" w:eastAsia="zh-CN"/>
        </w:rPr>
        <w:t>四</w:t>
      </w:r>
      <w:r>
        <w:rPr>
          <w:rFonts w:hint="eastAsia" w:ascii="仿宋_GB2312" w:hAnsi="仿宋_GB2312" w:eastAsia="仿宋_GB2312" w:cs="仿宋_GB2312"/>
          <w:sz w:val="30"/>
          <w:szCs w:val="30"/>
        </w:rPr>
        <w:t>大类工单数量分布）</w:t>
      </w:r>
    </w:p>
    <w:p>
      <w:pPr>
        <w:pStyle w:val="8"/>
        <w:keepNext w:val="0"/>
        <w:keepLines w:val="0"/>
        <w:pageBreakBefore w:val="0"/>
        <w:widowControl w:val="0"/>
        <w:kinsoku/>
        <w:wordWrap/>
        <w:overflowPunct/>
        <w:topLinePunct w:val="0"/>
        <w:autoSpaceDE/>
        <w:autoSpaceDN/>
        <w:bidi w:val="0"/>
        <w:adjustRightInd/>
        <w:snapToGrid/>
        <w:ind w:left="0" w:leftChars="0" w:firstLine="0" w:firstLineChars="0"/>
        <w:jc w:val="both"/>
        <w:rPr>
          <w:rFonts w:hint="eastAsia" w:ascii="仿宋_GB2312" w:hAnsi="仿宋_GB2312" w:eastAsia="仿宋_GB2312" w:cs="仿宋_GB2312"/>
          <w:sz w:val="30"/>
          <w:szCs w:val="30"/>
        </w:rPr>
      </w:pPr>
      <w:r>
        <w:drawing>
          <wp:inline distT="0" distB="0" distL="114300" distR="114300">
            <wp:extent cx="5763895" cy="2868930"/>
            <wp:effectExtent l="0" t="0" r="1905" b="127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8"/>
                    <a:stretch>
                      <a:fillRect/>
                    </a:stretch>
                  </pic:blipFill>
                  <pic:spPr>
                    <a:xfrm>
                      <a:off x="0" y="0"/>
                      <a:ext cx="5763895" cy="28689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24" w:lineRule="auto"/>
        <w:ind w:left="0"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b/>
          <w:bCs/>
          <w:sz w:val="30"/>
          <w:szCs w:val="30"/>
          <w:lang w:val="en-US" w:eastAsia="zh-CN"/>
        </w:rPr>
        <w:t>2</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工单数量</w:t>
      </w:r>
      <w:r>
        <w:rPr>
          <w:rFonts w:hint="eastAsia" w:ascii="仿宋_GB2312" w:hAnsi="仿宋_GB2312" w:eastAsia="仿宋_GB2312" w:cs="仿宋_GB2312"/>
          <w:sz w:val="30"/>
          <w:szCs w:val="30"/>
          <w:lang w:val="en-US" w:eastAsia="zh-CN"/>
        </w:rPr>
        <w:t>月度情况</w:t>
      </w:r>
      <w:r>
        <w:rPr>
          <w:rFonts w:hint="eastAsia" w:ascii="仿宋_GB2312" w:hAnsi="仿宋_GB2312" w:eastAsia="仿宋_GB2312" w:cs="仿宋_GB2312"/>
          <w:sz w:val="30"/>
          <w:szCs w:val="30"/>
        </w:rPr>
        <w:t>）</w:t>
      </w:r>
    </w:p>
    <w:p>
      <w:pPr>
        <w:keepNext w:val="0"/>
        <w:keepLines w:val="0"/>
        <w:pageBreakBefore w:val="0"/>
        <w:widowControl w:val="0"/>
        <w:kinsoku/>
        <w:wordWrap/>
        <w:overflowPunct/>
        <w:topLinePunct w:val="0"/>
        <w:autoSpaceDE/>
        <w:autoSpaceDN/>
        <w:bidi w:val="0"/>
        <w:adjustRightInd/>
        <w:snapToGrid/>
        <w:spacing w:line="324" w:lineRule="auto"/>
        <w:ind w:left="0" w:firstLine="0" w:firstLineChars="0"/>
        <w:jc w:val="center"/>
        <w:rPr>
          <w:rFonts w:hint="eastAsia" w:ascii="仿宋_GB2312" w:hAnsi="仿宋_GB2312" w:eastAsia="仿宋_GB2312" w:cs="仿宋_GB2312"/>
          <w:sz w:val="30"/>
          <w:szCs w:val="30"/>
        </w:rPr>
      </w:pPr>
    </w:p>
    <w:p>
      <w:pPr>
        <w:keepNext w:val="0"/>
        <w:keepLines w:val="0"/>
        <w:pageBreakBefore w:val="0"/>
        <w:widowControl w:val="0"/>
        <w:kinsoku/>
        <w:wordWrap/>
        <w:overflowPunct/>
        <w:topLinePunct w:val="0"/>
        <w:autoSpaceDE/>
        <w:autoSpaceDN/>
        <w:bidi w:val="0"/>
        <w:adjustRightInd/>
        <w:snapToGrid/>
        <w:spacing w:before="320" w:after="120" w:line="288" w:lineRule="auto"/>
        <w:ind w:left="0"/>
        <w:jc w:val="both"/>
        <w:outlineLvl w:val="1"/>
        <w:rPr>
          <w:rFonts w:hint="eastAsia" w:ascii="楷体_GB2312" w:hAnsi="楷体_GB2312" w:eastAsia="楷体_GB2312" w:cs="楷体_GB2312"/>
          <w:sz w:val="30"/>
          <w:szCs w:val="30"/>
        </w:rPr>
      </w:pPr>
      <w:bookmarkStart w:id="0" w:name="heading_6"/>
      <w:r>
        <w:rPr>
          <w:rFonts w:hint="eastAsia" w:ascii="楷体_GB2312" w:hAnsi="楷体_GB2312" w:eastAsia="楷体_GB2312" w:cs="楷体_GB2312"/>
          <w:b/>
          <w:sz w:val="30"/>
          <w:szCs w:val="30"/>
          <w:lang w:eastAsia="zh-CN"/>
        </w:rPr>
        <w:t>（</w:t>
      </w:r>
      <w:r>
        <w:rPr>
          <w:rFonts w:hint="eastAsia" w:ascii="楷体_GB2312" w:hAnsi="楷体_GB2312" w:eastAsia="楷体_GB2312" w:cs="楷体_GB2312"/>
          <w:b/>
          <w:sz w:val="30"/>
          <w:szCs w:val="30"/>
          <w:lang w:val="en-US" w:eastAsia="zh-CN"/>
        </w:rPr>
        <w:t>一）</w:t>
      </w:r>
      <w:r>
        <w:rPr>
          <w:rFonts w:hint="eastAsia" w:ascii="楷体_GB2312" w:hAnsi="楷体_GB2312" w:eastAsia="楷体_GB2312" w:cs="楷体_GB2312"/>
          <w:b/>
          <w:sz w:val="30"/>
          <w:szCs w:val="30"/>
        </w:rPr>
        <w:t>物业日常管理类工单</w:t>
      </w:r>
      <w:bookmarkEnd w:id="0"/>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仿宋_GB2312" w:hAnsi="仿宋_GB2312" w:eastAsia="仿宋_GB2312" w:cs="仿宋_GB2312"/>
          <w:sz w:val="30"/>
          <w:szCs w:val="30"/>
        </w:rPr>
      </w:pPr>
      <w:bookmarkStart w:id="1" w:name="heading_7"/>
      <w:r>
        <w:rPr>
          <w:rFonts w:hint="eastAsia" w:ascii="仿宋_GB2312" w:hAnsi="仿宋_GB2312" w:eastAsia="仿宋_GB2312" w:cs="仿宋_GB2312"/>
          <w:b/>
          <w:sz w:val="30"/>
          <w:szCs w:val="30"/>
          <w:lang w:val="en-US" w:eastAsia="zh-CN"/>
        </w:rPr>
        <w:t>1.</w:t>
      </w:r>
      <w:r>
        <w:rPr>
          <w:rFonts w:hint="eastAsia" w:ascii="仿宋_GB2312" w:hAnsi="仿宋_GB2312" w:eastAsia="仿宋_GB2312" w:cs="仿宋_GB2312"/>
          <w:b/>
          <w:sz w:val="30"/>
          <w:szCs w:val="30"/>
        </w:rPr>
        <w:t>工单特征分析</w:t>
      </w:r>
      <w:bookmarkEnd w:id="1"/>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除关键词明确的停车、垃圾、业委会类投诉外，其余咨询、表扬、投诉</w:t>
      </w:r>
      <w:r>
        <w:rPr>
          <w:rFonts w:ascii="仿宋_GB2312" w:hAnsi="仿宋_GB2312" w:eastAsia="仿宋_GB2312" w:cs="仿宋_GB2312"/>
          <w:sz w:val="30"/>
          <w:szCs w:val="30"/>
          <w:lang w:val="en-US" w:eastAsia="zh-CN"/>
        </w:rPr>
        <w:t>等</w:t>
      </w:r>
      <w:r>
        <w:rPr>
          <w:rFonts w:hint="eastAsia" w:ascii="仿宋_GB2312" w:hAnsi="仿宋_GB2312" w:eastAsia="仿宋_GB2312" w:cs="仿宋_GB2312"/>
          <w:sz w:val="30"/>
          <w:szCs w:val="30"/>
          <w:lang w:val="en-US" w:eastAsia="zh-CN"/>
        </w:rPr>
        <w:t>工单全部纳入</w:t>
      </w:r>
      <w:r>
        <w:rPr>
          <w:rFonts w:hint="eastAsia" w:ascii="仿宋_GB2312" w:hAnsi="仿宋_GB2312" w:eastAsia="仿宋_GB2312" w:cs="仿宋_GB2312"/>
          <w:sz w:val="30"/>
          <w:szCs w:val="30"/>
        </w:rPr>
        <w:t>物业日常管理类</w:t>
      </w:r>
      <w:r>
        <w:rPr>
          <w:rFonts w:hint="eastAsia" w:ascii="仿宋_GB2312" w:hAnsi="仿宋_GB2312" w:eastAsia="仿宋_GB2312" w:cs="仿宋_GB2312"/>
          <w:sz w:val="30"/>
          <w:szCs w:val="30"/>
          <w:lang w:eastAsia="zh-CN"/>
        </w:rPr>
        <w:t>。</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ascii="仿宋_GB2312" w:hAnsi="仿宋_GB2312" w:eastAsia="仿宋_GB2312" w:cs="仿宋_GB2312"/>
          <w:sz w:val="30"/>
          <w:szCs w:val="30"/>
        </w:rPr>
        <w:t>2025年，</w:t>
      </w:r>
      <w:r>
        <w:rPr>
          <w:rFonts w:hint="eastAsia" w:ascii="仿宋_GB2312" w:hAnsi="仿宋_GB2312" w:eastAsia="仿宋_GB2312" w:cs="仿宋_GB2312"/>
          <w:sz w:val="30"/>
          <w:szCs w:val="30"/>
        </w:rPr>
        <w:t>物业日常管理类工单共计6776件，占全年工单总量的53.84%，</w:t>
      </w:r>
      <w:r>
        <w:rPr>
          <w:rFonts w:ascii="仿宋_GB2312" w:hAnsi="仿宋_GB2312" w:eastAsia="仿宋_GB2312" w:cs="仿宋_GB2312"/>
          <w:sz w:val="30"/>
          <w:szCs w:val="30"/>
        </w:rPr>
        <w:t>较2024年</w:t>
      </w:r>
      <w:r>
        <w:rPr>
          <w:rFonts w:hint="eastAsia" w:ascii="仿宋_GB2312" w:hAnsi="仿宋_GB2312" w:eastAsia="仿宋_GB2312" w:cs="仿宋_GB2312"/>
          <w:sz w:val="30"/>
          <w:szCs w:val="30"/>
        </w:rPr>
        <w:t>同比下降19.71%。</w:t>
      </w:r>
      <w:r>
        <w:rPr>
          <w:rFonts w:ascii="仿宋_GB2312" w:hAnsi="仿宋_GB2312" w:eastAsia="仿宋_GB2312" w:cs="仿宋_GB2312"/>
          <w:sz w:val="30"/>
          <w:szCs w:val="30"/>
        </w:rPr>
        <w:t>其中</w:t>
      </w:r>
      <w:r>
        <w:rPr>
          <w:rFonts w:hint="eastAsia" w:ascii="仿宋_GB2312" w:hAnsi="仿宋_GB2312" w:eastAsia="仿宋_GB2312" w:cs="仿宋_GB2312"/>
          <w:sz w:val="30"/>
          <w:szCs w:val="30"/>
        </w:rPr>
        <w:t>，物业日常事务</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2751件，同比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32.57%</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绿化养护修剪</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740件，同比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26.81%</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物业维修</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896件，同比</w:t>
      </w:r>
      <w:r>
        <w:rPr>
          <w:rFonts w:ascii="仿宋_GB2312" w:hAnsi="仿宋_GB2312" w:eastAsia="仿宋_GB2312" w:cs="仿宋_GB2312"/>
          <w:sz w:val="30"/>
          <w:szCs w:val="30"/>
        </w:rPr>
        <w:t>上升</w:t>
      </w:r>
      <w:r>
        <w:rPr>
          <w:rFonts w:hint="eastAsia" w:ascii="仿宋_GB2312" w:hAnsi="仿宋_GB2312" w:eastAsia="仿宋_GB2312" w:cs="仿宋_GB2312"/>
          <w:sz w:val="30"/>
          <w:szCs w:val="30"/>
        </w:rPr>
        <w:t>5.54%；设施改建</w:t>
      </w:r>
      <w:r>
        <w:rPr>
          <w:rFonts w:ascii="仿宋_GB2312" w:hAnsi="仿宋_GB2312" w:eastAsia="仿宋_GB2312" w:cs="仿宋_GB2312"/>
          <w:sz w:val="30"/>
          <w:szCs w:val="30"/>
        </w:rPr>
        <w:t>类</w:t>
      </w:r>
      <w:r>
        <w:rPr>
          <w:rFonts w:hint="eastAsia" w:ascii="仿宋_GB2312" w:hAnsi="仿宋_GB2312" w:eastAsia="仿宋_GB2312" w:cs="仿宋_GB2312"/>
          <w:sz w:val="30"/>
          <w:szCs w:val="30"/>
          <w:highlight w:val="yellow"/>
          <w:lang w:val="en-US" w:eastAsia="zh-CN"/>
        </w:rPr>
        <w:t>436</w:t>
      </w:r>
      <w:r>
        <w:rPr>
          <w:rFonts w:ascii="仿宋_GB2312" w:hAnsi="仿宋_GB2312" w:eastAsia="仿宋_GB2312" w:cs="仿宋_GB2312"/>
          <w:sz w:val="30"/>
          <w:szCs w:val="30"/>
        </w:rPr>
        <w:t>件，同比上升</w:t>
      </w:r>
      <w:r>
        <w:rPr>
          <w:rFonts w:hint="eastAsia" w:ascii="仿宋_GB2312" w:hAnsi="仿宋_GB2312" w:eastAsia="仿宋_GB2312" w:cs="仿宋_GB2312"/>
          <w:sz w:val="30"/>
          <w:szCs w:val="30"/>
        </w:rPr>
        <w:t>22.13%</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物业纠纷</w:t>
      </w:r>
      <w:r>
        <w:rPr>
          <w:rFonts w:ascii="仿宋_GB2312" w:hAnsi="仿宋_GB2312" w:eastAsia="仿宋_GB2312" w:cs="仿宋_GB2312"/>
          <w:sz w:val="30"/>
          <w:szCs w:val="30"/>
        </w:rPr>
        <w:t>类</w:t>
      </w:r>
      <w:r>
        <w:rPr>
          <w:rFonts w:hint="eastAsia" w:ascii="仿宋_GB2312" w:hAnsi="仿宋_GB2312" w:eastAsia="仿宋_GB2312" w:cs="仿宋_GB2312"/>
          <w:sz w:val="30"/>
          <w:szCs w:val="30"/>
          <w:highlight w:val="yellow"/>
          <w:lang w:val="en-US" w:eastAsia="zh-CN"/>
        </w:rPr>
        <w:t>335</w:t>
      </w:r>
      <w:r>
        <w:rPr>
          <w:rFonts w:ascii="仿宋_GB2312" w:hAnsi="仿宋_GB2312" w:eastAsia="仿宋_GB2312" w:cs="仿宋_GB2312"/>
          <w:sz w:val="30"/>
          <w:szCs w:val="30"/>
        </w:rPr>
        <w:t>件，同比上升</w:t>
      </w:r>
      <w:r>
        <w:rPr>
          <w:rFonts w:hint="eastAsia" w:ascii="仿宋_GB2312" w:hAnsi="仿宋_GB2312" w:eastAsia="仿宋_GB2312" w:cs="仿宋_GB2312"/>
          <w:sz w:val="30"/>
          <w:szCs w:val="30"/>
        </w:rPr>
        <w:t>60.29%</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物业费</w:t>
      </w:r>
      <w:r>
        <w:rPr>
          <w:rFonts w:ascii="仿宋_GB2312" w:hAnsi="仿宋_GB2312" w:eastAsia="仿宋_GB2312" w:cs="仿宋_GB2312"/>
          <w:sz w:val="30"/>
          <w:szCs w:val="30"/>
        </w:rPr>
        <w:t>类</w:t>
      </w:r>
      <w:r>
        <w:rPr>
          <w:rFonts w:hint="eastAsia" w:ascii="仿宋_GB2312" w:hAnsi="仿宋_GB2312" w:eastAsia="仿宋_GB2312" w:cs="仿宋_GB2312"/>
          <w:sz w:val="30"/>
          <w:szCs w:val="30"/>
          <w:highlight w:val="yellow"/>
          <w:lang w:val="en-US" w:eastAsia="zh-CN"/>
        </w:rPr>
        <w:t>302</w:t>
      </w:r>
      <w:r>
        <w:rPr>
          <w:rFonts w:ascii="仿宋_GB2312" w:hAnsi="仿宋_GB2312" w:eastAsia="仿宋_GB2312" w:cs="仿宋_GB2312"/>
          <w:sz w:val="30"/>
          <w:szCs w:val="30"/>
        </w:rPr>
        <w:t>件，同比上升</w:t>
      </w:r>
      <w:r>
        <w:rPr>
          <w:rFonts w:hint="eastAsia" w:ascii="仿宋_GB2312" w:hAnsi="仿宋_GB2312" w:eastAsia="仿宋_GB2312" w:cs="仿宋_GB2312"/>
          <w:sz w:val="30"/>
          <w:szCs w:val="30"/>
        </w:rPr>
        <w:t>19.84%</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安保</w:t>
      </w:r>
      <w:r>
        <w:rPr>
          <w:rFonts w:ascii="仿宋_GB2312" w:hAnsi="仿宋_GB2312" w:eastAsia="仿宋_GB2312" w:cs="仿宋_GB2312"/>
          <w:sz w:val="30"/>
          <w:szCs w:val="30"/>
        </w:rPr>
        <w:t>类</w:t>
      </w:r>
      <w:r>
        <w:rPr>
          <w:rFonts w:hint="eastAsia" w:ascii="仿宋_GB2312" w:hAnsi="仿宋_GB2312" w:eastAsia="仿宋_GB2312" w:cs="仿宋_GB2312"/>
          <w:sz w:val="30"/>
          <w:szCs w:val="30"/>
          <w:highlight w:val="yellow"/>
          <w:lang w:val="en-US" w:eastAsia="zh-CN"/>
        </w:rPr>
        <w:t>163</w:t>
      </w:r>
      <w:r>
        <w:rPr>
          <w:rFonts w:ascii="仿宋_GB2312" w:hAnsi="仿宋_GB2312" w:eastAsia="仿宋_GB2312" w:cs="仿宋_GB2312"/>
          <w:sz w:val="30"/>
          <w:szCs w:val="30"/>
        </w:rPr>
        <w:t>件，同比上升</w:t>
      </w:r>
      <w:r>
        <w:rPr>
          <w:rFonts w:hint="eastAsia" w:ascii="仿宋_GB2312" w:hAnsi="仿宋_GB2312" w:eastAsia="仿宋_GB2312" w:cs="仿宋_GB2312"/>
          <w:sz w:val="30"/>
          <w:szCs w:val="30"/>
        </w:rPr>
        <w:t>49.54%</w:t>
      </w:r>
      <w:r>
        <w:rPr>
          <w:rFonts w:ascii="仿宋_GB2312" w:hAnsi="仿宋_GB2312" w:eastAsia="仿宋_GB2312" w:cs="仿宋_GB2312"/>
          <w:sz w:val="30"/>
          <w:szCs w:val="30"/>
        </w:rPr>
        <w:t>，详细情况见下表。</w:t>
      </w:r>
    </w:p>
    <w:p>
      <w:pPr>
        <w:keepNext w:val="0"/>
        <w:keepLines w:val="0"/>
        <w:pageBreakBefore w:val="0"/>
        <w:widowControl w:val="0"/>
        <w:kinsoku/>
        <w:wordWrap/>
        <w:overflowPunct/>
        <w:topLinePunct w:val="0"/>
        <w:autoSpaceDE/>
        <w:autoSpaceDN/>
        <w:bidi w:val="0"/>
        <w:adjustRightInd/>
        <w:snapToGrid/>
        <w:spacing w:before="120" w:after="120" w:line="288" w:lineRule="auto"/>
        <w:ind w:left="0" w:firstLine="0" w:firstLineChars="0"/>
        <w:jc w:val="both"/>
        <w:rPr>
          <w:rFonts w:hint="eastAsia" w:ascii="仿宋_GB2312" w:hAnsi="仿宋_GB2312" w:eastAsia="仿宋_GB2312" w:cs="仿宋_GB2312"/>
          <w:b/>
          <w:bCs/>
          <w:color w:val="1C4A83"/>
          <w:kern w:val="0"/>
          <w:sz w:val="30"/>
          <w:szCs w:val="30"/>
        </w:rPr>
      </w:pPr>
      <w:r>
        <w:rPr>
          <w:rFonts w:hint="eastAsia" w:ascii="仿宋_GB2312" w:hAnsi="仿宋_GB2312" w:eastAsia="仿宋_GB2312" w:cs="仿宋_GB2312"/>
          <w:b/>
          <w:bCs/>
          <w:color w:val="1C4A83"/>
          <w:kern w:val="0"/>
          <w:sz w:val="30"/>
          <w:szCs w:val="30"/>
        </w:rPr>
        <w:drawing>
          <wp:inline distT="0" distB="0" distL="114300" distR="114300">
            <wp:extent cx="5415280" cy="4836795"/>
            <wp:effectExtent l="0" t="0" r="13969" b="1905"/>
            <wp:docPr id="10" name="图片 2" descr="975ec733-8e4d-49e3-8872-47839969a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975ec733-8e4d-49e3-8872-47839969afa7"/>
                    <pic:cNvPicPr>
                      <a:picLocks noChangeAspect="1"/>
                    </pic:cNvPicPr>
                  </pic:nvPicPr>
                  <pic:blipFill>
                    <a:blip r:embed="rId9"/>
                    <a:stretch>
                      <a:fillRect/>
                    </a:stretch>
                  </pic:blipFill>
                  <pic:spPr>
                    <a:xfrm>
                      <a:off x="0" y="0"/>
                      <a:ext cx="5415280" cy="4836795"/>
                    </a:xfrm>
                    <a:prstGeom prst="rect">
                      <a:avLst/>
                    </a:prstGeom>
                    <a:noFill/>
                    <a:ln w="9525" cap="flat" cmpd="sng">
                      <a:noFill/>
                      <a:prstDash val="solid"/>
                      <a:miter/>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24" w:lineRule="auto"/>
        <w:ind w:left="0"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b/>
          <w:bCs/>
          <w:sz w:val="30"/>
          <w:szCs w:val="30"/>
          <w:lang w:val="en-US" w:eastAsia="zh-CN"/>
        </w:rPr>
        <w:t>3</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物业日常管理类工单诉求分布）</w:t>
      </w:r>
    </w:p>
    <w:p>
      <w:pPr>
        <w:pStyle w:val="8"/>
        <w:keepNext w:val="0"/>
        <w:keepLines w:val="0"/>
        <w:pageBreakBefore w:val="0"/>
        <w:widowControl w:val="0"/>
        <w:kinsoku/>
        <w:wordWrap/>
        <w:overflowPunct/>
        <w:topLinePunct w:val="0"/>
        <w:autoSpaceDE/>
        <w:autoSpaceDN/>
        <w:bidi w:val="0"/>
        <w:adjustRightInd/>
        <w:snapToGrid/>
        <w:ind w:left="0" w:leftChars="0" w:firstLine="0" w:firstLineChars="0"/>
        <w:jc w:val="center"/>
        <w:rPr>
          <w:rFonts w:hint="default" w:ascii="仿宋_GB2312" w:hAnsi="仿宋_GB2312" w:eastAsia="仿宋_GB2312" w:cs="仿宋_GB2312"/>
          <w:b/>
          <w:bCs/>
          <w:color w:val="1C4A83"/>
          <w:kern w:val="0"/>
          <w:sz w:val="30"/>
          <w:szCs w:val="30"/>
          <w:highlight w:val="none"/>
          <w:lang w:val="en-US" w:eastAsia="zh-CN"/>
        </w:rPr>
      </w:pPr>
      <w:r>
        <w:drawing>
          <wp:inline distT="0" distB="0" distL="114300" distR="114300">
            <wp:extent cx="5848350" cy="2827655"/>
            <wp:effectExtent l="0" t="0" r="19050" b="1714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0"/>
                    <a:stretch>
                      <a:fillRect/>
                    </a:stretch>
                  </pic:blipFill>
                  <pic:spPr>
                    <a:xfrm>
                      <a:off x="0" y="0"/>
                      <a:ext cx="5848350" cy="282765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24" w:lineRule="auto"/>
        <w:ind w:left="0"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b/>
          <w:bCs/>
          <w:sz w:val="30"/>
          <w:szCs w:val="30"/>
          <w:lang w:val="en-US" w:eastAsia="zh-CN"/>
        </w:rPr>
        <w:t>4</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物业日常管理类工单诉求</w:t>
      </w:r>
      <w:r>
        <w:rPr>
          <w:rFonts w:hint="eastAsia" w:ascii="仿宋_GB2312" w:hAnsi="仿宋_GB2312" w:eastAsia="仿宋_GB2312" w:cs="仿宋_GB2312"/>
          <w:sz w:val="30"/>
          <w:szCs w:val="30"/>
          <w:lang w:val="en-US" w:eastAsia="zh-CN"/>
        </w:rPr>
        <w:t>月度情况</w:t>
      </w:r>
      <w:r>
        <w:rPr>
          <w:rFonts w:hint="eastAsia" w:ascii="仿宋_GB2312" w:hAnsi="仿宋_GB2312" w:eastAsia="仿宋_GB2312" w:cs="仿宋_GB2312"/>
          <w:sz w:val="30"/>
          <w:szCs w:val="30"/>
        </w:rPr>
        <w:t>）</w:t>
      </w:r>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ascii="仿宋_GB2312" w:hAnsi="仿宋_GB2312" w:eastAsia="仿宋_GB2312" w:cs="仿宋_GB2312"/>
          <w:sz w:val="30"/>
          <w:szCs w:val="30"/>
          <w:lang w:val="en-US" w:eastAsia="zh-CN"/>
        </w:rPr>
      </w:pPr>
      <w:bookmarkStart w:id="2" w:name="heading_8"/>
      <w:r>
        <w:rPr>
          <w:rFonts w:hint="eastAsia" w:ascii="仿宋_GB2312" w:hAnsi="仿宋_GB2312" w:eastAsia="仿宋_GB2312" w:cs="仿宋_GB2312"/>
          <w:b/>
          <w:sz w:val="30"/>
          <w:szCs w:val="30"/>
        </w:rPr>
        <w:t>2.</w:t>
      </w:r>
      <w:bookmarkEnd w:id="2"/>
      <w:r>
        <w:rPr>
          <w:rFonts w:ascii="仿宋_GB2312" w:hAnsi="仿宋_GB2312" w:eastAsia="仿宋_GB2312" w:cs="仿宋_GB2312"/>
          <w:b/>
          <w:sz w:val="30"/>
          <w:szCs w:val="30"/>
        </w:rPr>
        <w:t>存在问题</w:t>
      </w:r>
      <w:r>
        <w:rPr>
          <w:rFonts w:hint="eastAsia" w:ascii="仿宋_GB2312" w:hAnsi="仿宋_GB2312" w:eastAsia="仿宋_GB2312" w:cs="仿宋_GB2312"/>
          <w:b/>
          <w:sz w:val="30"/>
          <w:szCs w:val="30"/>
          <w:lang w:val="en-US" w:eastAsia="zh-CN"/>
        </w:rPr>
        <w:t>原因</w:t>
      </w:r>
      <w:r>
        <w:rPr>
          <w:rFonts w:ascii="仿宋_GB2312" w:hAnsi="仿宋_GB2312" w:eastAsia="仿宋_GB2312" w:cs="仿宋_GB2312"/>
          <w:b/>
          <w:sz w:val="30"/>
          <w:szCs w:val="30"/>
          <w:lang w:val="en-US" w:eastAsia="zh-CN"/>
        </w:rPr>
        <w:t>及改进措施</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lang w:val="en-US" w:eastAsia="zh-CN"/>
        </w:rPr>
      </w:pPr>
      <w:r>
        <w:rPr>
          <w:rFonts w:ascii="仿宋_GB2312" w:hAnsi="仿宋_GB2312" w:eastAsia="仿宋_GB2312" w:cs="仿宋_GB2312"/>
          <w:b/>
          <w:bCs/>
          <w:sz w:val="30"/>
          <w:szCs w:val="30"/>
        </w:rPr>
        <w:t>（1）维修</w:t>
      </w:r>
      <w:r>
        <w:rPr>
          <w:rFonts w:hint="eastAsia" w:ascii="仿宋_GB2312" w:hAnsi="仿宋_GB2312" w:eastAsia="仿宋_GB2312" w:cs="仿宋_GB2312"/>
          <w:b/>
          <w:bCs/>
          <w:sz w:val="30"/>
          <w:szCs w:val="30"/>
        </w:rPr>
        <w:t>服务</w:t>
      </w:r>
      <w:r>
        <w:rPr>
          <w:rFonts w:ascii="仿宋_GB2312" w:hAnsi="仿宋_GB2312" w:eastAsia="仿宋_GB2312" w:cs="仿宋_GB2312"/>
          <w:b/>
          <w:bCs/>
          <w:sz w:val="30"/>
          <w:szCs w:val="30"/>
        </w:rPr>
        <w:t>的</w:t>
      </w:r>
      <w:r>
        <w:rPr>
          <w:rFonts w:hint="eastAsia" w:ascii="仿宋_GB2312" w:hAnsi="仿宋_GB2312" w:eastAsia="仿宋_GB2312" w:cs="仿宋_GB2312"/>
          <w:b/>
          <w:bCs/>
          <w:sz w:val="30"/>
          <w:szCs w:val="30"/>
        </w:rPr>
        <w:t>响应</w:t>
      </w:r>
      <w:r>
        <w:rPr>
          <w:rFonts w:ascii="仿宋_GB2312" w:hAnsi="仿宋_GB2312" w:eastAsia="仿宋_GB2312" w:cs="仿宋_GB2312"/>
          <w:b/>
          <w:bCs/>
          <w:sz w:val="30"/>
          <w:szCs w:val="30"/>
        </w:rPr>
        <w:t>速度不及时</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小区物业日常</w:t>
      </w:r>
      <w:r>
        <w:rPr>
          <w:rFonts w:ascii="仿宋_GB2312" w:hAnsi="仿宋_GB2312" w:eastAsia="仿宋_GB2312" w:cs="仿宋_GB2312"/>
          <w:sz w:val="30"/>
          <w:szCs w:val="30"/>
        </w:rPr>
        <w:t>管理类</w:t>
      </w:r>
      <w:r>
        <w:rPr>
          <w:rFonts w:hint="eastAsia" w:ascii="仿宋_GB2312" w:hAnsi="仿宋_GB2312" w:eastAsia="仿宋_GB2312" w:cs="仿宋_GB2312"/>
          <w:sz w:val="30"/>
          <w:szCs w:val="30"/>
        </w:rPr>
        <w:t>工单</w:t>
      </w:r>
      <w:r>
        <w:rPr>
          <w:rFonts w:ascii="仿宋_GB2312" w:hAnsi="仿宋_GB2312" w:eastAsia="仿宋_GB2312" w:cs="仿宋_GB2312"/>
          <w:sz w:val="30"/>
          <w:szCs w:val="30"/>
        </w:rPr>
        <w:t>总量虽然有所</w:t>
      </w:r>
      <w:r>
        <w:rPr>
          <w:rFonts w:hint="eastAsia" w:ascii="仿宋_GB2312" w:hAnsi="仿宋_GB2312" w:eastAsia="仿宋_GB2312" w:cs="仿宋_GB2312"/>
          <w:sz w:val="30"/>
          <w:szCs w:val="30"/>
        </w:rPr>
        <w:t>下降，</w:t>
      </w:r>
      <w:r>
        <w:rPr>
          <w:rFonts w:ascii="仿宋_GB2312" w:hAnsi="仿宋_GB2312" w:eastAsia="仿宋_GB2312" w:cs="仿宋_GB2312"/>
          <w:sz w:val="30"/>
          <w:szCs w:val="30"/>
        </w:rPr>
        <w:t>但维修类工单确有明显上升，主要原因一是部分物业企业没有自己的维修队伍，外包服务导致维修响应不及时；二是部分房屋顶楼漏水、外墙渗水等</w:t>
      </w:r>
      <w:r>
        <w:rPr>
          <w:rFonts w:hint="eastAsia" w:ascii="仿宋_GB2312" w:hAnsi="仿宋_GB2312" w:eastAsia="仿宋_GB2312" w:cs="仿宋_GB2312"/>
          <w:sz w:val="30"/>
          <w:szCs w:val="30"/>
          <w:lang w:eastAsia="zh-CN"/>
        </w:rPr>
        <w:t>需要动用</w:t>
      </w:r>
      <w:r>
        <w:rPr>
          <w:rFonts w:ascii="仿宋_GB2312" w:hAnsi="仿宋_GB2312" w:eastAsia="仿宋_GB2312" w:cs="仿宋_GB2312"/>
          <w:sz w:val="30"/>
          <w:szCs w:val="30"/>
        </w:rPr>
        <w:t>维修</w:t>
      </w:r>
      <w:r>
        <w:rPr>
          <w:rFonts w:hint="eastAsia" w:ascii="仿宋_GB2312" w:hAnsi="仿宋_GB2312" w:eastAsia="仿宋_GB2312" w:cs="仿宋_GB2312"/>
          <w:sz w:val="30"/>
          <w:szCs w:val="30"/>
          <w:lang w:eastAsia="zh-CN"/>
        </w:rPr>
        <w:t>资金的必须</w:t>
      </w:r>
      <w:r>
        <w:rPr>
          <w:rFonts w:ascii="仿宋_GB2312" w:hAnsi="仿宋_GB2312" w:eastAsia="仿宋_GB2312" w:cs="仿宋_GB2312"/>
          <w:sz w:val="30"/>
          <w:szCs w:val="30"/>
        </w:rPr>
        <w:t>业委会同意，金额大的</w:t>
      </w:r>
      <w:r>
        <w:rPr>
          <w:rFonts w:hint="eastAsia" w:ascii="仿宋_GB2312" w:hAnsi="仿宋_GB2312" w:eastAsia="仿宋_GB2312" w:cs="仿宋_GB2312"/>
          <w:sz w:val="30"/>
          <w:szCs w:val="30"/>
          <w:lang w:eastAsia="zh-CN"/>
        </w:rPr>
        <w:t>还</w:t>
      </w:r>
      <w:r>
        <w:rPr>
          <w:rFonts w:ascii="仿宋_GB2312" w:hAnsi="仿宋_GB2312" w:eastAsia="仿宋_GB2312" w:cs="仿宋_GB2312"/>
          <w:sz w:val="30"/>
          <w:szCs w:val="30"/>
        </w:rPr>
        <w:t>需要业主大会表决</w:t>
      </w:r>
      <w:r>
        <w:rPr>
          <w:rFonts w:hint="eastAsia" w:ascii="仿宋_GB2312" w:hAnsi="仿宋_GB2312" w:eastAsia="仿宋_GB2312" w:cs="仿宋_GB2312"/>
          <w:sz w:val="30"/>
          <w:szCs w:val="30"/>
          <w:lang w:eastAsia="zh-CN"/>
        </w:rPr>
        <w:t>流程</w:t>
      </w:r>
      <w:r>
        <w:rPr>
          <w:rFonts w:ascii="仿宋_GB2312" w:hAnsi="仿宋_GB2312" w:eastAsia="仿宋_GB2312" w:cs="仿宋_GB2312"/>
          <w:sz w:val="30"/>
          <w:szCs w:val="30"/>
        </w:rPr>
        <w:t>，导致维修进展缓慢；三是部分新建楼盘交付的质量问题，和开发商之间的沟通不畅，以及维修不及时。</w:t>
      </w:r>
      <w:r>
        <w:rPr>
          <w:rFonts w:ascii="仿宋_GB2312" w:hAnsi="仿宋_GB2312" w:eastAsia="仿宋_GB2312" w:cs="仿宋_GB2312"/>
          <w:b/>
          <w:bCs/>
          <w:sz w:val="30"/>
          <w:szCs w:val="30"/>
        </w:rPr>
        <w:t>改进措施</w:t>
      </w:r>
      <w:r>
        <w:rPr>
          <w:rFonts w:ascii="仿宋_GB2312" w:hAnsi="仿宋_GB2312" w:eastAsia="仿宋_GB2312" w:cs="仿宋_GB2312"/>
          <w:sz w:val="30"/>
          <w:szCs w:val="30"/>
        </w:rPr>
        <w:t>：由3支区级房屋应急维修队伍为社会物业管理的</w:t>
      </w:r>
      <w:r>
        <w:rPr>
          <w:rFonts w:hint="eastAsia" w:ascii="仿宋_GB2312" w:hAnsi="仿宋_GB2312" w:eastAsia="仿宋_GB2312" w:cs="仿宋_GB2312"/>
          <w:sz w:val="30"/>
          <w:szCs w:val="30"/>
          <w:lang w:eastAsia="zh-CN"/>
        </w:rPr>
        <w:t>进行托底维修保障；加强新建房屋交付的监管。</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ascii="仿宋_GB2312" w:hAnsi="仿宋_GB2312" w:eastAsia="仿宋_GB2312" w:cs="仿宋_GB2312"/>
          <w:b/>
          <w:bCs/>
          <w:sz w:val="30"/>
          <w:szCs w:val="30"/>
        </w:rPr>
        <w:t>（2）日常</w:t>
      </w:r>
      <w:r>
        <w:rPr>
          <w:rFonts w:hint="eastAsia" w:ascii="仿宋_GB2312" w:hAnsi="仿宋_GB2312" w:eastAsia="仿宋_GB2312" w:cs="仿宋_GB2312"/>
          <w:b/>
          <w:bCs/>
          <w:sz w:val="30"/>
          <w:szCs w:val="30"/>
        </w:rPr>
        <w:t>管理</w:t>
      </w:r>
      <w:r>
        <w:rPr>
          <w:rFonts w:ascii="仿宋_GB2312" w:hAnsi="仿宋_GB2312" w:eastAsia="仿宋_GB2312" w:cs="仿宋_GB2312"/>
          <w:b/>
          <w:bCs/>
          <w:sz w:val="30"/>
          <w:szCs w:val="30"/>
        </w:rPr>
        <w:t>还存在薄弱</w:t>
      </w:r>
      <w:r>
        <w:rPr>
          <w:rFonts w:hint="eastAsia" w:ascii="仿宋_GB2312" w:hAnsi="仿宋_GB2312" w:eastAsia="仿宋_GB2312" w:cs="仿宋_GB2312"/>
          <w:b/>
          <w:bCs/>
          <w:sz w:val="30"/>
          <w:szCs w:val="30"/>
        </w:rPr>
        <w:t>环节。</w:t>
      </w:r>
      <w:r>
        <w:rPr>
          <w:rFonts w:hint="eastAsia" w:ascii="仿宋_GB2312" w:hAnsi="仿宋_GB2312" w:eastAsia="仿宋_GB2312" w:cs="仿宋_GB2312"/>
          <w:sz w:val="30"/>
          <w:szCs w:val="30"/>
        </w:rPr>
        <w:t>门卫保安、物业纠纷、安保管理类工单逆势上涨，主要</w:t>
      </w:r>
      <w:r>
        <w:rPr>
          <w:rFonts w:hint="eastAsia" w:ascii="仿宋_GB2312" w:hAnsi="仿宋_GB2312" w:eastAsia="仿宋_GB2312" w:cs="仿宋_GB2312"/>
          <w:sz w:val="30"/>
          <w:szCs w:val="30"/>
          <w:lang w:eastAsia="zh-CN"/>
        </w:rPr>
        <w:t>原因是</w:t>
      </w:r>
      <w:r>
        <w:rPr>
          <w:rFonts w:hint="eastAsia" w:ascii="仿宋_GB2312" w:hAnsi="仿宋_GB2312" w:eastAsia="仿宋_GB2312" w:cs="仿宋_GB2312"/>
          <w:sz w:val="30"/>
          <w:szCs w:val="30"/>
        </w:rPr>
        <w:t>部分物业企业</w:t>
      </w:r>
      <w:r>
        <w:rPr>
          <w:rFonts w:hint="eastAsia" w:ascii="仿宋_GB2312" w:hAnsi="仿宋_GB2312" w:eastAsia="仿宋_GB2312" w:cs="仿宋_GB2312"/>
          <w:sz w:val="30"/>
          <w:szCs w:val="30"/>
          <w:lang w:val="en-US" w:eastAsia="zh-CN"/>
        </w:rPr>
        <w:t>对“四保”</w:t>
      </w:r>
      <w:r>
        <w:rPr>
          <w:rFonts w:hint="eastAsia" w:ascii="仿宋_GB2312" w:hAnsi="仿宋_GB2312" w:eastAsia="仿宋_GB2312" w:cs="仿宋_GB2312"/>
          <w:sz w:val="30"/>
          <w:szCs w:val="30"/>
        </w:rPr>
        <w:t>外包服务</w:t>
      </w:r>
      <w:r>
        <w:rPr>
          <w:rFonts w:hint="eastAsia" w:ascii="仿宋_GB2312" w:hAnsi="仿宋_GB2312" w:eastAsia="仿宋_GB2312" w:cs="仿宋_GB2312"/>
          <w:sz w:val="30"/>
          <w:szCs w:val="30"/>
          <w:lang w:val="en-US" w:eastAsia="zh-CN"/>
        </w:rPr>
        <w:t>缺乏监管考核</w:t>
      </w:r>
      <w:r>
        <w:rPr>
          <w:rFonts w:hint="eastAsia" w:ascii="仿宋_GB2312" w:hAnsi="仿宋_GB2312" w:eastAsia="仿宋_GB2312" w:cs="仿宋_GB2312"/>
          <w:sz w:val="30"/>
          <w:szCs w:val="30"/>
        </w:rPr>
        <w:t>，</w:t>
      </w:r>
      <w:r>
        <w:rPr>
          <w:rFonts w:hint="eastAsia" w:ascii="仿宋_GB2312" w:hAnsi="仿宋_GB2312" w:eastAsia="仿宋_GB2312" w:cs="仿宋_GB2312"/>
          <w:sz w:val="30"/>
          <w:szCs w:val="30"/>
          <w:lang w:eastAsia="zh-CN"/>
        </w:rPr>
        <w:t>同时</w:t>
      </w:r>
      <w:r>
        <w:rPr>
          <w:rFonts w:hint="eastAsia" w:ascii="仿宋_GB2312" w:hAnsi="仿宋_GB2312" w:eastAsia="仿宋_GB2312" w:cs="仿宋_GB2312"/>
          <w:sz w:val="30"/>
          <w:szCs w:val="30"/>
          <w:lang w:val="en-US" w:eastAsia="zh-CN"/>
        </w:rPr>
        <w:t>居民</w:t>
      </w:r>
      <w:r>
        <w:rPr>
          <w:rFonts w:hint="eastAsia" w:ascii="仿宋_GB2312" w:hAnsi="仿宋_GB2312" w:eastAsia="仿宋_GB2312" w:cs="仿宋_GB2312"/>
          <w:sz w:val="30"/>
          <w:szCs w:val="30"/>
        </w:rPr>
        <w:t>对安全保障、服务态度的</w:t>
      </w:r>
      <w:r>
        <w:rPr>
          <w:rFonts w:hint="eastAsia" w:ascii="仿宋_GB2312" w:hAnsi="仿宋_GB2312" w:eastAsia="仿宋_GB2312" w:cs="仿宋_GB2312"/>
          <w:sz w:val="30"/>
          <w:szCs w:val="30"/>
          <w:lang w:val="en-US" w:eastAsia="zh-CN"/>
        </w:rPr>
        <w:t>需求</w:t>
      </w:r>
      <w:r>
        <w:rPr>
          <w:rFonts w:hint="eastAsia" w:ascii="仿宋_GB2312" w:hAnsi="仿宋_GB2312" w:eastAsia="仿宋_GB2312" w:cs="仿宋_GB2312"/>
          <w:sz w:val="30"/>
          <w:szCs w:val="30"/>
        </w:rPr>
        <w:t>持续提升</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b/>
          <w:bCs/>
          <w:sz w:val="30"/>
          <w:szCs w:val="30"/>
          <w:lang w:val="en-US" w:eastAsia="zh-CN"/>
        </w:rPr>
        <w:t>改进措施</w:t>
      </w:r>
      <w:r>
        <w:rPr>
          <w:rFonts w:hint="eastAsia" w:ascii="仿宋_GB2312" w:hAnsi="仿宋_GB2312" w:eastAsia="仿宋_GB2312" w:cs="仿宋_GB2312"/>
          <w:sz w:val="30"/>
          <w:szCs w:val="30"/>
          <w:lang w:val="en-US" w:eastAsia="zh-CN"/>
        </w:rPr>
        <w:t>：</w:t>
      </w:r>
      <w:r>
        <w:rPr>
          <w:rFonts w:hint="eastAsia" w:ascii="仿宋_GB2312" w:hAnsi="仿宋_GB2312" w:eastAsia="仿宋_GB2312" w:cs="仿宋_GB2312"/>
          <w:sz w:val="30"/>
          <w:szCs w:val="30"/>
        </w:rPr>
        <w:t>规范服务标准</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明确门卫值守、安保巡逻、纠纷处置等服务流程与考核标准；组织开展物业从业人员专项培训，重点提升</w:t>
      </w:r>
      <w:r>
        <w:rPr>
          <w:rFonts w:hint="eastAsia" w:ascii="仿宋_GB2312" w:hAnsi="仿宋_GB2312" w:eastAsia="仿宋_GB2312" w:cs="仿宋_GB2312"/>
          <w:sz w:val="30"/>
          <w:szCs w:val="30"/>
          <w:lang w:eastAsia="zh-CN"/>
        </w:rPr>
        <w:t>物业从业人员的</w:t>
      </w:r>
      <w:r>
        <w:rPr>
          <w:rFonts w:hint="eastAsia" w:ascii="仿宋_GB2312" w:hAnsi="仿宋_GB2312" w:eastAsia="仿宋_GB2312" w:cs="仿宋_GB2312"/>
          <w:sz w:val="30"/>
          <w:szCs w:val="30"/>
        </w:rPr>
        <w:t>沟通协调、应急处置能力，从源头减少服务类纠纷。</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b/>
          <w:sz w:val="30"/>
          <w:szCs w:val="30"/>
        </w:rPr>
      </w:pPr>
      <w:r>
        <w:rPr>
          <w:rFonts w:ascii="仿宋_GB2312" w:hAnsi="仿宋_GB2312" w:eastAsia="仿宋_GB2312" w:cs="仿宋_GB2312"/>
          <w:b/>
          <w:bCs/>
          <w:sz w:val="30"/>
          <w:szCs w:val="30"/>
        </w:rPr>
        <w:t>（3）信息公开仍然</w:t>
      </w:r>
      <w:r>
        <w:rPr>
          <w:rFonts w:hint="eastAsia" w:ascii="仿宋_GB2312" w:hAnsi="仿宋_GB2312" w:eastAsia="仿宋_GB2312" w:cs="仿宋_GB2312"/>
          <w:b/>
          <w:bCs/>
          <w:sz w:val="30"/>
          <w:szCs w:val="30"/>
        </w:rPr>
        <w:t>不</w:t>
      </w:r>
      <w:r>
        <w:rPr>
          <w:rFonts w:hint="eastAsia" w:ascii="仿宋_GB2312" w:hAnsi="仿宋_GB2312" w:eastAsia="仿宋_GB2312" w:cs="仿宋_GB2312"/>
          <w:b/>
          <w:bCs/>
          <w:sz w:val="30"/>
          <w:szCs w:val="30"/>
          <w:lang w:val="en-US" w:eastAsia="zh-CN"/>
        </w:rPr>
        <w:t>够透明</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物业管理费工单增长与部分小区</w:t>
      </w:r>
      <w:r>
        <w:rPr>
          <w:rFonts w:hint="eastAsia" w:ascii="仿宋_GB2312" w:hAnsi="仿宋_GB2312" w:eastAsia="仿宋_GB2312" w:cs="仿宋_GB2312"/>
          <w:sz w:val="30"/>
          <w:szCs w:val="30"/>
          <w:lang w:val="en-US" w:eastAsia="zh-CN"/>
        </w:rPr>
        <w:t>物业费调价</w:t>
      </w:r>
      <w:r>
        <w:rPr>
          <w:rFonts w:hint="eastAsia" w:ascii="仿宋_GB2312" w:hAnsi="仿宋_GB2312" w:eastAsia="仿宋_GB2312" w:cs="仿宋_GB2312"/>
          <w:sz w:val="30"/>
          <w:szCs w:val="30"/>
        </w:rPr>
        <w:t>、收支明细公示不透明</w:t>
      </w:r>
      <w:r>
        <w:rPr>
          <w:rFonts w:hint="eastAsia" w:ascii="仿宋_GB2312" w:hAnsi="仿宋_GB2312" w:eastAsia="仿宋_GB2312" w:cs="仿宋_GB2312"/>
          <w:sz w:val="30"/>
          <w:szCs w:val="30"/>
          <w:lang w:eastAsia="zh-CN"/>
        </w:rPr>
        <w:t>息息相关。</w:t>
      </w:r>
      <w:r>
        <w:rPr>
          <w:rFonts w:hint="eastAsia" w:ascii="仿宋_GB2312" w:hAnsi="仿宋_GB2312" w:eastAsia="仿宋_GB2312" w:cs="仿宋_GB2312"/>
          <w:sz w:val="30"/>
          <w:szCs w:val="30"/>
        </w:rPr>
        <w:t>维修资金使用管理工单中，多涉及使用流程不规范、业主知情权未充分保障等问题。</w:t>
      </w:r>
      <w:r>
        <w:rPr>
          <w:rFonts w:hint="eastAsia" w:ascii="仿宋_GB2312" w:hAnsi="仿宋_GB2312" w:eastAsia="仿宋_GB2312" w:cs="仿宋_GB2312"/>
          <w:b/>
          <w:bCs/>
          <w:sz w:val="30"/>
          <w:szCs w:val="30"/>
          <w:lang w:val="en-US" w:eastAsia="zh-CN"/>
        </w:rPr>
        <w:t>改进措施</w:t>
      </w:r>
      <w:r>
        <w:rPr>
          <w:rFonts w:hint="eastAsia" w:ascii="仿宋_GB2312" w:hAnsi="仿宋_GB2312" w:eastAsia="仿宋_GB2312" w:cs="仿宋_GB2312"/>
          <w:sz w:val="30"/>
          <w:szCs w:val="30"/>
          <w:lang w:val="en-US" w:eastAsia="zh-CN"/>
        </w:rPr>
        <w:t>：认真抓好物业服务企业“六公开”的落实，</w:t>
      </w:r>
      <w:r>
        <w:rPr>
          <w:rFonts w:hint="eastAsia" w:ascii="仿宋_GB2312" w:hAnsi="仿宋_GB2312" w:eastAsia="仿宋_GB2312" w:cs="仿宋_GB2312"/>
          <w:sz w:val="30"/>
          <w:szCs w:val="30"/>
          <w:lang w:eastAsia="zh-CN"/>
        </w:rPr>
        <w:t>对每季度</w:t>
      </w:r>
      <w:r>
        <w:rPr>
          <w:rFonts w:hint="eastAsia" w:ascii="仿宋_GB2312" w:hAnsi="仿宋_GB2312" w:eastAsia="仿宋_GB2312" w:cs="仿宋_GB2312"/>
          <w:sz w:val="30"/>
          <w:szCs w:val="30"/>
          <w:lang w:val="en-US" w:eastAsia="zh-CN"/>
        </w:rPr>
        <w:t>公共收益未按要求进行入账和公示的进行信用记分处理。物业费调价的小区要做好物业费评估，并充分做好宣传引导、沟通协商等基础工作。</w:t>
      </w:r>
    </w:p>
    <w:p>
      <w:pPr>
        <w:keepNext w:val="0"/>
        <w:keepLines w:val="0"/>
        <w:pageBreakBefore w:val="0"/>
        <w:widowControl w:val="0"/>
        <w:kinsoku/>
        <w:wordWrap/>
        <w:overflowPunct/>
        <w:topLinePunct w:val="0"/>
        <w:autoSpaceDE/>
        <w:autoSpaceDN/>
        <w:bidi w:val="0"/>
        <w:adjustRightInd/>
        <w:snapToGrid/>
        <w:spacing w:before="320" w:after="120" w:line="288" w:lineRule="auto"/>
        <w:ind w:left="0"/>
        <w:jc w:val="both"/>
        <w:outlineLvl w:val="1"/>
        <w:rPr>
          <w:rFonts w:hint="eastAsia" w:ascii="楷体_GB2312" w:hAnsi="楷体_GB2312" w:eastAsia="楷体_GB2312" w:cs="楷体_GB2312"/>
          <w:sz w:val="30"/>
          <w:szCs w:val="30"/>
        </w:rPr>
      </w:pPr>
      <w:bookmarkStart w:id="3" w:name="heading_10"/>
      <w:r>
        <w:rPr>
          <w:rFonts w:hint="eastAsia" w:ascii="楷体_GB2312" w:hAnsi="楷体_GB2312" w:eastAsia="楷体_GB2312" w:cs="楷体_GB2312"/>
          <w:b/>
          <w:sz w:val="30"/>
          <w:szCs w:val="30"/>
          <w:lang w:eastAsia="zh-CN"/>
        </w:rPr>
        <w:t>（</w:t>
      </w:r>
      <w:r>
        <w:rPr>
          <w:rFonts w:hint="eastAsia" w:ascii="楷体_GB2312" w:hAnsi="楷体_GB2312" w:eastAsia="楷体_GB2312" w:cs="楷体_GB2312"/>
          <w:b/>
          <w:sz w:val="30"/>
          <w:szCs w:val="30"/>
          <w:lang w:val="en-US" w:eastAsia="zh-CN"/>
        </w:rPr>
        <w:t>二）</w:t>
      </w:r>
      <w:r>
        <w:rPr>
          <w:rFonts w:hint="eastAsia" w:ascii="楷体_GB2312" w:hAnsi="楷体_GB2312" w:eastAsia="楷体_GB2312" w:cs="楷体_GB2312"/>
          <w:b/>
          <w:sz w:val="30"/>
          <w:szCs w:val="30"/>
        </w:rPr>
        <w:t>停车管理类工单分析</w:t>
      </w:r>
      <w:bookmarkEnd w:id="3"/>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仿宋_GB2312" w:hAnsi="仿宋_GB2312" w:eastAsia="仿宋_GB2312" w:cs="仿宋_GB2312"/>
          <w:sz w:val="30"/>
          <w:szCs w:val="30"/>
        </w:rPr>
      </w:pPr>
      <w:bookmarkStart w:id="4" w:name="heading_11"/>
      <w:r>
        <w:rPr>
          <w:rFonts w:hint="eastAsia" w:ascii="仿宋_GB2312" w:hAnsi="仿宋_GB2312" w:eastAsia="仿宋_GB2312" w:cs="仿宋_GB2312"/>
          <w:b/>
          <w:sz w:val="30"/>
          <w:szCs w:val="30"/>
          <w:lang w:val="en-US" w:eastAsia="zh-CN"/>
        </w:rPr>
        <w:t>1.</w:t>
      </w:r>
      <w:r>
        <w:rPr>
          <w:rFonts w:hint="eastAsia" w:ascii="仿宋_GB2312" w:hAnsi="仿宋_GB2312" w:eastAsia="仿宋_GB2312" w:cs="仿宋_GB2312"/>
          <w:b/>
          <w:sz w:val="30"/>
          <w:szCs w:val="30"/>
        </w:rPr>
        <w:t xml:space="preserve"> 工单特征分析</w:t>
      </w:r>
      <w:bookmarkEnd w:id="4"/>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2025年</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停车管理类工单</w:t>
      </w:r>
      <w:r>
        <w:rPr>
          <w:rFonts w:ascii="仿宋_GB2312" w:hAnsi="仿宋_GB2312" w:eastAsia="仿宋_GB2312" w:cs="仿宋_GB2312"/>
          <w:sz w:val="30"/>
          <w:szCs w:val="30"/>
        </w:rPr>
        <w:t>总</w:t>
      </w:r>
      <w:r>
        <w:rPr>
          <w:rFonts w:hint="eastAsia" w:ascii="仿宋_GB2312" w:hAnsi="仿宋_GB2312" w:eastAsia="仿宋_GB2312" w:cs="仿宋_GB2312"/>
          <w:sz w:val="30"/>
          <w:szCs w:val="30"/>
        </w:rPr>
        <w:t>计3458件，占全年工单总量的27.47%</w:t>
      </w:r>
      <w:r>
        <w:rPr>
          <w:rFonts w:ascii="仿宋_GB2312" w:hAnsi="仿宋_GB2312" w:eastAsia="仿宋_GB2312" w:cs="仿宋_GB2312"/>
          <w:sz w:val="30"/>
          <w:szCs w:val="30"/>
        </w:rPr>
        <w:t>，较2024年</w:t>
      </w:r>
      <w:r>
        <w:rPr>
          <w:rFonts w:hint="eastAsia" w:ascii="仿宋_GB2312" w:hAnsi="仿宋_GB2312" w:eastAsia="仿宋_GB2312" w:cs="仿宋_GB2312"/>
          <w:sz w:val="30"/>
          <w:szCs w:val="30"/>
        </w:rPr>
        <w:t>同比下降14.11%。</w:t>
      </w:r>
      <w:r>
        <w:rPr>
          <w:rFonts w:ascii="仿宋_GB2312" w:hAnsi="仿宋_GB2312" w:eastAsia="仿宋_GB2312" w:cs="仿宋_GB2312"/>
          <w:sz w:val="30"/>
          <w:szCs w:val="30"/>
        </w:rPr>
        <w:t>其中</w:t>
      </w:r>
      <w:r>
        <w:rPr>
          <w:rFonts w:hint="eastAsia" w:ascii="仿宋_GB2312" w:hAnsi="仿宋_GB2312" w:eastAsia="仿宋_GB2312" w:cs="仿宋_GB2312"/>
          <w:sz w:val="30"/>
          <w:szCs w:val="30"/>
        </w:rPr>
        <w:t>，停车秩序</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1247件，同比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10.99%</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停车收费</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1060件，同比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6.69%</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侵占车位</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404件，同比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17.04%</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停车</w:t>
      </w:r>
      <w:r>
        <w:rPr>
          <w:rFonts w:ascii="仿宋_GB2312" w:hAnsi="仿宋_GB2312" w:eastAsia="仿宋_GB2312" w:cs="仿宋_GB2312"/>
          <w:sz w:val="30"/>
          <w:szCs w:val="30"/>
        </w:rPr>
        <w:t>困</w:t>
      </w:r>
      <w:r>
        <w:rPr>
          <w:rFonts w:hint="eastAsia" w:ascii="仿宋_GB2312" w:hAnsi="仿宋_GB2312" w:eastAsia="仿宋_GB2312" w:cs="仿宋_GB2312"/>
          <w:sz w:val="30"/>
          <w:szCs w:val="30"/>
        </w:rPr>
        <w:t>难</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381件，同比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31.84%</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电动车</w:t>
      </w:r>
      <w:r>
        <w:rPr>
          <w:rFonts w:ascii="仿宋_GB2312" w:hAnsi="仿宋_GB2312" w:eastAsia="仿宋_GB2312" w:cs="仿宋_GB2312"/>
          <w:sz w:val="30"/>
          <w:szCs w:val="30"/>
        </w:rPr>
        <w:t>停放类</w:t>
      </w:r>
      <w:r>
        <w:rPr>
          <w:rFonts w:hint="eastAsia" w:ascii="仿宋_GB2312" w:hAnsi="仿宋_GB2312" w:eastAsia="仿宋_GB2312" w:cs="仿宋_GB2312"/>
          <w:sz w:val="30"/>
          <w:szCs w:val="30"/>
        </w:rPr>
        <w:t>115件，同比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51.06%</w:t>
      </w:r>
      <w:r>
        <w:rPr>
          <w:rFonts w:ascii="仿宋_GB2312" w:hAnsi="仿宋_GB2312" w:eastAsia="仿宋_GB2312" w:cs="仿宋_GB2312"/>
          <w:sz w:val="30"/>
          <w:szCs w:val="30"/>
        </w:rPr>
        <w:t>，详细情况见下表</w:t>
      </w:r>
      <w:r>
        <w:rPr>
          <w:rFonts w:hint="eastAsia" w:ascii="仿宋_GB2312" w:hAnsi="仿宋_GB2312" w:eastAsia="仿宋_GB2312" w:cs="仿宋_GB2312"/>
          <w:sz w:val="30"/>
          <w:szCs w:val="30"/>
        </w:rPr>
        <w:t>。</w:t>
      </w:r>
    </w:p>
    <w:p>
      <w:pPr>
        <w:keepNext w:val="0"/>
        <w:keepLines w:val="0"/>
        <w:pageBreakBefore w:val="0"/>
        <w:widowControl w:val="0"/>
        <w:kinsoku/>
        <w:wordWrap/>
        <w:overflowPunct/>
        <w:topLinePunct w:val="0"/>
        <w:autoSpaceDE/>
        <w:autoSpaceDN/>
        <w:bidi w:val="0"/>
        <w:adjustRightInd/>
        <w:snapToGrid/>
        <w:spacing w:before="120" w:after="120" w:line="288" w:lineRule="auto"/>
        <w:ind w:left="0" w:firstLine="0" w:firstLineChars="0"/>
        <w:jc w:val="both"/>
        <w:rPr>
          <w:rFonts w:hint="eastAsia" w:ascii="仿宋_GB2312" w:hAnsi="仿宋_GB2312" w:eastAsia="仿宋_GB2312" w:cs="仿宋_GB2312"/>
          <w:b/>
          <w:bCs/>
          <w:color w:val="1C4A83"/>
          <w:kern w:val="0"/>
          <w:sz w:val="30"/>
          <w:szCs w:val="30"/>
        </w:rPr>
      </w:pPr>
      <w:r>
        <w:rPr>
          <w:rFonts w:hint="eastAsia" w:ascii="仿宋_GB2312" w:hAnsi="仿宋_GB2312" w:eastAsia="仿宋_GB2312" w:cs="仿宋_GB2312"/>
          <w:b/>
          <w:bCs/>
          <w:color w:val="1C4A83"/>
          <w:kern w:val="0"/>
          <w:sz w:val="30"/>
          <w:szCs w:val="30"/>
        </w:rPr>
        <w:drawing>
          <wp:inline distT="0" distB="0" distL="114300" distR="114300">
            <wp:extent cx="5271770" cy="3261995"/>
            <wp:effectExtent l="0" t="0" r="5080" b="14605"/>
            <wp:docPr id="16" name="图片 4" descr="352fa844-194e-4f72-987c-fef8983f8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352fa844-194e-4f72-987c-fef8983f82e8"/>
                    <pic:cNvPicPr>
                      <a:picLocks noChangeAspect="1"/>
                    </pic:cNvPicPr>
                  </pic:nvPicPr>
                  <pic:blipFill>
                    <a:blip r:embed="rId11"/>
                    <a:stretch>
                      <a:fillRect/>
                    </a:stretch>
                  </pic:blipFill>
                  <pic:spPr>
                    <a:xfrm>
                      <a:off x="0" y="0"/>
                      <a:ext cx="5271770" cy="3261995"/>
                    </a:xfrm>
                    <a:prstGeom prst="rect">
                      <a:avLst/>
                    </a:prstGeom>
                    <a:noFill/>
                    <a:ln w="9525" cap="flat" cmpd="sng">
                      <a:noFill/>
                      <a:prstDash val="solid"/>
                      <a:miter/>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b/>
          <w:bCs/>
          <w:sz w:val="30"/>
          <w:szCs w:val="30"/>
          <w:lang w:val="en-US" w:eastAsia="zh-CN"/>
        </w:rPr>
        <w:t>5</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停车管理类工单诉求分布）</w:t>
      </w:r>
    </w:p>
    <w:p>
      <w:pPr>
        <w:pStyle w:val="8"/>
        <w:keepNext w:val="0"/>
        <w:keepLines w:val="0"/>
        <w:pageBreakBefore w:val="0"/>
        <w:widowControl w:val="0"/>
        <w:kinsoku/>
        <w:wordWrap/>
        <w:overflowPunct/>
        <w:topLinePunct w:val="0"/>
        <w:autoSpaceDE/>
        <w:autoSpaceDN/>
        <w:bidi w:val="0"/>
        <w:adjustRightInd/>
        <w:snapToGrid/>
        <w:ind w:left="0" w:leftChars="0" w:firstLine="0" w:firstLineChars="0"/>
        <w:jc w:val="center"/>
        <w:rPr>
          <w:rFonts w:hint="eastAsia" w:ascii="仿宋_GB2312" w:hAnsi="仿宋_GB2312" w:eastAsia="仿宋_GB2312" w:cs="仿宋_GB2312"/>
          <w:sz w:val="30"/>
          <w:szCs w:val="30"/>
        </w:rPr>
      </w:pPr>
      <w:r>
        <w:drawing>
          <wp:inline distT="0" distB="0" distL="114300" distR="114300">
            <wp:extent cx="5755640" cy="2830195"/>
            <wp:effectExtent l="0" t="0" r="10160" b="1460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2"/>
                    <a:stretch>
                      <a:fillRect/>
                    </a:stretch>
                  </pic:blipFill>
                  <pic:spPr>
                    <a:xfrm>
                      <a:off x="0" y="0"/>
                      <a:ext cx="5755640" cy="28301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b/>
          <w:bCs/>
          <w:sz w:val="30"/>
          <w:szCs w:val="30"/>
          <w:lang w:val="en-US" w:eastAsia="zh-CN"/>
        </w:rPr>
        <w:t>6</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停车管理类工单诉求</w:t>
      </w:r>
      <w:r>
        <w:rPr>
          <w:rFonts w:hint="eastAsia" w:ascii="仿宋_GB2312" w:hAnsi="仿宋_GB2312" w:eastAsia="仿宋_GB2312" w:cs="仿宋_GB2312"/>
          <w:sz w:val="30"/>
          <w:szCs w:val="30"/>
          <w:lang w:val="en-US" w:eastAsia="zh-CN"/>
        </w:rPr>
        <w:t>月度情况</w:t>
      </w:r>
      <w:r>
        <w:rPr>
          <w:rFonts w:hint="eastAsia" w:ascii="仿宋_GB2312" w:hAnsi="仿宋_GB2312" w:eastAsia="仿宋_GB2312" w:cs="仿宋_GB2312"/>
          <w:sz w:val="30"/>
          <w:szCs w:val="30"/>
        </w:rPr>
        <w:t>）</w:t>
      </w:r>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ascii="仿宋_GB2312" w:hAnsi="仿宋_GB2312" w:eastAsia="仿宋_GB2312" w:cs="仿宋_GB2312"/>
          <w:sz w:val="30"/>
          <w:szCs w:val="30"/>
          <w:lang w:val="en-US" w:eastAsia="zh-CN"/>
        </w:rPr>
      </w:pPr>
      <w:bookmarkStart w:id="5" w:name="heading_12"/>
      <w:r>
        <w:rPr>
          <w:rFonts w:hint="eastAsia" w:ascii="仿宋_GB2312" w:hAnsi="仿宋_GB2312" w:eastAsia="仿宋_GB2312" w:cs="仿宋_GB2312"/>
          <w:b/>
          <w:sz w:val="30"/>
          <w:szCs w:val="30"/>
        </w:rPr>
        <w:t>2.</w:t>
      </w:r>
      <w:bookmarkEnd w:id="5"/>
      <w:r>
        <w:rPr>
          <w:rFonts w:hint="eastAsia" w:ascii="仿宋_GB2312" w:hAnsi="仿宋_GB2312" w:eastAsia="仿宋_GB2312" w:cs="仿宋_GB2312"/>
          <w:b/>
          <w:sz w:val="30"/>
          <w:szCs w:val="30"/>
          <w:lang w:val="en-US" w:eastAsia="zh-CN"/>
        </w:rPr>
        <w:t xml:space="preserve"> </w:t>
      </w:r>
      <w:r>
        <w:rPr>
          <w:rFonts w:ascii="仿宋_GB2312" w:hAnsi="仿宋_GB2312" w:eastAsia="仿宋_GB2312" w:cs="仿宋_GB2312"/>
          <w:b/>
          <w:sz w:val="30"/>
          <w:szCs w:val="30"/>
          <w:lang w:val="en-US" w:eastAsia="zh-CN"/>
        </w:rPr>
        <w:t>存在问题</w:t>
      </w:r>
      <w:r>
        <w:rPr>
          <w:rFonts w:hint="eastAsia" w:ascii="仿宋_GB2312" w:hAnsi="仿宋_GB2312" w:eastAsia="仿宋_GB2312" w:cs="仿宋_GB2312"/>
          <w:b/>
          <w:sz w:val="30"/>
          <w:szCs w:val="30"/>
          <w:lang w:val="en-US" w:eastAsia="zh-CN"/>
        </w:rPr>
        <w:t>原因</w:t>
      </w:r>
      <w:r>
        <w:rPr>
          <w:rFonts w:ascii="仿宋_GB2312" w:hAnsi="仿宋_GB2312" w:eastAsia="仿宋_GB2312" w:cs="仿宋_GB2312"/>
          <w:b/>
          <w:sz w:val="30"/>
          <w:szCs w:val="30"/>
          <w:lang w:val="en-US" w:eastAsia="zh-CN"/>
        </w:rPr>
        <w:t>及改进措施</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lang w:val="en-US" w:eastAsia="zh-CN"/>
        </w:rPr>
      </w:pPr>
      <w:r>
        <w:rPr>
          <w:rFonts w:ascii="仿宋_GB2312" w:hAnsi="仿宋_GB2312" w:eastAsia="仿宋_GB2312" w:cs="仿宋_GB2312"/>
          <w:b/>
          <w:bCs/>
          <w:sz w:val="30"/>
          <w:szCs w:val="30"/>
        </w:rPr>
        <w:t>（1）</w:t>
      </w:r>
      <w:r>
        <w:rPr>
          <w:rFonts w:hint="eastAsia" w:ascii="仿宋_GB2312" w:hAnsi="仿宋_GB2312" w:eastAsia="仿宋_GB2312" w:cs="仿宋_GB2312"/>
          <w:b/>
          <w:bCs/>
          <w:sz w:val="30"/>
          <w:szCs w:val="30"/>
        </w:rPr>
        <w:t>供需矛盾</w:t>
      </w:r>
      <w:r>
        <w:rPr>
          <w:rFonts w:hint="eastAsia" w:ascii="仿宋_GB2312" w:hAnsi="仿宋_GB2312" w:eastAsia="仿宋_GB2312" w:cs="仿宋_GB2312"/>
          <w:b/>
          <w:bCs/>
          <w:sz w:val="30"/>
          <w:szCs w:val="30"/>
          <w:lang w:val="en-US" w:eastAsia="zh-CN"/>
        </w:rPr>
        <w:t>突出</w:t>
      </w:r>
      <w:r>
        <w:rPr>
          <w:rFonts w:ascii="仿宋_GB2312" w:hAnsi="仿宋_GB2312" w:eastAsia="仿宋_GB2312" w:cs="仿宋_GB2312"/>
          <w:b/>
          <w:bCs/>
          <w:sz w:val="30"/>
          <w:szCs w:val="30"/>
          <w:lang w:val="en-US" w:eastAsia="zh-CN"/>
        </w:rPr>
        <w:t>的问题长期存在</w:t>
      </w:r>
      <w:r>
        <w:rPr>
          <w:rFonts w:hint="eastAsia" w:ascii="仿宋_GB2312" w:hAnsi="仿宋_GB2312" w:eastAsia="仿宋_GB2312" w:cs="仿宋_GB2312"/>
          <w:b/>
          <w:bCs/>
          <w:sz w:val="30"/>
          <w:szCs w:val="30"/>
        </w:rPr>
        <w:t>。</w:t>
      </w:r>
      <w:r>
        <w:rPr>
          <w:rFonts w:ascii="仿宋_GB2312" w:hAnsi="仿宋_GB2312" w:eastAsia="仿宋_GB2312" w:cs="仿宋_GB2312"/>
          <w:sz w:val="30"/>
          <w:szCs w:val="30"/>
        </w:rPr>
        <w:t>老旧</w:t>
      </w:r>
      <w:r>
        <w:rPr>
          <w:rFonts w:hint="eastAsia" w:ascii="仿宋_GB2312" w:hAnsi="仿宋_GB2312" w:eastAsia="仿宋_GB2312" w:cs="仿宋_GB2312"/>
          <w:sz w:val="30"/>
          <w:szCs w:val="30"/>
        </w:rPr>
        <w:t>小区车位配比偏低，停车困难</w:t>
      </w:r>
      <w:r>
        <w:rPr>
          <w:rFonts w:ascii="仿宋_GB2312" w:hAnsi="仿宋_GB2312" w:eastAsia="仿宋_GB2312" w:cs="仿宋_GB2312"/>
          <w:sz w:val="30"/>
          <w:szCs w:val="30"/>
        </w:rPr>
        <w:t>的矛盾</w:t>
      </w:r>
      <w:r>
        <w:rPr>
          <w:rFonts w:hint="eastAsia" w:ascii="仿宋_GB2312" w:hAnsi="仿宋_GB2312" w:eastAsia="仿宋_GB2312" w:cs="仿宋_GB2312"/>
          <w:sz w:val="30"/>
          <w:szCs w:val="30"/>
        </w:rPr>
        <w:t>长期存在</w:t>
      </w:r>
      <w:r>
        <w:rPr>
          <w:rFonts w:ascii="仿宋_GB2312" w:hAnsi="仿宋_GB2312" w:eastAsia="仿宋_GB2312" w:cs="仿宋_GB2312"/>
          <w:sz w:val="30"/>
          <w:szCs w:val="30"/>
        </w:rPr>
        <w:t>，小区</w:t>
      </w:r>
      <w:r>
        <w:rPr>
          <w:rFonts w:hint="eastAsia" w:ascii="仿宋_GB2312" w:hAnsi="仿宋_GB2312" w:eastAsia="仿宋_GB2312" w:cs="仿宋_GB2312"/>
          <w:sz w:val="30"/>
          <w:szCs w:val="30"/>
        </w:rPr>
        <w:t>周边商场、写字楼</w:t>
      </w:r>
      <w:r>
        <w:rPr>
          <w:rFonts w:ascii="仿宋_GB2312" w:hAnsi="仿宋_GB2312" w:eastAsia="仿宋_GB2312" w:cs="仿宋_GB2312"/>
          <w:sz w:val="30"/>
          <w:szCs w:val="30"/>
        </w:rPr>
        <w:t>、马路边车位</w:t>
      </w:r>
      <w:r>
        <w:rPr>
          <w:rFonts w:hint="eastAsia" w:ascii="仿宋_GB2312" w:hAnsi="仿宋_GB2312" w:eastAsia="仿宋_GB2312" w:cs="仿宋_GB2312"/>
          <w:sz w:val="30"/>
          <w:szCs w:val="30"/>
        </w:rPr>
        <w:t>错峰共享机制</w:t>
      </w:r>
      <w:r>
        <w:rPr>
          <w:rFonts w:ascii="仿宋_GB2312" w:hAnsi="仿宋_GB2312" w:eastAsia="仿宋_GB2312" w:cs="仿宋_GB2312"/>
          <w:sz w:val="30"/>
          <w:szCs w:val="30"/>
        </w:rPr>
        <w:t>难以协调落实</w:t>
      </w:r>
      <w:r>
        <w:rPr>
          <w:rFonts w:hint="eastAsia" w:ascii="仿宋_GB2312" w:hAnsi="仿宋_GB2312" w:eastAsia="仿宋_GB2312" w:cs="仿宋_GB2312"/>
          <w:sz w:val="30"/>
          <w:szCs w:val="30"/>
        </w:rPr>
        <w:t>，小区停车需求</w:t>
      </w:r>
      <w:r>
        <w:rPr>
          <w:rFonts w:ascii="仿宋_GB2312" w:hAnsi="仿宋_GB2312" w:eastAsia="仿宋_GB2312" w:cs="仿宋_GB2312"/>
          <w:sz w:val="30"/>
          <w:szCs w:val="30"/>
        </w:rPr>
        <w:t>无法</w:t>
      </w:r>
      <w:r>
        <w:rPr>
          <w:rFonts w:hint="eastAsia" w:ascii="仿宋_GB2312" w:hAnsi="仿宋_GB2312" w:eastAsia="仿宋_GB2312" w:cs="仿宋_GB2312"/>
          <w:sz w:val="30"/>
          <w:szCs w:val="30"/>
        </w:rPr>
        <w:t>有效分流。</w:t>
      </w:r>
      <w:r>
        <w:rPr>
          <w:rFonts w:hint="eastAsia" w:ascii="仿宋_GB2312" w:hAnsi="仿宋_GB2312" w:eastAsia="仿宋_GB2312" w:cs="仿宋_GB2312"/>
          <w:b/>
          <w:bCs/>
          <w:sz w:val="30"/>
          <w:szCs w:val="30"/>
          <w:lang w:val="en-US" w:eastAsia="zh-CN"/>
        </w:rPr>
        <w:t>改进措施：</w:t>
      </w:r>
      <w:r>
        <w:rPr>
          <w:rFonts w:hint="eastAsia" w:ascii="仿宋_GB2312" w:hAnsi="仿宋_GB2312" w:eastAsia="仿宋_GB2312" w:cs="仿宋_GB2312"/>
          <w:sz w:val="30"/>
          <w:szCs w:val="30"/>
          <w:lang w:eastAsia="zh-CN"/>
        </w:rPr>
        <w:t>结合小区“三旧”变“三新”等民生工程，</w:t>
      </w:r>
      <w:r>
        <w:rPr>
          <w:rFonts w:hint="eastAsia" w:ascii="仿宋_GB2312" w:hAnsi="仿宋_GB2312" w:eastAsia="仿宋_GB2312" w:cs="仿宋_GB2312"/>
          <w:sz w:val="30"/>
          <w:szCs w:val="30"/>
        </w:rPr>
        <w:t>充分利用闲置空地增设</w:t>
      </w:r>
      <w:r>
        <w:rPr>
          <w:rFonts w:hint="eastAsia" w:ascii="仿宋_GB2312" w:hAnsi="仿宋_GB2312" w:eastAsia="仿宋_GB2312" w:cs="仿宋_GB2312"/>
          <w:sz w:val="30"/>
          <w:szCs w:val="30"/>
          <w:highlight w:val="none"/>
          <w:lang w:val="en-US" w:eastAsia="zh-CN"/>
        </w:rPr>
        <w:t>停车位</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协调周边商业综合体、写字楼</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企事业单位等</w:t>
      </w:r>
      <w:r>
        <w:rPr>
          <w:rFonts w:hint="eastAsia" w:ascii="仿宋_GB2312" w:hAnsi="仿宋_GB2312" w:eastAsia="仿宋_GB2312" w:cs="仿宋_GB2312"/>
          <w:sz w:val="30"/>
          <w:szCs w:val="30"/>
        </w:rPr>
        <w:t>开放错峰共享车位，签订长期合作协议，明确共享时段、收费标准及安全责任。</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ascii="仿宋_GB2312" w:hAnsi="仿宋_GB2312" w:eastAsia="仿宋_GB2312" w:cs="仿宋_GB2312"/>
          <w:sz w:val="30"/>
          <w:szCs w:val="30"/>
          <w:highlight w:val="none"/>
          <w:lang w:val="en-US" w:eastAsia="zh-CN"/>
        </w:rPr>
      </w:pPr>
      <w:r>
        <w:rPr>
          <w:rFonts w:ascii="仿宋_GB2312" w:hAnsi="仿宋_GB2312" w:eastAsia="仿宋_GB2312" w:cs="仿宋_GB2312"/>
          <w:b/>
          <w:bCs/>
          <w:sz w:val="30"/>
          <w:szCs w:val="30"/>
        </w:rPr>
        <w:t>（2）停车</w:t>
      </w:r>
      <w:r>
        <w:rPr>
          <w:rFonts w:hint="eastAsia" w:ascii="仿宋_GB2312" w:hAnsi="仿宋_GB2312" w:eastAsia="仿宋_GB2312" w:cs="仿宋_GB2312"/>
          <w:b/>
          <w:bCs/>
          <w:sz w:val="30"/>
          <w:szCs w:val="30"/>
        </w:rPr>
        <w:t>管理</w:t>
      </w:r>
      <w:r>
        <w:rPr>
          <w:rFonts w:ascii="仿宋_GB2312" w:hAnsi="仿宋_GB2312" w:eastAsia="仿宋_GB2312" w:cs="仿宋_GB2312"/>
          <w:b/>
          <w:bCs/>
          <w:sz w:val="30"/>
          <w:szCs w:val="30"/>
        </w:rPr>
        <w:t>规约难现绝对公平</w:t>
      </w:r>
      <w:r>
        <w:rPr>
          <w:rFonts w:hint="eastAsia" w:ascii="仿宋_GB2312" w:hAnsi="仿宋_GB2312" w:eastAsia="仿宋_GB2312" w:cs="仿宋_GB2312"/>
          <w:b/>
          <w:bCs/>
          <w:sz w:val="30"/>
          <w:szCs w:val="30"/>
        </w:rPr>
        <w:t>。</w:t>
      </w:r>
      <w:r>
        <w:rPr>
          <w:rFonts w:ascii="仿宋_GB2312" w:hAnsi="仿宋_GB2312" w:eastAsia="仿宋_GB2312" w:cs="仿宋_GB2312"/>
          <w:sz w:val="30"/>
          <w:szCs w:val="30"/>
        </w:rPr>
        <w:t>全区大</w:t>
      </w:r>
      <w:r>
        <w:rPr>
          <w:rFonts w:hint="eastAsia" w:ascii="仿宋_GB2312" w:hAnsi="仿宋_GB2312" w:eastAsia="仿宋_GB2312" w:cs="仿宋_GB2312"/>
          <w:sz w:val="30"/>
          <w:szCs w:val="30"/>
        </w:rPr>
        <w:t>部分</w:t>
      </w:r>
      <w:r>
        <w:rPr>
          <w:rFonts w:ascii="仿宋_GB2312" w:hAnsi="仿宋_GB2312" w:eastAsia="仿宋_GB2312" w:cs="仿宋_GB2312"/>
          <w:sz w:val="30"/>
          <w:szCs w:val="30"/>
        </w:rPr>
        <w:t>停车位不足的</w:t>
      </w:r>
      <w:r>
        <w:rPr>
          <w:rFonts w:hint="eastAsia" w:ascii="仿宋_GB2312" w:hAnsi="仿宋_GB2312" w:eastAsia="仿宋_GB2312" w:cs="仿宋_GB2312"/>
          <w:sz w:val="30"/>
          <w:szCs w:val="30"/>
        </w:rPr>
        <w:t>小区</w:t>
      </w:r>
      <w:r>
        <w:rPr>
          <w:rFonts w:ascii="仿宋_GB2312" w:hAnsi="仿宋_GB2312" w:eastAsia="仿宋_GB2312" w:cs="仿宋_GB2312"/>
          <w:sz w:val="30"/>
          <w:szCs w:val="30"/>
        </w:rPr>
        <w:t>采取的停车管理模式都是</w:t>
      </w:r>
      <w:r>
        <w:rPr>
          <w:rFonts w:hint="eastAsia" w:ascii="仿宋_GB2312" w:hAnsi="仿宋_GB2312" w:eastAsia="仿宋_GB2312" w:cs="仿宋_GB2312"/>
          <w:sz w:val="30"/>
          <w:szCs w:val="30"/>
        </w:rPr>
        <w:t>排队轮候</w:t>
      </w:r>
      <w:r>
        <w:rPr>
          <w:rFonts w:ascii="仿宋_GB2312" w:hAnsi="仿宋_GB2312" w:eastAsia="仿宋_GB2312" w:cs="仿宋_GB2312"/>
          <w:sz w:val="30"/>
          <w:szCs w:val="30"/>
        </w:rPr>
        <w:t>，但随着居民维权意识的增强，部分后续买房进入小区的业主认为：</w:t>
      </w:r>
      <w:r>
        <w:rPr>
          <w:rFonts w:hint="eastAsia" w:ascii="仿宋_GB2312" w:hAnsi="仿宋_GB2312" w:eastAsia="仿宋_GB2312" w:cs="仿宋_GB2312"/>
          <w:sz w:val="30"/>
          <w:szCs w:val="30"/>
        </w:rPr>
        <w:t>“</w:t>
      </w:r>
      <w:r>
        <w:rPr>
          <w:rFonts w:ascii="仿宋_GB2312" w:hAnsi="仿宋_GB2312" w:eastAsia="仿宋_GB2312" w:cs="仿宋_GB2312"/>
          <w:sz w:val="30"/>
          <w:szCs w:val="30"/>
        </w:rPr>
        <w:t>同样是业主，公共区域的停车资源应该同等享有，而不应该由老业主一直占据</w:t>
      </w:r>
      <w:r>
        <w:rPr>
          <w:rFonts w:hint="eastAsia" w:ascii="仿宋_GB2312" w:hAnsi="仿宋_GB2312" w:eastAsia="仿宋_GB2312" w:cs="仿宋_GB2312"/>
          <w:sz w:val="30"/>
          <w:szCs w:val="30"/>
        </w:rPr>
        <w:t>”</w:t>
      </w:r>
      <w:r>
        <w:rPr>
          <w:rFonts w:ascii="仿宋_GB2312" w:hAnsi="仿宋_GB2312" w:eastAsia="仿宋_GB2312" w:cs="仿宋_GB2312"/>
          <w:sz w:val="30"/>
          <w:szCs w:val="30"/>
        </w:rPr>
        <w:t>，导致投诉量上升。此外，部分新建楼盘的业主缺乏契约精神，对购房时签订的前期物业服务合同中车位管理费价格和政府审批的车位租赁费价格不认可，以集中投诉逼迫开发商降价，导致工单量增加，如长桥的悦汇长庭集中投诉达87件。</w:t>
      </w:r>
      <w:r>
        <w:rPr>
          <w:rFonts w:ascii="仿宋_GB2312" w:hAnsi="仿宋_GB2312" w:eastAsia="仿宋_GB2312" w:cs="仿宋_GB2312"/>
          <w:b/>
          <w:bCs/>
          <w:sz w:val="30"/>
          <w:szCs w:val="30"/>
          <w:highlight w:val="none"/>
          <w:lang w:val="en-US" w:eastAsia="zh-CN"/>
        </w:rPr>
        <w:t>改进措施</w:t>
      </w:r>
      <w:r>
        <w:rPr>
          <w:rFonts w:hint="eastAsia" w:ascii="仿宋_GB2312" w:hAnsi="仿宋_GB2312" w:eastAsia="仿宋_GB2312" w:cs="仿宋_GB2312"/>
          <w:b/>
          <w:bCs/>
          <w:sz w:val="30"/>
          <w:szCs w:val="30"/>
          <w:highlight w:val="none"/>
          <w:lang w:val="en-US" w:eastAsia="zh-CN"/>
        </w:rPr>
        <w:t>：</w:t>
      </w:r>
      <w:r>
        <w:rPr>
          <w:rFonts w:hint="eastAsia" w:ascii="仿宋_GB2312" w:hAnsi="仿宋_GB2312" w:eastAsia="仿宋_GB2312" w:cs="仿宋_GB2312"/>
          <w:sz w:val="30"/>
          <w:szCs w:val="30"/>
          <w:lang w:val="en-US" w:eastAsia="zh-CN"/>
        </w:rPr>
        <w:t>修订完善小区停车</w:t>
      </w:r>
      <w:r>
        <w:rPr>
          <w:rFonts w:ascii="仿宋_GB2312" w:hAnsi="仿宋_GB2312" w:eastAsia="仿宋_GB2312" w:cs="仿宋_GB2312"/>
          <w:sz w:val="30"/>
          <w:szCs w:val="30"/>
          <w:lang w:val="en-US" w:eastAsia="zh-CN"/>
        </w:rPr>
        <w:t>管理</w:t>
      </w:r>
      <w:r>
        <w:rPr>
          <w:rFonts w:hint="eastAsia" w:ascii="仿宋_GB2312" w:hAnsi="仿宋_GB2312" w:eastAsia="仿宋_GB2312" w:cs="仿宋_GB2312"/>
          <w:sz w:val="30"/>
          <w:szCs w:val="30"/>
          <w:lang w:val="en-US" w:eastAsia="zh-CN"/>
        </w:rPr>
        <w:t>规约</w:t>
      </w:r>
      <w:r>
        <w:rPr>
          <w:rFonts w:hint="eastAsia" w:ascii="仿宋_GB2312" w:hAnsi="仿宋_GB2312" w:eastAsia="仿宋_GB2312" w:cs="仿宋_GB2312"/>
          <w:sz w:val="30"/>
          <w:szCs w:val="30"/>
        </w:rPr>
        <w:t>，</w:t>
      </w:r>
      <w:r>
        <w:rPr>
          <w:rFonts w:ascii="仿宋_GB2312" w:hAnsi="仿宋_GB2312" w:eastAsia="仿宋_GB2312" w:cs="仿宋_GB2312"/>
          <w:sz w:val="30"/>
          <w:szCs w:val="30"/>
        </w:rPr>
        <w:t>指导督促小区物业和业委会</w:t>
      </w:r>
      <w:r>
        <w:rPr>
          <w:rFonts w:hint="eastAsia" w:ascii="仿宋_GB2312" w:hAnsi="仿宋_GB2312" w:eastAsia="仿宋_GB2312" w:cs="仿宋_GB2312"/>
          <w:sz w:val="30"/>
          <w:szCs w:val="30"/>
        </w:rPr>
        <w:t>建立</w:t>
      </w:r>
      <w:r>
        <w:rPr>
          <w:rFonts w:ascii="仿宋_GB2312" w:hAnsi="仿宋_GB2312" w:eastAsia="仿宋_GB2312" w:cs="仿宋_GB2312"/>
          <w:sz w:val="30"/>
          <w:szCs w:val="30"/>
        </w:rPr>
        <w:t>公开</w:t>
      </w:r>
      <w:r>
        <w:rPr>
          <w:rFonts w:hint="eastAsia" w:ascii="仿宋_GB2312" w:hAnsi="仿宋_GB2312" w:eastAsia="仿宋_GB2312" w:cs="仿宋_GB2312"/>
          <w:sz w:val="30"/>
          <w:szCs w:val="30"/>
        </w:rPr>
        <w:t>透明</w:t>
      </w:r>
      <w:r>
        <w:rPr>
          <w:rFonts w:ascii="仿宋_GB2312" w:hAnsi="仿宋_GB2312" w:eastAsia="仿宋_GB2312" w:cs="仿宋_GB2312"/>
          <w:sz w:val="30"/>
          <w:szCs w:val="30"/>
        </w:rPr>
        <w:t>的</w:t>
      </w:r>
      <w:r>
        <w:rPr>
          <w:rFonts w:hint="eastAsia" w:ascii="仿宋_GB2312" w:hAnsi="仿宋_GB2312" w:eastAsia="仿宋_GB2312" w:cs="仿宋_GB2312"/>
          <w:sz w:val="30"/>
          <w:szCs w:val="30"/>
        </w:rPr>
        <w:t>排队轮候</w:t>
      </w:r>
      <w:r>
        <w:rPr>
          <w:rFonts w:hint="eastAsia" w:ascii="仿宋_GB2312" w:hAnsi="仿宋_GB2312" w:eastAsia="仿宋_GB2312" w:cs="仿宋_GB2312"/>
          <w:sz w:val="30"/>
          <w:szCs w:val="30"/>
          <w:lang w:val="en-US" w:eastAsia="zh-CN"/>
        </w:rPr>
        <w:t>机制</w:t>
      </w:r>
      <w:r>
        <w:rPr>
          <w:rFonts w:hint="eastAsia" w:ascii="仿宋_GB2312" w:hAnsi="仿宋_GB2312" w:eastAsia="仿宋_GB2312" w:cs="仿宋_GB2312"/>
          <w:sz w:val="30"/>
          <w:szCs w:val="30"/>
          <w:lang w:eastAsia="zh-CN"/>
        </w:rPr>
        <w:t>，</w:t>
      </w:r>
      <w:r>
        <w:rPr>
          <w:rFonts w:ascii="仿宋_GB2312" w:hAnsi="仿宋_GB2312" w:eastAsia="仿宋_GB2312" w:cs="仿宋_GB2312"/>
          <w:sz w:val="30"/>
          <w:szCs w:val="30"/>
          <w:lang w:eastAsia="zh-CN"/>
        </w:rPr>
        <w:t>定期公示并接受业主查询。</w:t>
      </w:r>
      <w:r>
        <w:rPr>
          <w:rFonts w:hint="eastAsia" w:ascii="仿宋_GB2312" w:hAnsi="仿宋_GB2312" w:eastAsia="仿宋_GB2312" w:cs="仿宋_GB2312"/>
          <w:sz w:val="30"/>
          <w:szCs w:val="30"/>
          <w:lang w:val="en-US" w:eastAsia="zh-CN"/>
        </w:rPr>
        <w:t>在小区入口</w:t>
      </w:r>
      <w:r>
        <w:rPr>
          <w:rFonts w:ascii="仿宋_GB2312" w:hAnsi="仿宋_GB2312" w:eastAsia="仿宋_GB2312" w:cs="仿宋_GB2312"/>
          <w:sz w:val="30"/>
          <w:szCs w:val="30"/>
          <w:lang w:val="en-US" w:eastAsia="zh-CN"/>
        </w:rPr>
        <w:t>处</w:t>
      </w:r>
      <w:r>
        <w:rPr>
          <w:rFonts w:hint="eastAsia" w:ascii="仿宋_GB2312" w:hAnsi="仿宋_GB2312" w:eastAsia="仿宋_GB2312" w:cs="仿宋_GB2312"/>
          <w:sz w:val="30"/>
          <w:szCs w:val="30"/>
          <w:lang w:val="en-US" w:eastAsia="zh-CN"/>
        </w:rPr>
        <w:t>等醒目位置公示停车收费标准</w:t>
      </w:r>
      <w:r>
        <w:rPr>
          <w:rFonts w:hint="eastAsia" w:ascii="仿宋_GB2312" w:hAnsi="仿宋_GB2312" w:eastAsia="仿宋_GB2312" w:cs="仿宋_GB2312"/>
          <w:sz w:val="30"/>
          <w:szCs w:val="30"/>
        </w:rPr>
        <w:t>，</w:t>
      </w:r>
      <w:r>
        <w:rPr>
          <w:rFonts w:ascii="仿宋_GB2312" w:hAnsi="仿宋_GB2312" w:eastAsia="仿宋_GB2312" w:cs="仿宋_GB2312"/>
          <w:sz w:val="30"/>
          <w:szCs w:val="30"/>
        </w:rPr>
        <w:t>减少停车收费类投诉</w:t>
      </w:r>
      <w:r>
        <w:rPr>
          <w:rFonts w:hint="eastAsia" w:ascii="仿宋_GB2312" w:hAnsi="仿宋_GB2312" w:eastAsia="仿宋_GB2312" w:cs="仿宋_GB2312"/>
          <w:sz w:val="30"/>
          <w:szCs w:val="30"/>
        </w:rPr>
        <w:t>。</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ascii="仿宋_GB2312" w:hAnsi="仿宋_GB2312" w:eastAsia="仿宋_GB2312" w:cs="仿宋_GB2312"/>
          <w:b/>
          <w:bCs/>
          <w:sz w:val="30"/>
          <w:szCs w:val="30"/>
        </w:rPr>
        <w:t>（3）抢车位、乱停放的管理难度大</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侵占公共停车位、电动车入栋等问题虽有改善，但</w:t>
      </w:r>
      <w:r>
        <w:rPr>
          <w:rFonts w:hint="eastAsia" w:ascii="仿宋_GB2312" w:hAnsi="仿宋_GB2312" w:eastAsia="仿宋_GB2312" w:cs="仿宋_GB2312"/>
          <w:sz w:val="30"/>
          <w:szCs w:val="30"/>
          <w:lang w:eastAsia="zh-CN"/>
        </w:rPr>
        <w:t>机动车</w:t>
      </w:r>
      <w:r>
        <w:rPr>
          <w:rFonts w:hint="eastAsia" w:ascii="仿宋_GB2312" w:hAnsi="仿宋_GB2312" w:eastAsia="仿宋_GB2312" w:cs="仿宋_GB2312"/>
          <w:sz w:val="30"/>
          <w:szCs w:val="30"/>
        </w:rPr>
        <w:t>占用消防通道、</w:t>
      </w:r>
      <w:r>
        <w:rPr>
          <w:rFonts w:hint="eastAsia" w:ascii="仿宋_GB2312" w:hAnsi="仿宋_GB2312" w:eastAsia="仿宋_GB2312" w:cs="仿宋_GB2312"/>
          <w:sz w:val="30"/>
          <w:szCs w:val="30"/>
          <w:lang w:eastAsia="zh-CN"/>
        </w:rPr>
        <w:t>用杂物占据停车位等情况还是时有发生</w:t>
      </w:r>
      <w:r>
        <w:rPr>
          <w:rFonts w:hint="eastAsia" w:ascii="仿宋_GB2312" w:hAnsi="仿宋_GB2312" w:eastAsia="仿宋_GB2312" w:cs="仿宋_GB2312"/>
          <w:sz w:val="30"/>
          <w:szCs w:val="30"/>
        </w:rPr>
        <w:t>，物业企业劝导制止</w:t>
      </w:r>
      <w:r>
        <w:rPr>
          <w:rFonts w:hint="eastAsia" w:ascii="仿宋_GB2312" w:hAnsi="仿宋_GB2312" w:eastAsia="仿宋_GB2312" w:cs="仿宋_GB2312"/>
          <w:sz w:val="30"/>
          <w:szCs w:val="30"/>
          <w:lang w:eastAsia="zh-CN"/>
        </w:rPr>
        <w:t>的</w:t>
      </w:r>
      <w:r>
        <w:rPr>
          <w:rFonts w:hint="eastAsia" w:ascii="仿宋_GB2312" w:hAnsi="仿宋_GB2312" w:eastAsia="仿宋_GB2312" w:cs="仿宋_GB2312"/>
          <w:sz w:val="30"/>
          <w:szCs w:val="30"/>
        </w:rPr>
        <w:t>力度不足。</w:t>
      </w:r>
      <w:r>
        <w:rPr>
          <w:rFonts w:hint="eastAsia" w:ascii="仿宋_GB2312" w:hAnsi="仿宋_GB2312" w:eastAsia="仿宋_GB2312" w:cs="仿宋_GB2312"/>
          <w:b/>
          <w:bCs/>
          <w:sz w:val="30"/>
          <w:szCs w:val="30"/>
          <w:lang w:val="en-US" w:eastAsia="zh-CN"/>
        </w:rPr>
        <w:t>改进措施：</w:t>
      </w:r>
      <w:r>
        <w:rPr>
          <w:rFonts w:hint="eastAsia" w:ascii="仿宋_GB2312" w:hAnsi="仿宋_GB2312" w:eastAsia="仿宋_GB2312" w:cs="仿宋_GB2312"/>
          <w:b w:val="0"/>
          <w:bCs w:val="0"/>
          <w:sz w:val="30"/>
          <w:szCs w:val="30"/>
          <w:lang w:val="en-US" w:eastAsia="zh-CN"/>
        </w:rPr>
        <w:t>督促物业服务企业加大巡查巡视的频次，发现问题及时劝阻，对不听劝阻的协调居委会和业委会共同沟通协调。</w:t>
      </w:r>
    </w:p>
    <w:p>
      <w:pPr>
        <w:keepNext w:val="0"/>
        <w:keepLines w:val="0"/>
        <w:pageBreakBefore w:val="0"/>
        <w:widowControl w:val="0"/>
        <w:kinsoku/>
        <w:wordWrap/>
        <w:overflowPunct/>
        <w:topLinePunct w:val="0"/>
        <w:autoSpaceDE/>
        <w:autoSpaceDN/>
        <w:bidi w:val="0"/>
        <w:adjustRightInd/>
        <w:snapToGrid/>
        <w:spacing w:before="320" w:after="120" w:line="288" w:lineRule="auto"/>
        <w:ind w:left="0"/>
        <w:jc w:val="both"/>
        <w:outlineLvl w:val="1"/>
        <w:rPr>
          <w:rFonts w:hint="eastAsia" w:ascii="楷体_GB2312" w:hAnsi="楷体_GB2312" w:eastAsia="楷体_GB2312" w:cs="楷体_GB2312"/>
          <w:sz w:val="30"/>
          <w:szCs w:val="30"/>
        </w:rPr>
      </w:pPr>
      <w:bookmarkStart w:id="6" w:name="heading_14"/>
      <w:r>
        <w:rPr>
          <w:rFonts w:hint="eastAsia" w:ascii="楷体_GB2312" w:hAnsi="楷体_GB2312" w:eastAsia="楷体_GB2312" w:cs="楷体_GB2312"/>
          <w:b/>
          <w:sz w:val="30"/>
          <w:szCs w:val="30"/>
          <w:lang w:eastAsia="zh-CN"/>
        </w:rPr>
        <w:t>（</w:t>
      </w:r>
      <w:r>
        <w:rPr>
          <w:rFonts w:hint="eastAsia" w:ascii="楷体_GB2312" w:hAnsi="楷体_GB2312" w:eastAsia="楷体_GB2312" w:cs="楷体_GB2312"/>
          <w:b/>
          <w:sz w:val="30"/>
          <w:szCs w:val="30"/>
          <w:lang w:val="en-US" w:eastAsia="zh-CN"/>
        </w:rPr>
        <w:t>三）</w:t>
      </w:r>
      <w:r>
        <w:rPr>
          <w:rFonts w:hint="eastAsia" w:ascii="楷体_GB2312" w:hAnsi="楷体_GB2312" w:eastAsia="楷体_GB2312" w:cs="楷体_GB2312"/>
          <w:b/>
          <w:sz w:val="30"/>
          <w:szCs w:val="30"/>
        </w:rPr>
        <w:t>垃圾清理类工单分析</w:t>
      </w:r>
      <w:bookmarkEnd w:id="6"/>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仿宋_GB2312" w:hAnsi="仿宋_GB2312" w:eastAsia="仿宋_GB2312" w:cs="仿宋_GB2312"/>
          <w:sz w:val="30"/>
          <w:szCs w:val="30"/>
        </w:rPr>
      </w:pPr>
      <w:bookmarkStart w:id="7" w:name="heading_15"/>
      <w:r>
        <w:rPr>
          <w:rFonts w:hint="eastAsia" w:ascii="仿宋_GB2312" w:hAnsi="仿宋_GB2312" w:eastAsia="仿宋_GB2312" w:cs="仿宋_GB2312"/>
          <w:b/>
          <w:sz w:val="30"/>
          <w:szCs w:val="30"/>
          <w:lang w:val="en-US" w:eastAsia="zh-CN"/>
        </w:rPr>
        <w:t>1.</w:t>
      </w:r>
      <w:r>
        <w:rPr>
          <w:rFonts w:hint="eastAsia" w:ascii="仿宋_GB2312" w:hAnsi="仿宋_GB2312" w:eastAsia="仿宋_GB2312" w:cs="仿宋_GB2312"/>
          <w:b/>
          <w:sz w:val="30"/>
          <w:szCs w:val="30"/>
        </w:rPr>
        <w:t xml:space="preserve"> 工单特征分析</w:t>
      </w:r>
      <w:bookmarkEnd w:id="7"/>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2025年</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垃圾清理类工单1257件，占全年工单总量的9.99%，</w:t>
      </w:r>
      <w:r>
        <w:rPr>
          <w:rFonts w:hint="eastAsia" w:ascii="仿宋_GB2312" w:hAnsi="仿宋_GB2312" w:eastAsia="仿宋_GB2312" w:cs="仿宋_GB2312"/>
          <w:sz w:val="30"/>
          <w:szCs w:val="30"/>
          <w:lang w:eastAsia="zh-CN"/>
        </w:rPr>
        <w:t>较</w:t>
      </w:r>
      <w:r>
        <w:rPr>
          <w:rFonts w:hint="eastAsia" w:ascii="仿宋_GB2312" w:hAnsi="仿宋_GB2312" w:eastAsia="仿宋_GB2312" w:cs="仿宋_GB2312"/>
          <w:sz w:val="30"/>
          <w:szCs w:val="30"/>
          <w:lang w:val="en-US" w:eastAsia="zh-CN"/>
        </w:rPr>
        <w:t>2024年</w:t>
      </w:r>
      <w:r>
        <w:rPr>
          <w:rFonts w:hint="eastAsia" w:ascii="仿宋_GB2312" w:hAnsi="仿宋_GB2312" w:eastAsia="仿宋_GB2312" w:cs="仿宋_GB2312"/>
          <w:sz w:val="30"/>
          <w:szCs w:val="30"/>
        </w:rPr>
        <w:t>同比下降0.95%，整体保持平稳。从子类分布看，垃圾清运710件，同比</w:t>
      </w:r>
      <w:r>
        <w:rPr>
          <w:rFonts w:hint="eastAsia" w:ascii="仿宋_GB2312" w:hAnsi="仿宋_GB2312" w:eastAsia="仿宋_GB2312" w:cs="仿宋_GB2312"/>
          <w:sz w:val="30"/>
          <w:szCs w:val="30"/>
          <w:lang w:eastAsia="zh-CN"/>
        </w:rPr>
        <w:t>下降</w:t>
      </w:r>
      <w:r>
        <w:rPr>
          <w:rFonts w:hint="eastAsia" w:ascii="仿宋_GB2312" w:hAnsi="仿宋_GB2312" w:eastAsia="仿宋_GB2312" w:cs="仿宋_GB2312"/>
          <w:sz w:val="30"/>
          <w:szCs w:val="30"/>
        </w:rPr>
        <w:t>4.31%、垃圾厢房275件，同比</w:t>
      </w:r>
      <w:r>
        <w:rPr>
          <w:rFonts w:hint="eastAsia" w:ascii="仿宋_GB2312" w:hAnsi="仿宋_GB2312" w:eastAsia="仿宋_GB2312" w:cs="仿宋_GB2312"/>
          <w:sz w:val="30"/>
          <w:szCs w:val="30"/>
          <w:lang w:eastAsia="zh-CN"/>
        </w:rPr>
        <w:t>下降</w:t>
      </w:r>
      <w:r>
        <w:rPr>
          <w:rFonts w:hint="eastAsia" w:ascii="仿宋_GB2312" w:hAnsi="仿宋_GB2312" w:eastAsia="仿宋_GB2312" w:cs="仿宋_GB2312"/>
          <w:sz w:val="30"/>
          <w:szCs w:val="30"/>
        </w:rPr>
        <w:t>0.72%）、垃圾堆放179件，同比</w:t>
      </w:r>
      <w:r>
        <w:rPr>
          <w:rFonts w:hint="eastAsia" w:ascii="仿宋_GB2312" w:hAnsi="仿宋_GB2312" w:eastAsia="仿宋_GB2312" w:cs="仿宋_GB2312"/>
          <w:sz w:val="30"/>
          <w:szCs w:val="30"/>
          <w:lang w:eastAsia="zh-CN"/>
        </w:rPr>
        <w:t>上升</w:t>
      </w:r>
      <w:r>
        <w:rPr>
          <w:rFonts w:hint="eastAsia" w:ascii="仿宋_GB2312" w:hAnsi="仿宋_GB2312" w:eastAsia="仿宋_GB2312" w:cs="仿宋_GB2312"/>
          <w:sz w:val="30"/>
          <w:szCs w:val="30"/>
        </w:rPr>
        <w:t>11.18%、垃圾收费51件，同比</w:t>
      </w:r>
      <w:r>
        <w:rPr>
          <w:rFonts w:hint="eastAsia" w:ascii="仿宋_GB2312" w:hAnsi="仿宋_GB2312" w:eastAsia="仿宋_GB2312" w:cs="仿宋_GB2312"/>
          <w:sz w:val="30"/>
          <w:szCs w:val="30"/>
          <w:lang w:eastAsia="zh-CN"/>
        </w:rPr>
        <w:t>上升</w:t>
      </w:r>
      <w:r>
        <w:rPr>
          <w:rFonts w:hint="eastAsia" w:ascii="仿宋_GB2312" w:hAnsi="仿宋_GB2312" w:eastAsia="仿宋_GB2312" w:cs="仿宋_GB2312"/>
          <w:sz w:val="30"/>
          <w:szCs w:val="30"/>
        </w:rPr>
        <w:t>18.60%）、生活垃圾分类42件，同比</w:t>
      </w:r>
      <w:r>
        <w:rPr>
          <w:rFonts w:hint="eastAsia" w:ascii="仿宋_GB2312" w:hAnsi="仿宋_GB2312" w:eastAsia="仿宋_GB2312" w:cs="仿宋_GB2312"/>
          <w:sz w:val="30"/>
          <w:szCs w:val="30"/>
          <w:lang w:eastAsia="zh-CN"/>
        </w:rPr>
        <w:t>下降</w:t>
      </w:r>
      <w:r>
        <w:rPr>
          <w:rFonts w:hint="eastAsia" w:ascii="仿宋_GB2312" w:hAnsi="仿宋_GB2312" w:eastAsia="仿宋_GB2312" w:cs="仿宋_GB2312"/>
          <w:sz w:val="30"/>
          <w:szCs w:val="30"/>
        </w:rPr>
        <w:t>8.70%。</w:t>
      </w:r>
    </w:p>
    <w:p>
      <w:pPr>
        <w:keepNext w:val="0"/>
        <w:keepLines w:val="0"/>
        <w:pageBreakBefore w:val="0"/>
        <w:widowControl w:val="0"/>
        <w:kinsoku/>
        <w:wordWrap/>
        <w:overflowPunct/>
        <w:topLinePunct w:val="0"/>
        <w:autoSpaceDE/>
        <w:autoSpaceDN/>
        <w:bidi w:val="0"/>
        <w:adjustRightInd/>
        <w:snapToGrid/>
        <w:spacing w:before="120" w:after="120" w:line="288" w:lineRule="auto"/>
        <w:ind w:left="0" w:firstLine="0" w:firstLineChars="0"/>
        <w:jc w:val="both"/>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drawing>
          <wp:inline distT="0" distB="0" distL="114300" distR="114300">
            <wp:extent cx="5402580" cy="3348355"/>
            <wp:effectExtent l="0" t="0" r="7620" b="4445"/>
            <wp:docPr id="22" name="图片 5" descr="54214e31-08ba-4bc1-b302-9702747d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54214e31-08ba-4bc1-b302-9702747d2086"/>
                    <pic:cNvPicPr>
                      <a:picLocks noChangeAspect="1"/>
                    </pic:cNvPicPr>
                  </pic:nvPicPr>
                  <pic:blipFill>
                    <a:blip r:embed="rId13"/>
                    <a:stretch>
                      <a:fillRect/>
                    </a:stretch>
                  </pic:blipFill>
                  <pic:spPr>
                    <a:xfrm>
                      <a:off x="0" y="0"/>
                      <a:ext cx="5402580" cy="3348355"/>
                    </a:xfrm>
                    <a:prstGeom prst="rect">
                      <a:avLst/>
                    </a:prstGeom>
                    <a:noFill/>
                    <a:ln w="9525" cap="flat" cmpd="sng">
                      <a:noFill/>
                      <a:prstDash val="solid"/>
                      <a:miter/>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b/>
          <w:bCs/>
          <w:sz w:val="30"/>
          <w:szCs w:val="30"/>
          <w:lang w:val="en-US" w:eastAsia="zh-CN"/>
        </w:rPr>
        <w:t>7</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垃圾清理类工单诉求分布）</w:t>
      </w:r>
    </w:p>
    <w:p>
      <w:pPr>
        <w:pStyle w:val="8"/>
        <w:keepNext w:val="0"/>
        <w:keepLines w:val="0"/>
        <w:pageBreakBefore w:val="0"/>
        <w:widowControl w:val="0"/>
        <w:kinsoku/>
        <w:wordWrap/>
        <w:overflowPunct/>
        <w:topLinePunct w:val="0"/>
        <w:autoSpaceDE/>
        <w:autoSpaceDN/>
        <w:bidi w:val="0"/>
        <w:adjustRightInd/>
        <w:snapToGrid/>
        <w:ind w:left="1260" w:leftChars="0" w:hanging="1260" w:hangingChars="600"/>
        <w:jc w:val="both"/>
        <w:rPr>
          <w:rFonts w:hint="eastAsia" w:ascii="仿宋_GB2312" w:hAnsi="仿宋_GB2312" w:eastAsia="仿宋_GB2312" w:cs="仿宋_GB2312"/>
          <w:sz w:val="30"/>
          <w:szCs w:val="30"/>
        </w:rPr>
      </w:pPr>
      <w:r>
        <w:drawing>
          <wp:inline distT="0" distB="0" distL="114300" distR="114300">
            <wp:extent cx="5614670" cy="2771775"/>
            <wp:effectExtent l="0" t="0" r="24130" b="2222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4"/>
                    <a:stretch>
                      <a:fillRect/>
                    </a:stretch>
                  </pic:blipFill>
                  <pic:spPr>
                    <a:xfrm>
                      <a:off x="0" y="0"/>
                      <a:ext cx="5614670" cy="2771775"/>
                    </a:xfrm>
                    <a:prstGeom prst="rect">
                      <a:avLst/>
                    </a:prstGeom>
                    <a:noFill/>
                    <a:ln>
                      <a:noFill/>
                    </a:ln>
                  </pic:spPr>
                </pic:pic>
              </a:graphicData>
            </a:graphic>
          </wp:inline>
        </w:drawing>
      </w:r>
    </w:p>
    <w:p>
      <w:pPr>
        <w:pStyle w:val="8"/>
        <w:keepNext w:val="0"/>
        <w:keepLines w:val="0"/>
        <w:pageBreakBefore w:val="0"/>
        <w:widowControl w:val="0"/>
        <w:kinsoku/>
        <w:wordWrap/>
        <w:overflowPunct/>
        <w:topLinePunct w:val="0"/>
        <w:autoSpaceDE/>
        <w:autoSpaceDN/>
        <w:bidi w:val="0"/>
        <w:adjustRightInd/>
        <w:snapToGrid/>
        <w:ind w:left="1800" w:leftChars="0" w:hanging="1800" w:hangingChars="60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b/>
          <w:bCs/>
          <w:sz w:val="30"/>
          <w:szCs w:val="30"/>
          <w:lang w:val="en-US" w:eastAsia="zh-CN"/>
        </w:rPr>
        <w:t>8</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垃圾清理类工单诉求</w:t>
      </w:r>
      <w:r>
        <w:rPr>
          <w:rFonts w:hint="eastAsia" w:ascii="仿宋_GB2312" w:hAnsi="仿宋_GB2312" w:eastAsia="仿宋_GB2312" w:cs="仿宋_GB2312"/>
          <w:sz w:val="30"/>
          <w:szCs w:val="30"/>
          <w:lang w:val="en-US" w:eastAsia="zh-CN"/>
        </w:rPr>
        <w:t>月度情况</w:t>
      </w:r>
      <w:r>
        <w:rPr>
          <w:rFonts w:hint="eastAsia" w:ascii="仿宋_GB2312" w:hAnsi="仿宋_GB2312" w:eastAsia="仿宋_GB2312" w:cs="仿宋_GB2312"/>
          <w:sz w:val="30"/>
          <w:szCs w:val="30"/>
        </w:rPr>
        <w:t>）</w:t>
      </w:r>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ascii="仿宋_GB2312" w:hAnsi="仿宋_GB2312" w:eastAsia="仿宋_GB2312" w:cs="仿宋_GB2312"/>
          <w:sz w:val="30"/>
          <w:szCs w:val="30"/>
          <w:lang w:val="en-US" w:eastAsia="zh-CN"/>
        </w:rPr>
      </w:pPr>
      <w:bookmarkStart w:id="8" w:name="heading_16"/>
      <w:r>
        <w:rPr>
          <w:rFonts w:hint="eastAsia" w:ascii="仿宋_GB2312" w:hAnsi="仿宋_GB2312" w:eastAsia="仿宋_GB2312" w:cs="仿宋_GB2312"/>
          <w:b/>
          <w:sz w:val="30"/>
          <w:szCs w:val="30"/>
        </w:rPr>
        <w:t>2.</w:t>
      </w:r>
      <w:bookmarkEnd w:id="8"/>
      <w:r>
        <w:rPr>
          <w:rFonts w:hint="eastAsia" w:ascii="仿宋_GB2312" w:hAnsi="仿宋_GB2312" w:eastAsia="仿宋_GB2312" w:cs="仿宋_GB2312"/>
          <w:b/>
          <w:sz w:val="30"/>
          <w:szCs w:val="30"/>
          <w:lang w:val="en-US" w:eastAsia="zh-CN"/>
        </w:rPr>
        <w:t>原因分析及改进措施</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ascii="仿宋_GB2312" w:hAnsi="仿宋_GB2312" w:eastAsia="仿宋_GB2312" w:cs="仿宋_GB2312"/>
          <w:sz w:val="30"/>
          <w:szCs w:val="30"/>
          <w:lang w:val="en-US" w:eastAsia="zh-CN"/>
        </w:rPr>
      </w:pPr>
      <w:r>
        <w:rPr>
          <w:rFonts w:hint="eastAsia" w:ascii="仿宋_GB2312" w:hAnsi="仿宋_GB2312" w:eastAsia="仿宋_GB2312" w:cs="仿宋_GB2312"/>
          <w:b/>
          <w:bCs/>
          <w:sz w:val="30"/>
          <w:szCs w:val="30"/>
          <w:lang w:val="en-US" w:eastAsia="zh-CN"/>
        </w:rPr>
        <w:t>（1）垃圾</w:t>
      </w:r>
      <w:r>
        <w:rPr>
          <w:rFonts w:hint="eastAsia" w:ascii="仿宋_GB2312" w:hAnsi="仿宋_GB2312" w:eastAsia="仿宋_GB2312" w:cs="仿宋_GB2312"/>
          <w:b/>
          <w:bCs/>
          <w:sz w:val="30"/>
          <w:szCs w:val="30"/>
        </w:rPr>
        <w:t>清运</w:t>
      </w:r>
      <w:r>
        <w:rPr>
          <w:rFonts w:hint="eastAsia" w:ascii="仿宋_GB2312" w:hAnsi="仿宋_GB2312" w:eastAsia="仿宋_GB2312" w:cs="仿宋_GB2312"/>
          <w:b/>
          <w:bCs/>
          <w:sz w:val="30"/>
          <w:szCs w:val="30"/>
          <w:lang w:val="en-US" w:eastAsia="zh-CN"/>
        </w:rPr>
        <w:t>不及时</w:t>
      </w:r>
      <w:r>
        <w:rPr>
          <w:rFonts w:hint="eastAsia" w:ascii="仿宋_GB2312" w:hAnsi="仿宋_GB2312" w:eastAsia="仿宋_GB2312" w:cs="仿宋_GB2312"/>
          <w:sz w:val="30"/>
          <w:szCs w:val="30"/>
        </w:rPr>
        <w:t>。垃圾清运</w:t>
      </w:r>
      <w:r>
        <w:rPr>
          <w:rFonts w:hint="eastAsia" w:ascii="仿宋_GB2312" w:hAnsi="仿宋_GB2312" w:eastAsia="仿宋_GB2312" w:cs="仿宋_GB2312"/>
          <w:sz w:val="30"/>
          <w:szCs w:val="30"/>
          <w:lang w:val="en-US" w:eastAsia="zh-CN"/>
        </w:rPr>
        <w:t>不及时</w:t>
      </w:r>
      <w:r>
        <w:rPr>
          <w:rFonts w:hint="eastAsia" w:ascii="仿宋_GB2312" w:hAnsi="仿宋_GB2312" w:eastAsia="仿宋_GB2312" w:cs="仿宋_GB2312"/>
          <w:sz w:val="30"/>
          <w:szCs w:val="30"/>
        </w:rPr>
        <w:t>仍是核心诉求，部分小区装修垃圾堆放</w:t>
      </w:r>
      <w:r>
        <w:rPr>
          <w:rFonts w:hint="eastAsia" w:ascii="仿宋_GB2312" w:hAnsi="仿宋_GB2312" w:eastAsia="仿宋_GB2312" w:cs="仿宋_GB2312"/>
          <w:sz w:val="30"/>
          <w:szCs w:val="30"/>
          <w:lang w:val="en-US" w:eastAsia="zh-CN"/>
        </w:rPr>
        <w:t>时间久</w:t>
      </w:r>
      <w:r>
        <w:rPr>
          <w:rFonts w:hint="eastAsia" w:ascii="仿宋_GB2312" w:hAnsi="仿宋_GB2312" w:eastAsia="仿宋_GB2312" w:cs="仿宋_GB2312"/>
          <w:sz w:val="30"/>
          <w:szCs w:val="30"/>
        </w:rPr>
        <w:t>，异味扰民问题突出</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尤其夏季投诉更为集中。</w:t>
      </w:r>
      <w:r>
        <w:rPr>
          <w:rFonts w:hint="eastAsia" w:ascii="仿宋_GB2312" w:hAnsi="仿宋_GB2312" w:eastAsia="仿宋_GB2312" w:cs="仿宋_GB2312"/>
          <w:b/>
          <w:bCs/>
          <w:sz w:val="30"/>
          <w:szCs w:val="30"/>
          <w:lang w:val="en-US" w:eastAsia="zh-CN"/>
        </w:rPr>
        <w:t>改进措施：</w:t>
      </w:r>
      <w:r>
        <w:rPr>
          <w:rFonts w:hint="eastAsia" w:ascii="仿宋_GB2312" w:hAnsi="仿宋_GB2312" w:eastAsia="仿宋_GB2312" w:cs="仿宋_GB2312"/>
          <w:sz w:val="30"/>
          <w:szCs w:val="30"/>
          <w:lang w:eastAsia="zh-CN"/>
        </w:rPr>
        <w:t>物业</w:t>
      </w:r>
      <w:r>
        <w:rPr>
          <w:rFonts w:hint="eastAsia" w:ascii="仿宋_GB2312" w:hAnsi="仿宋_GB2312" w:eastAsia="仿宋_GB2312" w:cs="仿宋_GB2312"/>
          <w:sz w:val="30"/>
          <w:szCs w:val="30"/>
          <w:lang w:val="en-US" w:eastAsia="zh-CN"/>
        </w:rPr>
        <w:t>企业</w:t>
      </w:r>
      <w:r>
        <w:rPr>
          <w:rFonts w:hint="eastAsia" w:ascii="仿宋_GB2312" w:hAnsi="仿宋_GB2312" w:eastAsia="仿宋_GB2312" w:cs="仿宋_GB2312"/>
          <w:sz w:val="30"/>
          <w:szCs w:val="30"/>
          <w:lang w:eastAsia="zh-CN"/>
        </w:rPr>
        <w:t>加强与环卫清运公司工作联动，</w:t>
      </w:r>
      <w:r>
        <w:rPr>
          <w:rFonts w:hint="eastAsia" w:ascii="仿宋_GB2312" w:hAnsi="仿宋_GB2312" w:eastAsia="仿宋_GB2312" w:cs="仿宋_GB2312"/>
          <w:sz w:val="30"/>
          <w:szCs w:val="30"/>
          <w:lang w:val="en-US" w:eastAsia="zh-CN"/>
        </w:rPr>
        <w:t>根据小区实际情况</w:t>
      </w:r>
      <w:r>
        <w:rPr>
          <w:rFonts w:hint="eastAsia" w:ascii="仿宋_GB2312" w:hAnsi="仿宋_GB2312" w:eastAsia="仿宋_GB2312" w:cs="仿宋_GB2312"/>
          <w:sz w:val="30"/>
          <w:szCs w:val="30"/>
          <w:lang w:eastAsia="zh-CN"/>
        </w:rPr>
        <w:t>优化清运方案</w:t>
      </w:r>
      <w:r>
        <w:rPr>
          <w:rFonts w:hint="eastAsia" w:ascii="仿宋_GB2312" w:hAnsi="仿宋_GB2312" w:eastAsia="仿宋_GB2312" w:cs="仿宋_GB2312"/>
          <w:sz w:val="30"/>
          <w:szCs w:val="30"/>
        </w:rPr>
        <w:t>，</w:t>
      </w:r>
      <w:r>
        <w:rPr>
          <w:rFonts w:hint="eastAsia" w:ascii="仿宋_GB2312" w:hAnsi="仿宋_GB2312" w:eastAsia="仿宋_GB2312" w:cs="仿宋_GB2312"/>
          <w:sz w:val="30"/>
          <w:szCs w:val="30"/>
          <w:lang w:eastAsia="zh-CN"/>
        </w:rPr>
        <w:t>提升清运效能。</w:t>
      </w:r>
      <w:r>
        <w:rPr>
          <w:rFonts w:hint="eastAsia" w:ascii="仿宋_GB2312" w:hAnsi="仿宋_GB2312" w:eastAsia="仿宋_GB2312" w:cs="仿宋_GB2312"/>
          <w:sz w:val="30"/>
          <w:szCs w:val="30"/>
          <w:lang w:val="en-US" w:eastAsia="zh-CN"/>
        </w:rPr>
        <w:t>引导居民利用建筑垃圾清运的微信小程序自行预约，减少中间环节，提高清运效率。</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b w:val="0"/>
          <w:bCs w:val="0"/>
          <w:sz w:val="30"/>
          <w:szCs w:val="30"/>
        </w:rPr>
      </w:pPr>
      <w:r>
        <w:rPr>
          <w:rFonts w:hint="eastAsia" w:ascii="仿宋_GB2312" w:hAnsi="仿宋_GB2312" w:eastAsia="仿宋_GB2312" w:cs="仿宋_GB2312"/>
          <w:b/>
          <w:bCs/>
          <w:sz w:val="30"/>
          <w:szCs w:val="30"/>
          <w:lang w:val="en-US" w:eastAsia="zh-CN"/>
        </w:rPr>
        <w:t>（2）垃圾厢房维护管理不到位</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lang w:val="en-US" w:eastAsia="zh-CN"/>
        </w:rPr>
        <w:t>部分小区还存在</w:t>
      </w:r>
      <w:r>
        <w:rPr>
          <w:rFonts w:hint="eastAsia" w:ascii="仿宋_GB2312" w:hAnsi="仿宋_GB2312" w:eastAsia="仿宋_GB2312" w:cs="仿宋_GB2312"/>
          <w:sz w:val="30"/>
          <w:szCs w:val="30"/>
        </w:rPr>
        <w:t>垃圾厢房设施损坏、污水横流，保洁人员</w:t>
      </w:r>
      <w:r>
        <w:rPr>
          <w:rFonts w:hint="eastAsia" w:ascii="仿宋_GB2312" w:hAnsi="仿宋_GB2312" w:eastAsia="仿宋_GB2312" w:cs="仿宋_GB2312"/>
          <w:sz w:val="30"/>
          <w:szCs w:val="30"/>
          <w:lang w:eastAsia="zh-CN"/>
        </w:rPr>
        <w:t>清理不</w:t>
      </w:r>
      <w:r>
        <w:rPr>
          <w:rFonts w:hint="eastAsia" w:ascii="仿宋_GB2312" w:hAnsi="仿宋_GB2312" w:eastAsia="仿宋_GB2312" w:cs="仿宋_GB2312"/>
          <w:sz w:val="30"/>
          <w:szCs w:val="30"/>
        </w:rPr>
        <w:t>及时</w:t>
      </w:r>
      <w:r>
        <w:rPr>
          <w:rFonts w:hint="eastAsia" w:ascii="仿宋_GB2312" w:hAnsi="仿宋_GB2312" w:eastAsia="仿宋_GB2312" w:cs="仿宋_GB2312"/>
          <w:sz w:val="30"/>
          <w:szCs w:val="30"/>
          <w:lang w:eastAsia="zh-CN"/>
        </w:rPr>
        <w:t>的情况</w:t>
      </w: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lang w:val="en-US" w:eastAsia="zh-CN"/>
        </w:rPr>
        <w:t>改进措施：</w:t>
      </w:r>
      <w:r>
        <w:rPr>
          <w:rFonts w:hint="eastAsia" w:ascii="仿宋_GB2312" w:hAnsi="仿宋_GB2312" w:eastAsia="仿宋_GB2312" w:cs="仿宋_GB2312"/>
          <w:b w:val="0"/>
          <w:bCs w:val="0"/>
          <w:sz w:val="30"/>
          <w:szCs w:val="30"/>
          <w:lang w:val="en-US" w:eastAsia="zh-CN"/>
        </w:rPr>
        <w:t>督促小区经理落实日查制度，及时督促做好保洁、消毒、去异味工作，对损坏的设施及时组织维修。</w:t>
      </w:r>
      <w:r>
        <w:rPr>
          <w:rFonts w:hint="eastAsia" w:ascii="仿宋_GB2312" w:hAnsi="仿宋_GB2312" w:eastAsia="仿宋_GB2312" w:cs="仿宋_GB2312"/>
          <w:b w:val="0"/>
          <w:bCs w:val="0"/>
          <w:sz w:val="30"/>
          <w:szCs w:val="30"/>
        </w:rPr>
        <w:t>。</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b/>
          <w:bCs/>
          <w:sz w:val="30"/>
          <w:szCs w:val="30"/>
          <w:lang w:val="en-US" w:eastAsia="zh-CN"/>
        </w:rPr>
        <w:t>（3）</w:t>
      </w:r>
      <w:r>
        <w:rPr>
          <w:rFonts w:hint="eastAsia" w:ascii="仿宋_GB2312" w:hAnsi="仿宋_GB2312" w:eastAsia="仿宋_GB2312" w:cs="仿宋_GB2312"/>
          <w:b/>
          <w:bCs/>
          <w:sz w:val="30"/>
          <w:szCs w:val="30"/>
          <w:lang w:eastAsia="zh-CN"/>
        </w:rPr>
        <w:t>物业代收清运费依然存在</w:t>
      </w:r>
      <w:r>
        <w:rPr>
          <w:rFonts w:hint="eastAsia" w:ascii="仿宋_GB2312" w:hAnsi="仿宋_GB2312" w:eastAsia="仿宋_GB2312" w:cs="仿宋_GB2312"/>
          <w:b/>
          <w:bCs/>
          <w:sz w:val="30"/>
          <w:szCs w:val="30"/>
        </w:rPr>
        <w:t>。</w:t>
      </w:r>
      <w:r>
        <w:rPr>
          <w:rFonts w:hint="eastAsia" w:ascii="仿宋_GB2312" w:hAnsi="仿宋_GB2312" w:eastAsia="仿宋_GB2312" w:cs="仿宋_GB2312"/>
          <w:b/>
          <w:bCs/>
          <w:sz w:val="30"/>
          <w:szCs w:val="30"/>
          <w:lang w:val="en-US" w:eastAsia="zh-CN"/>
        </w:rPr>
        <w:t>2023年起，小区</w:t>
      </w:r>
      <w:r>
        <w:rPr>
          <w:rFonts w:hint="eastAsia" w:ascii="仿宋_GB2312" w:hAnsi="仿宋_GB2312" w:eastAsia="仿宋_GB2312" w:cs="仿宋_GB2312"/>
          <w:b w:val="0"/>
          <w:bCs w:val="0"/>
          <w:sz w:val="30"/>
          <w:szCs w:val="30"/>
          <w:lang w:val="en-US" w:eastAsia="zh-CN"/>
        </w:rPr>
        <w:t>建筑</w:t>
      </w:r>
      <w:r>
        <w:rPr>
          <w:rFonts w:hint="eastAsia" w:ascii="仿宋_GB2312" w:hAnsi="仿宋_GB2312" w:eastAsia="仿宋_GB2312" w:cs="仿宋_GB2312"/>
          <w:sz w:val="30"/>
          <w:szCs w:val="30"/>
        </w:rPr>
        <w:t>垃圾</w:t>
      </w:r>
      <w:r>
        <w:rPr>
          <w:rFonts w:hint="eastAsia" w:ascii="仿宋_GB2312" w:hAnsi="仿宋_GB2312" w:eastAsia="仿宋_GB2312" w:cs="仿宋_GB2312"/>
          <w:sz w:val="30"/>
          <w:szCs w:val="30"/>
          <w:lang w:eastAsia="zh-CN"/>
        </w:rPr>
        <w:t>清运费就已经禁止物业进行代收代缴，但仍有部分小区物业仍然按面积进行预收，且短驳收费没有进行充分公示</w:t>
      </w:r>
      <w:r>
        <w:rPr>
          <w:rFonts w:hint="eastAsia" w:ascii="仿宋_GB2312" w:hAnsi="仿宋_GB2312" w:eastAsia="仿宋_GB2312" w:cs="仿宋_GB2312"/>
          <w:sz w:val="30"/>
          <w:szCs w:val="30"/>
        </w:rPr>
        <w:t>。</w:t>
      </w:r>
      <w:r>
        <w:rPr>
          <w:rFonts w:hint="eastAsia" w:ascii="仿宋_GB2312" w:hAnsi="仿宋_GB2312" w:eastAsia="仿宋_GB2312" w:cs="仿宋_GB2312"/>
          <w:sz w:val="30"/>
          <w:szCs w:val="30"/>
          <w:lang w:val="en-US" w:eastAsia="zh-CN"/>
        </w:rPr>
        <w:t>改进措施：</w:t>
      </w:r>
      <w:r>
        <w:rPr>
          <w:rFonts w:hint="eastAsia" w:ascii="仿宋_GB2312" w:hAnsi="仿宋_GB2312" w:eastAsia="仿宋_GB2312" w:cs="仿宋_GB2312"/>
          <w:sz w:val="30"/>
          <w:szCs w:val="30"/>
          <w:lang w:eastAsia="zh-CN"/>
        </w:rPr>
        <w:t>加大物业服务企业代收代缴建筑垃圾清运费的检查力度</w:t>
      </w:r>
      <w:r>
        <w:rPr>
          <w:rFonts w:hint="eastAsia" w:ascii="仿宋_GB2312" w:hAnsi="仿宋_GB2312" w:eastAsia="仿宋_GB2312" w:cs="仿宋_GB2312"/>
          <w:sz w:val="30"/>
          <w:szCs w:val="30"/>
        </w:rPr>
        <w:t>，</w:t>
      </w:r>
      <w:r>
        <w:rPr>
          <w:rFonts w:hint="eastAsia" w:ascii="仿宋_GB2312" w:hAnsi="仿宋_GB2312" w:eastAsia="仿宋_GB2312" w:cs="仿宋_GB2312"/>
          <w:sz w:val="30"/>
          <w:szCs w:val="30"/>
          <w:lang w:eastAsia="zh-CN"/>
        </w:rPr>
        <w:t>一经发现给予信用记分处理</w:t>
      </w:r>
      <w:r>
        <w:rPr>
          <w:rFonts w:hint="eastAsia" w:ascii="仿宋_GB2312" w:hAnsi="仿宋_GB2312" w:eastAsia="仿宋_GB2312" w:cs="仿宋_GB2312"/>
          <w:sz w:val="30"/>
          <w:szCs w:val="30"/>
        </w:rPr>
        <w:t>。</w:t>
      </w:r>
    </w:p>
    <w:p>
      <w:pPr>
        <w:keepNext w:val="0"/>
        <w:keepLines w:val="0"/>
        <w:pageBreakBefore w:val="0"/>
        <w:widowControl w:val="0"/>
        <w:kinsoku/>
        <w:wordWrap/>
        <w:overflowPunct/>
        <w:topLinePunct w:val="0"/>
        <w:autoSpaceDE/>
        <w:autoSpaceDN/>
        <w:bidi w:val="0"/>
        <w:adjustRightInd/>
        <w:snapToGrid/>
        <w:spacing w:before="320" w:after="120" w:line="288" w:lineRule="auto"/>
        <w:ind w:left="0"/>
        <w:jc w:val="both"/>
        <w:outlineLvl w:val="1"/>
        <w:rPr>
          <w:rFonts w:hint="eastAsia" w:ascii="楷体_GB2312" w:hAnsi="楷体_GB2312" w:eastAsia="楷体_GB2312" w:cs="楷体_GB2312"/>
          <w:sz w:val="30"/>
          <w:szCs w:val="30"/>
        </w:rPr>
      </w:pPr>
      <w:bookmarkStart w:id="9" w:name="heading_18"/>
      <w:r>
        <w:rPr>
          <w:rFonts w:hint="eastAsia" w:ascii="楷体_GB2312" w:hAnsi="楷体_GB2312" w:eastAsia="楷体_GB2312" w:cs="楷体_GB2312"/>
          <w:b/>
          <w:sz w:val="30"/>
          <w:szCs w:val="30"/>
          <w:lang w:eastAsia="zh-CN"/>
        </w:rPr>
        <w:t>（</w:t>
      </w:r>
      <w:r>
        <w:rPr>
          <w:rFonts w:hint="eastAsia" w:ascii="楷体_GB2312" w:hAnsi="楷体_GB2312" w:eastAsia="楷体_GB2312" w:cs="楷体_GB2312"/>
          <w:b/>
          <w:sz w:val="30"/>
          <w:szCs w:val="30"/>
          <w:lang w:val="en-US" w:eastAsia="zh-CN"/>
        </w:rPr>
        <w:t>四）</w:t>
      </w:r>
      <w:r>
        <w:rPr>
          <w:rFonts w:hint="eastAsia" w:ascii="楷体_GB2312" w:hAnsi="楷体_GB2312" w:eastAsia="楷体_GB2312" w:cs="楷体_GB2312"/>
          <w:b/>
          <w:sz w:val="30"/>
          <w:szCs w:val="30"/>
        </w:rPr>
        <w:t>业委会规范化运作类工单分析</w:t>
      </w:r>
      <w:bookmarkEnd w:id="9"/>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仿宋_GB2312" w:hAnsi="仿宋_GB2312" w:eastAsia="仿宋_GB2312" w:cs="仿宋_GB2312"/>
          <w:sz w:val="30"/>
          <w:szCs w:val="30"/>
        </w:rPr>
      </w:pPr>
      <w:bookmarkStart w:id="10" w:name="heading_19"/>
      <w:r>
        <w:rPr>
          <w:rFonts w:hint="eastAsia" w:ascii="仿宋_GB2312" w:hAnsi="仿宋_GB2312" w:eastAsia="仿宋_GB2312" w:cs="仿宋_GB2312"/>
          <w:b/>
          <w:sz w:val="30"/>
          <w:szCs w:val="30"/>
          <w:lang w:val="en-US" w:eastAsia="zh-CN"/>
        </w:rPr>
        <w:t>1.</w:t>
      </w:r>
      <w:r>
        <w:rPr>
          <w:rFonts w:hint="eastAsia" w:ascii="仿宋_GB2312" w:hAnsi="仿宋_GB2312" w:eastAsia="仿宋_GB2312" w:cs="仿宋_GB2312"/>
          <w:b/>
          <w:sz w:val="30"/>
          <w:szCs w:val="30"/>
        </w:rPr>
        <w:t xml:space="preserve"> 工单特征分析</w:t>
      </w:r>
      <w:bookmarkEnd w:id="10"/>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highlight w:val="yellow"/>
          <w:lang w:eastAsia="zh-CN"/>
        </w:rPr>
      </w:pPr>
      <w:r>
        <w:rPr>
          <w:rFonts w:hint="eastAsia" w:ascii="仿宋_GB2312" w:hAnsi="仿宋_GB2312" w:eastAsia="仿宋_GB2312" w:cs="仿宋_GB2312"/>
          <w:sz w:val="30"/>
          <w:szCs w:val="30"/>
        </w:rPr>
        <w:t>2025年</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业委会规范化运作类工单1096件，占全年工单总量的8.71%，</w:t>
      </w:r>
      <w:r>
        <w:rPr>
          <w:rFonts w:hint="eastAsia" w:ascii="仿宋_GB2312" w:hAnsi="仿宋_GB2312" w:eastAsia="仿宋_GB2312" w:cs="仿宋_GB2312"/>
          <w:sz w:val="30"/>
          <w:szCs w:val="30"/>
          <w:lang w:eastAsia="zh-CN"/>
        </w:rPr>
        <w:t>较</w:t>
      </w:r>
      <w:r>
        <w:rPr>
          <w:rFonts w:hint="eastAsia" w:ascii="仿宋_GB2312" w:hAnsi="仿宋_GB2312" w:eastAsia="仿宋_GB2312" w:cs="仿宋_GB2312"/>
          <w:sz w:val="30"/>
          <w:szCs w:val="30"/>
          <w:lang w:val="en-US" w:eastAsia="zh-CN"/>
        </w:rPr>
        <w:t>2024年</w:t>
      </w:r>
      <w:r>
        <w:rPr>
          <w:rFonts w:hint="eastAsia" w:ascii="仿宋_GB2312" w:hAnsi="仿宋_GB2312" w:eastAsia="仿宋_GB2312" w:cs="仿宋_GB2312"/>
          <w:sz w:val="30"/>
          <w:szCs w:val="30"/>
        </w:rPr>
        <w:t>同比下降19.53%。从子类分布看，业委会日常工作443件，同比</w:t>
      </w:r>
      <w:r>
        <w:rPr>
          <w:rFonts w:hint="eastAsia" w:ascii="仿宋_GB2312" w:hAnsi="仿宋_GB2312" w:eastAsia="仿宋_GB2312" w:cs="仿宋_GB2312"/>
          <w:sz w:val="30"/>
          <w:szCs w:val="30"/>
          <w:lang w:eastAsia="zh-CN"/>
        </w:rPr>
        <w:t>下降</w:t>
      </w:r>
      <w:r>
        <w:rPr>
          <w:rFonts w:hint="eastAsia" w:ascii="仿宋_GB2312" w:hAnsi="仿宋_GB2312" w:eastAsia="仿宋_GB2312" w:cs="仿宋_GB2312"/>
          <w:sz w:val="30"/>
          <w:szCs w:val="30"/>
        </w:rPr>
        <w:t>0.45%）、业委会组建换届435件，同比</w:t>
      </w:r>
      <w:r>
        <w:rPr>
          <w:rFonts w:hint="eastAsia" w:ascii="仿宋_GB2312" w:hAnsi="仿宋_GB2312" w:eastAsia="仿宋_GB2312" w:cs="仿宋_GB2312"/>
          <w:sz w:val="30"/>
          <w:szCs w:val="30"/>
          <w:lang w:eastAsia="zh-CN"/>
        </w:rPr>
        <w:t>下降</w:t>
      </w:r>
      <w:r>
        <w:rPr>
          <w:rFonts w:hint="eastAsia" w:ascii="仿宋_GB2312" w:hAnsi="仿宋_GB2312" w:eastAsia="仿宋_GB2312" w:cs="仿宋_GB2312"/>
          <w:sz w:val="30"/>
          <w:szCs w:val="30"/>
        </w:rPr>
        <w:t>32.66%）、物业选续聘114件，同比</w:t>
      </w:r>
      <w:r>
        <w:rPr>
          <w:rFonts w:hint="eastAsia" w:ascii="仿宋_GB2312" w:hAnsi="仿宋_GB2312" w:eastAsia="仿宋_GB2312" w:cs="仿宋_GB2312"/>
          <w:sz w:val="30"/>
          <w:szCs w:val="30"/>
          <w:lang w:eastAsia="zh-CN"/>
        </w:rPr>
        <w:t>下降</w:t>
      </w:r>
      <w:r>
        <w:rPr>
          <w:rFonts w:hint="eastAsia" w:ascii="仿宋_GB2312" w:hAnsi="仿宋_GB2312" w:eastAsia="仿宋_GB2312" w:cs="仿宋_GB2312"/>
          <w:sz w:val="30"/>
          <w:szCs w:val="30"/>
        </w:rPr>
        <w:t>30.49%）、业委会监管104件，同比</w:t>
      </w:r>
      <w:r>
        <w:rPr>
          <w:rFonts w:hint="eastAsia" w:ascii="仿宋_GB2312" w:hAnsi="仿宋_GB2312" w:eastAsia="仿宋_GB2312" w:cs="仿宋_GB2312"/>
          <w:sz w:val="30"/>
          <w:szCs w:val="30"/>
          <w:lang w:eastAsia="zh-CN"/>
        </w:rPr>
        <w:t>下降</w:t>
      </w:r>
      <w:r>
        <w:rPr>
          <w:rFonts w:hint="eastAsia" w:ascii="仿宋_GB2312" w:hAnsi="仿宋_GB2312" w:eastAsia="仿宋_GB2312" w:cs="仿宋_GB2312"/>
          <w:sz w:val="30"/>
          <w:szCs w:val="30"/>
        </w:rPr>
        <w:t>2.80%</w:t>
      </w:r>
      <w:r>
        <w:rPr>
          <w:rFonts w:hint="eastAsia" w:ascii="仿宋_GB2312" w:hAnsi="仿宋_GB2312" w:eastAsia="仿宋_GB2312" w:cs="仿宋_GB2312"/>
          <w:sz w:val="30"/>
          <w:szCs w:val="30"/>
          <w:lang w:eastAsia="zh-CN"/>
        </w:rPr>
        <w:t>。</w:t>
      </w:r>
    </w:p>
    <w:p>
      <w:pPr>
        <w:keepNext w:val="0"/>
        <w:keepLines w:val="0"/>
        <w:pageBreakBefore w:val="0"/>
        <w:widowControl w:val="0"/>
        <w:kinsoku/>
        <w:wordWrap/>
        <w:overflowPunct/>
        <w:topLinePunct w:val="0"/>
        <w:autoSpaceDE/>
        <w:autoSpaceDN/>
        <w:bidi w:val="0"/>
        <w:adjustRightInd/>
        <w:snapToGrid/>
        <w:spacing w:before="120" w:after="120" w:line="288" w:lineRule="auto"/>
        <w:ind w:left="0" w:firstLine="0" w:firstLineChars="0"/>
        <w:jc w:val="both"/>
        <w:rPr>
          <w:rFonts w:hint="eastAsia" w:ascii="仿宋_GB2312" w:hAnsi="仿宋_GB2312" w:eastAsia="仿宋_GB2312" w:cs="仿宋_GB2312"/>
          <w:b/>
          <w:bCs/>
          <w:color w:val="1C4A83"/>
          <w:kern w:val="0"/>
          <w:sz w:val="30"/>
          <w:szCs w:val="30"/>
        </w:rPr>
      </w:pPr>
      <w:r>
        <w:rPr>
          <w:rFonts w:hint="eastAsia" w:ascii="仿宋_GB2312" w:hAnsi="仿宋_GB2312" w:eastAsia="仿宋_GB2312" w:cs="仿宋_GB2312"/>
          <w:b/>
          <w:bCs/>
          <w:color w:val="1C4A83"/>
          <w:kern w:val="0"/>
          <w:sz w:val="30"/>
          <w:szCs w:val="30"/>
        </w:rPr>
        <w:drawing>
          <wp:inline distT="0" distB="0" distL="114300" distR="114300">
            <wp:extent cx="5214620" cy="2750820"/>
            <wp:effectExtent l="0" t="0" r="5080" b="11430"/>
            <wp:docPr id="28" name="图片 10" descr="9282e65a-c0c6-437b-8932-58ac0d609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descr="9282e65a-c0c6-437b-8932-58ac0d60992b"/>
                    <pic:cNvPicPr>
                      <a:picLocks noChangeAspect="1"/>
                    </pic:cNvPicPr>
                  </pic:nvPicPr>
                  <pic:blipFill>
                    <a:blip r:embed="rId15"/>
                    <a:stretch>
                      <a:fillRect/>
                    </a:stretch>
                  </pic:blipFill>
                  <pic:spPr>
                    <a:xfrm>
                      <a:off x="0" y="0"/>
                      <a:ext cx="5214620" cy="2750820"/>
                    </a:xfrm>
                    <a:prstGeom prst="rect">
                      <a:avLst/>
                    </a:prstGeom>
                    <a:noFill/>
                    <a:ln w="9525" cap="flat" cmpd="sng">
                      <a:noFill/>
                      <a:prstDash val="solid"/>
                      <a:miter/>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b/>
          <w:bCs/>
          <w:sz w:val="30"/>
          <w:szCs w:val="30"/>
          <w:lang w:val="en-US" w:eastAsia="zh-CN"/>
        </w:rPr>
        <w:t>9</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业委会规范化运作类工单诉求分布）</w:t>
      </w:r>
    </w:p>
    <w:p>
      <w:pPr>
        <w:pStyle w:val="8"/>
        <w:keepNext w:val="0"/>
        <w:keepLines w:val="0"/>
        <w:pageBreakBefore w:val="0"/>
        <w:widowControl w:val="0"/>
        <w:kinsoku/>
        <w:wordWrap/>
        <w:overflowPunct/>
        <w:topLinePunct w:val="0"/>
        <w:autoSpaceDE/>
        <w:autoSpaceDN/>
        <w:bidi w:val="0"/>
        <w:adjustRightInd/>
        <w:snapToGrid/>
        <w:ind w:left="0" w:leftChars="0" w:firstLine="0" w:firstLineChars="0"/>
        <w:jc w:val="center"/>
      </w:pPr>
    </w:p>
    <w:p>
      <w:pPr>
        <w:pStyle w:val="8"/>
        <w:keepNext w:val="0"/>
        <w:keepLines w:val="0"/>
        <w:pageBreakBefore w:val="0"/>
        <w:widowControl w:val="0"/>
        <w:kinsoku/>
        <w:wordWrap/>
        <w:overflowPunct/>
        <w:topLinePunct w:val="0"/>
        <w:autoSpaceDE/>
        <w:autoSpaceDN/>
        <w:bidi w:val="0"/>
        <w:adjustRightInd/>
        <w:snapToGrid/>
        <w:ind w:left="0" w:leftChars="0" w:firstLine="0" w:firstLineChars="0"/>
        <w:jc w:val="center"/>
        <w:rPr>
          <w:rFonts w:hint="eastAsia" w:ascii="仿宋_GB2312" w:hAnsi="仿宋_GB2312" w:eastAsia="仿宋_GB2312" w:cs="仿宋_GB2312"/>
          <w:sz w:val="30"/>
          <w:szCs w:val="30"/>
        </w:rPr>
      </w:pPr>
      <w:r>
        <w:drawing>
          <wp:inline distT="0" distB="0" distL="114300" distR="114300">
            <wp:extent cx="6209030" cy="3266440"/>
            <wp:effectExtent l="0" t="0" r="13970" b="1016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6"/>
                    <a:stretch>
                      <a:fillRect/>
                    </a:stretch>
                  </pic:blipFill>
                  <pic:spPr>
                    <a:xfrm>
                      <a:off x="0" y="0"/>
                      <a:ext cx="6209030" cy="32664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b/>
          <w:bCs/>
          <w:sz w:val="30"/>
          <w:szCs w:val="30"/>
          <w:lang w:val="en-US" w:eastAsia="zh-CN"/>
        </w:rPr>
        <w:t>10</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业委会规范化运作类工单诉求</w:t>
      </w:r>
      <w:r>
        <w:rPr>
          <w:rFonts w:hint="eastAsia" w:ascii="仿宋_GB2312" w:hAnsi="仿宋_GB2312" w:eastAsia="仿宋_GB2312" w:cs="仿宋_GB2312"/>
          <w:sz w:val="30"/>
          <w:szCs w:val="30"/>
          <w:lang w:val="en-US" w:eastAsia="zh-CN"/>
        </w:rPr>
        <w:t>月度情况</w:t>
      </w:r>
      <w:r>
        <w:rPr>
          <w:rFonts w:hint="eastAsia" w:ascii="仿宋_GB2312" w:hAnsi="仿宋_GB2312" w:eastAsia="仿宋_GB2312" w:cs="仿宋_GB2312"/>
          <w:sz w:val="30"/>
          <w:szCs w:val="30"/>
        </w:rPr>
        <w:t>）</w:t>
      </w:r>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仿宋_GB2312" w:hAnsi="仿宋_GB2312" w:eastAsia="仿宋_GB2312" w:cs="仿宋_GB2312"/>
          <w:sz w:val="30"/>
          <w:szCs w:val="30"/>
        </w:rPr>
      </w:pPr>
      <w:bookmarkStart w:id="11" w:name="heading_20"/>
      <w:r>
        <w:rPr>
          <w:rFonts w:hint="eastAsia" w:ascii="仿宋_GB2312" w:hAnsi="仿宋_GB2312" w:eastAsia="仿宋_GB2312" w:cs="仿宋_GB2312"/>
          <w:b/>
          <w:sz w:val="30"/>
          <w:szCs w:val="30"/>
        </w:rPr>
        <w:t>2.</w:t>
      </w:r>
      <w:bookmarkEnd w:id="11"/>
      <w:r>
        <w:rPr>
          <w:rFonts w:hint="eastAsia" w:ascii="仿宋_GB2312" w:hAnsi="仿宋_GB2312" w:eastAsia="仿宋_GB2312" w:cs="仿宋_GB2312"/>
          <w:b/>
          <w:sz w:val="30"/>
          <w:szCs w:val="30"/>
          <w:lang w:val="en-US" w:eastAsia="zh-CN"/>
        </w:rPr>
        <w:t>原因分析及改进措施</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highlight w:val="yellow"/>
          <w:lang w:val="en-US" w:eastAsia="zh-CN"/>
        </w:rPr>
      </w:pPr>
      <w:r>
        <w:rPr>
          <w:rFonts w:hint="eastAsia" w:ascii="仿宋_GB2312" w:hAnsi="仿宋_GB2312" w:eastAsia="仿宋_GB2312" w:cs="仿宋_GB2312"/>
          <w:b/>
          <w:bCs/>
          <w:sz w:val="30"/>
          <w:szCs w:val="30"/>
          <w:highlight w:val="none"/>
          <w:shd w:val="clear" w:fill="FFFFFF" w:themeFill="background1"/>
          <w:lang w:eastAsia="zh-CN"/>
        </w:rPr>
        <w:t>（</w:t>
      </w:r>
      <w:r>
        <w:rPr>
          <w:rFonts w:hint="eastAsia" w:ascii="仿宋_GB2312" w:hAnsi="仿宋_GB2312" w:eastAsia="仿宋_GB2312" w:cs="仿宋_GB2312"/>
          <w:b/>
          <w:bCs/>
          <w:sz w:val="30"/>
          <w:szCs w:val="30"/>
          <w:highlight w:val="none"/>
          <w:shd w:val="clear" w:fill="FFFFFF" w:themeFill="background1"/>
          <w:lang w:val="en-US" w:eastAsia="zh-CN"/>
        </w:rPr>
        <w:t>1</w:t>
      </w:r>
      <w:r>
        <w:rPr>
          <w:rFonts w:hint="eastAsia" w:ascii="仿宋_GB2312" w:hAnsi="仿宋_GB2312" w:eastAsia="仿宋_GB2312" w:cs="仿宋_GB2312"/>
          <w:b/>
          <w:bCs/>
          <w:sz w:val="30"/>
          <w:szCs w:val="30"/>
          <w:highlight w:val="none"/>
          <w:shd w:val="clear" w:fill="FFFFFF" w:themeFill="background1"/>
          <w:lang w:eastAsia="zh-CN"/>
        </w:rPr>
        <w:t>）换届改选期间集中投诉依然存在。</w:t>
      </w:r>
      <w:r>
        <w:rPr>
          <w:rFonts w:hint="eastAsia" w:ascii="仿宋_GB2312" w:hAnsi="仿宋_GB2312" w:eastAsia="仿宋_GB2312" w:cs="仿宋_GB2312"/>
          <w:sz w:val="30"/>
          <w:szCs w:val="30"/>
          <w:highlight w:val="none"/>
          <w:shd w:val="clear" w:fill="FFFFFF" w:themeFill="background1"/>
          <w:lang w:eastAsia="zh-CN"/>
        </w:rPr>
        <w:t>虽然</w:t>
      </w:r>
      <w:r>
        <w:rPr>
          <w:rFonts w:hint="eastAsia" w:ascii="仿宋_GB2312" w:hAnsi="仿宋_GB2312" w:eastAsia="仿宋_GB2312" w:cs="仿宋_GB2312"/>
          <w:sz w:val="30"/>
          <w:szCs w:val="30"/>
          <w:highlight w:val="none"/>
          <w:shd w:val="clear" w:fill="FFFFFF" w:themeFill="background1"/>
          <w:lang w:val="en-US" w:eastAsia="zh-CN"/>
        </w:rPr>
        <w:t>2025年换届改选的工单总量有所下降，但主要原因是业委会换届的数量大幅降低，换届改选过程中的矛盾仍然突出，集中投诉的情况依然存在。</w:t>
      </w:r>
      <w:r>
        <w:rPr>
          <w:rFonts w:hint="eastAsia" w:ascii="仿宋_GB2312" w:hAnsi="仿宋_GB2312" w:eastAsia="仿宋_GB2312" w:cs="仿宋_GB2312"/>
          <w:b/>
          <w:bCs/>
          <w:sz w:val="30"/>
          <w:szCs w:val="30"/>
          <w:highlight w:val="none"/>
          <w:shd w:val="clear" w:fill="FFFFFF" w:themeFill="background1"/>
          <w:lang w:val="en-US" w:eastAsia="zh-CN"/>
        </w:rPr>
        <w:t>改进措施</w:t>
      </w:r>
      <w:r>
        <w:rPr>
          <w:rFonts w:hint="eastAsia" w:ascii="仿宋_GB2312" w:hAnsi="仿宋_GB2312" w:eastAsia="仿宋_GB2312" w:cs="仿宋_GB2312"/>
          <w:sz w:val="30"/>
          <w:szCs w:val="30"/>
          <w:highlight w:val="none"/>
          <w:shd w:val="clear" w:fill="FFFFFF" w:themeFill="background1"/>
          <w:lang w:val="en-US" w:eastAsia="zh-CN"/>
        </w:rPr>
        <w:t>：换届改选小组在组织换届改选的同时要注重化解小区存在的矛盾问题，矛盾化解后才能确保换届改选平顺进行。在委员候选人的推荐上要确保公平公正公开，意见征询要全面充分。</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lang w:eastAsia="zh-CN"/>
        </w:rPr>
      </w:pPr>
      <w:r>
        <w:rPr>
          <w:rFonts w:hint="eastAsia" w:ascii="仿宋_GB2312" w:hAnsi="仿宋_GB2312" w:eastAsia="仿宋_GB2312" w:cs="仿宋_GB2312"/>
          <w:b/>
          <w:bCs/>
          <w:sz w:val="30"/>
          <w:szCs w:val="30"/>
          <w:lang w:eastAsia="zh-CN"/>
        </w:rPr>
        <w:t>（</w:t>
      </w:r>
      <w:r>
        <w:rPr>
          <w:rFonts w:hint="eastAsia" w:ascii="仿宋_GB2312" w:hAnsi="仿宋_GB2312" w:eastAsia="仿宋_GB2312" w:cs="仿宋_GB2312"/>
          <w:b/>
          <w:bCs/>
          <w:sz w:val="30"/>
          <w:szCs w:val="30"/>
          <w:lang w:val="en-US" w:eastAsia="zh-CN"/>
        </w:rPr>
        <w:t>2</w:t>
      </w:r>
      <w:r>
        <w:rPr>
          <w:rFonts w:hint="eastAsia" w:ascii="仿宋_GB2312" w:hAnsi="仿宋_GB2312" w:eastAsia="仿宋_GB2312" w:cs="仿宋_GB2312"/>
          <w:b/>
          <w:bCs/>
          <w:sz w:val="30"/>
          <w:szCs w:val="30"/>
          <w:lang w:eastAsia="zh-CN"/>
        </w:rPr>
        <w:t>）</w:t>
      </w:r>
      <w:r>
        <w:rPr>
          <w:rFonts w:hint="eastAsia" w:ascii="仿宋_GB2312" w:hAnsi="仿宋_GB2312" w:eastAsia="仿宋_GB2312" w:cs="仿宋_GB2312"/>
          <w:b/>
          <w:bCs/>
          <w:sz w:val="30"/>
          <w:szCs w:val="30"/>
        </w:rPr>
        <w:t>规范</w:t>
      </w:r>
      <w:r>
        <w:rPr>
          <w:rFonts w:hint="eastAsia" w:ascii="仿宋_GB2312" w:hAnsi="仿宋_GB2312" w:eastAsia="仿宋_GB2312" w:cs="仿宋_GB2312"/>
          <w:b/>
          <w:bCs/>
          <w:sz w:val="30"/>
          <w:szCs w:val="30"/>
          <w:lang w:eastAsia="zh-CN"/>
        </w:rPr>
        <w:t>化</w:t>
      </w:r>
      <w:r>
        <w:rPr>
          <w:rFonts w:hint="eastAsia" w:ascii="仿宋_GB2312" w:hAnsi="仿宋_GB2312" w:eastAsia="仿宋_GB2312" w:cs="仿宋_GB2312"/>
          <w:b/>
          <w:bCs/>
          <w:sz w:val="30"/>
          <w:szCs w:val="30"/>
        </w:rPr>
        <w:t>运作</w:t>
      </w:r>
      <w:r>
        <w:rPr>
          <w:rFonts w:hint="eastAsia" w:ascii="仿宋_GB2312" w:hAnsi="仿宋_GB2312" w:eastAsia="仿宋_GB2312" w:cs="仿宋_GB2312"/>
          <w:b/>
          <w:bCs/>
          <w:sz w:val="30"/>
          <w:szCs w:val="30"/>
          <w:lang w:eastAsia="zh-CN"/>
        </w:rPr>
        <w:t>存在</w:t>
      </w:r>
      <w:r>
        <w:rPr>
          <w:rFonts w:hint="eastAsia" w:ascii="仿宋_GB2312" w:hAnsi="仿宋_GB2312" w:eastAsia="仿宋_GB2312" w:cs="仿宋_GB2312"/>
          <w:b/>
          <w:bCs/>
          <w:sz w:val="30"/>
          <w:szCs w:val="30"/>
        </w:rPr>
        <w:t>短板</w:t>
      </w:r>
      <w:r>
        <w:rPr>
          <w:rFonts w:hint="eastAsia" w:ascii="仿宋_GB2312" w:hAnsi="仿宋_GB2312" w:eastAsia="仿宋_GB2312" w:cs="仿宋_GB2312"/>
          <w:sz w:val="30"/>
          <w:szCs w:val="30"/>
        </w:rPr>
        <w:t>。部分业委会</w:t>
      </w:r>
      <w:r>
        <w:rPr>
          <w:rFonts w:hint="eastAsia" w:ascii="仿宋_GB2312" w:hAnsi="仿宋_GB2312" w:eastAsia="仿宋_GB2312" w:cs="仿宋_GB2312"/>
          <w:sz w:val="30"/>
          <w:szCs w:val="30"/>
          <w:lang w:eastAsia="zh-CN"/>
        </w:rPr>
        <w:t>仍然</w:t>
      </w:r>
      <w:r>
        <w:rPr>
          <w:rFonts w:hint="eastAsia" w:ascii="仿宋_GB2312" w:hAnsi="仿宋_GB2312" w:eastAsia="仿宋_GB2312" w:cs="仿宋_GB2312"/>
          <w:sz w:val="30"/>
          <w:szCs w:val="30"/>
        </w:rPr>
        <w:t>存在决策流程不规范、</w:t>
      </w:r>
      <w:r>
        <w:rPr>
          <w:rFonts w:hint="eastAsia" w:ascii="仿宋_GB2312" w:hAnsi="仿宋_GB2312" w:eastAsia="仿宋_GB2312" w:cs="仿宋_GB2312"/>
          <w:sz w:val="30"/>
          <w:szCs w:val="30"/>
          <w:lang w:eastAsia="zh-CN"/>
        </w:rPr>
        <w:t>决策事项</w:t>
      </w:r>
      <w:r>
        <w:rPr>
          <w:rFonts w:hint="eastAsia" w:ascii="仿宋_GB2312" w:hAnsi="仿宋_GB2312" w:eastAsia="仿宋_GB2312" w:cs="仿宋_GB2312"/>
          <w:sz w:val="30"/>
          <w:szCs w:val="30"/>
        </w:rPr>
        <w:t>不公开、公共收益收支明细</w:t>
      </w:r>
      <w:r>
        <w:rPr>
          <w:rFonts w:hint="eastAsia" w:ascii="仿宋_GB2312" w:hAnsi="仿宋_GB2312" w:eastAsia="仿宋_GB2312" w:cs="仿宋_GB2312"/>
          <w:sz w:val="30"/>
          <w:szCs w:val="30"/>
          <w:lang w:eastAsia="zh-CN"/>
        </w:rPr>
        <w:t>不全</w:t>
      </w:r>
      <w:r>
        <w:rPr>
          <w:rFonts w:hint="eastAsia" w:ascii="仿宋_GB2312" w:hAnsi="仿宋_GB2312" w:eastAsia="仿宋_GB2312" w:cs="仿宋_GB2312"/>
          <w:sz w:val="30"/>
          <w:szCs w:val="30"/>
        </w:rPr>
        <w:t>等问题</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b/>
          <w:bCs/>
          <w:sz w:val="30"/>
          <w:szCs w:val="30"/>
          <w:lang w:eastAsia="zh-CN"/>
        </w:rPr>
        <w:t>改进措施</w:t>
      </w:r>
      <w:r>
        <w:rPr>
          <w:rFonts w:hint="eastAsia" w:ascii="仿宋_GB2312" w:hAnsi="仿宋_GB2312" w:eastAsia="仿宋_GB2312" w:cs="仿宋_GB2312"/>
          <w:sz w:val="30"/>
          <w:szCs w:val="30"/>
          <w:lang w:eastAsia="zh-CN"/>
        </w:rPr>
        <w:t>：加大业委会的教育培训，对能力较弱的业委会及时选配业委会执行秘书，属地居委要主动介入业委会的日常工作，对重大决策事项要加大指导力度。业委会规范化运作评价要进一步贴近实际。</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b/>
          <w:bCs/>
          <w:sz w:val="30"/>
          <w:szCs w:val="30"/>
          <w:lang w:eastAsia="zh-CN"/>
        </w:rPr>
        <w:t>（</w:t>
      </w:r>
      <w:r>
        <w:rPr>
          <w:rFonts w:hint="eastAsia" w:ascii="仿宋_GB2312" w:hAnsi="仿宋_GB2312" w:eastAsia="仿宋_GB2312" w:cs="仿宋_GB2312"/>
          <w:b/>
          <w:bCs/>
          <w:sz w:val="30"/>
          <w:szCs w:val="30"/>
          <w:lang w:val="en-US" w:eastAsia="zh-CN"/>
        </w:rPr>
        <w:t>3</w:t>
      </w:r>
      <w:r>
        <w:rPr>
          <w:rFonts w:hint="eastAsia" w:ascii="仿宋_GB2312" w:hAnsi="仿宋_GB2312" w:eastAsia="仿宋_GB2312" w:cs="仿宋_GB2312"/>
          <w:b/>
          <w:bCs/>
          <w:sz w:val="30"/>
          <w:szCs w:val="30"/>
          <w:lang w:eastAsia="zh-CN"/>
        </w:rPr>
        <w:t>）物业</w:t>
      </w:r>
      <w:r>
        <w:rPr>
          <w:rFonts w:hint="eastAsia" w:ascii="仿宋_GB2312" w:hAnsi="仿宋_GB2312" w:eastAsia="仿宋_GB2312" w:cs="仿宋_GB2312"/>
          <w:b/>
          <w:bCs/>
          <w:sz w:val="30"/>
          <w:szCs w:val="30"/>
        </w:rPr>
        <w:t>选</w:t>
      </w:r>
      <w:r>
        <w:rPr>
          <w:rFonts w:hint="eastAsia" w:ascii="仿宋_GB2312" w:hAnsi="仿宋_GB2312" w:eastAsia="仿宋_GB2312" w:cs="仿宋_GB2312"/>
          <w:b/>
          <w:bCs/>
          <w:sz w:val="30"/>
          <w:szCs w:val="30"/>
          <w:lang w:eastAsia="zh-CN"/>
        </w:rPr>
        <w:t>（续）</w:t>
      </w:r>
      <w:r>
        <w:rPr>
          <w:rFonts w:hint="eastAsia" w:ascii="仿宋_GB2312" w:hAnsi="仿宋_GB2312" w:eastAsia="仿宋_GB2312" w:cs="仿宋_GB2312"/>
          <w:b/>
          <w:bCs/>
          <w:sz w:val="30"/>
          <w:szCs w:val="30"/>
        </w:rPr>
        <w:t>聘</w:t>
      </w:r>
      <w:r>
        <w:rPr>
          <w:rFonts w:hint="eastAsia" w:ascii="仿宋_GB2312" w:hAnsi="仿宋_GB2312" w:eastAsia="仿宋_GB2312" w:cs="仿宋_GB2312"/>
          <w:b/>
          <w:bCs/>
          <w:sz w:val="30"/>
          <w:szCs w:val="30"/>
          <w:lang w:eastAsia="zh-CN"/>
        </w:rPr>
        <w:t>存在不规范</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lang w:eastAsia="zh-CN"/>
        </w:rPr>
        <w:t>随着近年来经济形势的下滑，以及我区各类奖励补贴的提升，物业企业撬盘的频次有所增加，引发了物业选（续）聘过程中的不稳定因素。</w:t>
      </w:r>
      <w:r>
        <w:rPr>
          <w:rFonts w:hint="eastAsia" w:ascii="仿宋_GB2312" w:hAnsi="仿宋_GB2312" w:eastAsia="仿宋_GB2312" w:cs="仿宋_GB2312"/>
          <w:b/>
          <w:bCs/>
          <w:sz w:val="30"/>
          <w:szCs w:val="30"/>
          <w:lang w:eastAsia="zh-CN"/>
        </w:rPr>
        <w:t>改进措施</w:t>
      </w:r>
      <w:r>
        <w:rPr>
          <w:rFonts w:hint="eastAsia" w:ascii="仿宋_GB2312" w:hAnsi="仿宋_GB2312" w:eastAsia="仿宋_GB2312" w:cs="仿宋_GB2312"/>
          <w:sz w:val="30"/>
          <w:szCs w:val="30"/>
          <w:lang w:eastAsia="zh-CN"/>
        </w:rPr>
        <w:t>：街镇房管机构要加大小区物业选（续）聘工作的指导监督力度，要在流程启动时提前介入，避免业委会操作流程的不规范</w:t>
      </w:r>
      <w:r>
        <w:rPr>
          <w:rFonts w:hint="eastAsia" w:ascii="仿宋_GB2312" w:hAnsi="仿宋_GB2312" w:eastAsia="仿宋_GB2312" w:cs="仿宋_GB2312"/>
          <w:sz w:val="30"/>
          <w:szCs w:val="30"/>
        </w:rPr>
        <w:t>引发</w:t>
      </w:r>
      <w:r>
        <w:rPr>
          <w:rFonts w:hint="eastAsia" w:ascii="仿宋_GB2312" w:hAnsi="仿宋_GB2312" w:eastAsia="仿宋_GB2312" w:cs="仿宋_GB2312"/>
          <w:sz w:val="30"/>
          <w:szCs w:val="30"/>
          <w:lang w:eastAsia="zh-CN"/>
        </w:rPr>
        <w:t>居民的集中</w:t>
      </w:r>
      <w:r>
        <w:rPr>
          <w:rFonts w:hint="eastAsia" w:ascii="仿宋_GB2312" w:hAnsi="仿宋_GB2312" w:eastAsia="仿宋_GB2312" w:cs="仿宋_GB2312"/>
          <w:sz w:val="30"/>
          <w:szCs w:val="30"/>
        </w:rPr>
        <w:t>投诉。</w:t>
      </w:r>
    </w:p>
    <w:p>
      <w:pPr>
        <w:keepNext w:val="0"/>
        <w:keepLines w:val="0"/>
        <w:pageBreakBefore w:val="0"/>
        <w:widowControl w:val="0"/>
        <w:kinsoku/>
        <w:wordWrap/>
        <w:overflowPunct/>
        <w:topLinePunct w:val="0"/>
        <w:autoSpaceDE/>
        <w:autoSpaceDN/>
        <w:bidi w:val="0"/>
        <w:adjustRightInd/>
        <w:snapToGrid/>
        <w:spacing w:before="380" w:after="140" w:line="288" w:lineRule="auto"/>
        <w:ind w:left="0"/>
        <w:jc w:val="both"/>
        <w:outlineLvl w:val="0"/>
        <w:rPr>
          <w:rFonts w:hint="eastAsia" w:ascii="黑体" w:hAnsi="黑体" w:eastAsia="黑体" w:cs="黑体"/>
          <w:sz w:val="30"/>
          <w:szCs w:val="30"/>
        </w:rPr>
      </w:pPr>
      <w:bookmarkStart w:id="12" w:name="heading_22"/>
      <w:r>
        <w:rPr>
          <w:rFonts w:hint="eastAsia" w:ascii="黑体" w:hAnsi="黑体" w:eastAsia="黑体" w:cs="黑体"/>
          <w:b/>
          <w:sz w:val="30"/>
          <w:szCs w:val="30"/>
          <w:lang w:val="en-US" w:eastAsia="zh-CN"/>
        </w:rPr>
        <w:t>二、</w:t>
      </w:r>
      <w:r>
        <w:rPr>
          <w:rFonts w:hint="eastAsia" w:ascii="黑体" w:hAnsi="黑体" w:eastAsia="黑体" w:cs="黑体"/>
          <w:b/>
          <w:sz w:val="30"/>
          <w:szCs w:val="30"/>
          <w:lang w:eastAsia="zh-CN"/>
        </w:rPr>
        <w:t>小区分布</w:t>
      </w:r>
      <w:r>
        <w:rPr>
          <w:rFonts w:hint="eastAsia" w:ascii="黑体" w:hAnsi="黑体" w:eastAsia="黑体" w:cs="黑体"/>
          <w:b/>
          <w:sz w:val="30"/>
          <w:szCs w:val="30"/>
        </w:rPr>
        <w:t>情况分析</w:t>
      </w:r>
      <w:bookmarkEnd w:id="12"/>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仿宋_GB2312" w:hAnsi="仿宋_GB2312" w:eastAsia="仿宋_GB2312" w:cs="仿宋_GB2312"/>
          <w:sz w:val="30"/>
          <w:szCs w:val="30"/>
        </w:rPr>
      </w:pPr>
      <w:bookmarkStart w:id="13" w:name="heading_24"/>
      <w:r>
        <w:rPr>
          <w:rFonts w:hint="eastAsia" w:ascii="仿宋_GB2312" w:hAnsi="仿宋_GB2312" w:eastAsia="仿宋_GB2312" w:cs="仿宋_GB2312"/>
          <w:b/>
          <w:sz w:val="30"/>
          <w:szCs w:val="30"/>
          <w:lang w:eastAsia="zh-CN"/>
        </w:rPr>
        <w:t>（</w:t>
      </w:r>
      <w:r>
        <w:rPr>
          <w:rFonts w:hint="eastAsia" w:ascii="仿宋_GB2312" w:hAnsi="仿宋_GB2312" w:eastAsia="仿宋_GB2312" w:cs="仿宋_GB2312"/>
          <w:b/>
          <w:sz w:val="30"/>
          <w:szCs w:val="30"/>
          <w:lang w:val="en-US" w:eastAsia="zh-CN"/>
        </w:rPr>
        <w:t>一）</w:t>
      </w:r>
      <w:r>
        <w:rPr>
          <w:rFonts w:hint="eastAsia" w:ascii="仿宋_GB2312" w:hAnsi="仿宋_GB2312" w:eastAsia="仿宋_GB2312" w:cs="仿宋_GB2312"/>
          <w:b/>
          <w:sz w:val="30"/>
          <w:szCs w:val="30"/>
        </w:rPr>
        <w:t>工单数量与密度排名</w:t>
      </w:r>
      <w:bookmarkEnd w:id="13"/>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2025年</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工单量排名前十的小区分别为：鑫桂苑·侨高中心（138件）、罗秀二村（126件）、日晖六村（117件）、悦汇长庭（115件）、尚海湾二期（110件）、华欣家园（110件）、馨宁公寓（101件）、园南一村（99件）、长桥四村（87件）、华泾绿苑（86件）。</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从密度来看，鑫桂苑·侨高中心（7.86%）、悦汇长庭（7.60%）、园南一村（7.28%）位列前三。诉求类型呈现明显差异化，老旧小区与新建小区突出问题存在显著不同。</w:t>
      </w:r>
    </w:p>
    <w:tbl>
      <w:tblPr>
        <w:tblStyle w:val="9"/>
        <w:tblW w:w="97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78"/>
        <w:gridCol w:w="1836"/>
        <w:gridCol w:w="1147"/>
        <w:gridCol w:w="1230"/>
        <w:gridCol w:w="990"/>
        <w:gridCol w:w="1170"/>
        <w:gridCol w:w="2575"/>
      </w:tblGrid>
      <w:tr>
        <w:trPr>
          <w:tblHeader/>
          <w:jc w:val="center"/>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b/>
                <w:i w:val="0"/>
                <w:iCs w:val="0"/>
                <w:color w:val="000000"/>
                <w:kern w:val="0"/>
                <w:sz w:val="30"/>
                <w:szCs w:val="30"/>
                <w:u w:val="none"/>
                <w:lang w:val="en-US" w:eastAsia="zh-CN"/>
              </w:rPr>
            </w:pPr>
            <w:r>
              <w:rPr>
                <w:rFonts w:hint="eastAsia" w:ascii="仿宋_GB2312" w:hAnsi="仿宋_GB2312" w:eastAsia="仿宋_GB2312" w:cs="仿宋_GB2312"/>
                <w:b/>
                <w:i w:val="0"/>
                <w:iCs w:val="0"/>
                <w:color w:val="000000"/>
                <w:kern w:val="0"/>
                <w:sz w:val="30"/>
                <w:szCs w:val="30"/>
                <w:u w:val="none"/>
                <w:lang w:val="en-US" w:eastAsia="zh-CN"/>
              </w:rPr>
              <w:t>序号</w:t>
            </w:r>
          </w:p>
        </w:tc>
        <w:tc>
          <w:tcPr>
            <w:tcW w:w="183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b/>
                <w:i w:val="0"/>
                <w:iCs w:val="0"/>
                <w:color w:val="000000"/>
                <w:sz w:val="30"/>
                <w:szCs w:val="30"/>
                <w:u w:val="none"/>
              </w:rPr>
            </w:pPr>
            <w:r>
              <w:rPr>
                <w:rFonts w:hint="eastAsia" w:ascii="仿宋_GB2312" w:hAnsi="仿宋_GB2312" w:eastAsia="仿宋_GB2312" w:cs="仿宋_GB2312"/>
                <w:b/>
                <w:i w:val="0"/>
                <w:iCs w:val="0"/>
                <w:color w:val="000000"/>
                <w:kern w:val="0"/>
                <w:sz w:val="30"/>
                <w:szCs w:val="30"/>
                <w:u w:val="none"/>
                <w:lang w:val="en-US" w:eastAsia="zh-CN"/>
              </w:rPr>
              <w:t>小区名</w:t>
            </w:r>
          </w:p>
        </w:tc>
        <w:tc>
          <w:tcPr>
            <w:tcW w:w="1147"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b/>
                <w:i w:val="0"/>
                <w:iCs w:val="0"/>
                <w:color w:val="000000"/>
                <w:sz w:val="30"/>
                <w:szCs w:val="30"/>
                <w:u w:val="none"/>
              </w:rPr>
            </w:pPr>
            <w:r>
              <w:rPr>
                <w:rFonts w:hint="eastAsia" w:ascii="仿宋_GB2312" w:hAnsi="仿宋_GB2312" w:eastAsia="仿宋_GB2312" w:cs="仿宋_GB2312"/>
                <w:b/>
                <w:i w:val="0"/>
                <w:iCs w:val="0"/>
                <w:color w:val="000000"/>
                <w:kern w:val="0"/>
                <w:sz w:val="30"/>
                <w:szCs w:val="30"/>
                <w:u w:val="none"/>
                <w:lang w:val="en-US" w:eastAsia="zh-CN"/>
              </w:rPr>
              <w:t>街道</w:t>
            </w:r>
          </w:p>
        </w:tc>
        <w:tc>
          <w:tcPr>
            <w:tcW w:w="1230"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b/>
                <w:i w:val="0"/>
                <w:iCs w:val="0"/>
                <w:color w:val="000000"/>
                <w:sz w:val="30"/>
                <w:szCs w:val="30"/>
                <w:u w:val="none"/>
              </w:rPr>
            </w:pPr>
            <w:r>
              <w:rPr>
                <w:rFonts w:hint="eastAsia" w:ascii="仿宋_GB2312" w:hAnsi="仿宋_GB2312" w:eastAsia="仿宋_GB2312" w:cs="仿宋_GB2312"/>
                <w:b/>
                <w:i w:val="0"/>
                <w:iCs w:val="0"/>
                <w:color w:val="000000"/>
                <w:kern w:val="0"/>
                <w:sz w:val="30"/>
                <w:szCs w:val="30"/>
                <w:u w:val="none"/>
                <w:lang w:val="en-US" w:eastAsia="zh-CN"/>
              </w:rPr>
              <w:t>工单量</w:t>
            </w:r>
          </w:p>
        </w:tc>
        <w:tc>
          <w:tcPr>
            <w:tcW w:w="990"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b/>
                <w:i w:val="0"/>
                <w:iCs w:val="0"/>
                <w:color w:val="000000"/>
                <w:sz w:val="30"/>
                <w:szCs w:val="30"/>
                <w:u w:val="none"/>
              </w:rPr>
            </w:pPr>
            <w:r>
              <w:rPr>
                <w:rFonts w:hint="eastAsia" w:ascii="仿宋_GB2312" w:hAnsi="仿宋_GB2312" w:eastAsia="仿宋_GB2312" w:cs="仿宋_GB2312"/>
                <w:b/>
                <w:i w:val="0"/>
                <w:iCs w:val="0"/>
                <w:color w:val="000000"/>
                <w:kern w:val="0"/>
                <w:sz w:val="30"/>
                <w:szCs w:val="30"/>
                <w:u w:val="none"/>
                <w:lang w:val="en-US" w:eastAsia="zh-CN"/>
              </w:rPr>
              <w:t>户数</w:t>
            </w:r>
          </w:p>
        </w:tc>
        <w:tc>
          <w:tcPr>
            <w:tcW w:w="1170"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b/>
                <w:i w:val="0"/>
                <w:iCs w:val="0"/>
                <w:color w:val="000000"/>
                <w:sz w:val="30"/>
                <w:szCs w:val="30"/>
                <w:u w:val="none"/>
              </w:rPr>
            </w:pPr>
            <w:r>
              <w:rPr>
                <w:rFonts w:hint="eastAsia" w:ascii="仿宋_GB2312" w:hAnsi="仿宋_GB2312" w:eastAsia="仿宋_GB2312" w:cs="仿宋_GB2312"/>
                <w:b/>
                <w:i w:val="0"/>
                <w:iCs w:val="0"/>
                <w:color w:val="000000"/>
                <w:kern w:val="0"/>
                <w:sz w:val="30"/>
                <w:szCs w:val="30"/>
                <w:u w:val="none"/>
                <w:lang w:val="en-US" w:eastAsia="zh-CN"/>
              </w:rPr>
              <w:t>密度</w:t>
            </w:r>
          </w:p>
        </w:tc>
        <w:tc>
          <w:tcPr>
            <w:tcW w:w="2575"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b/>
                <w:i w:val="0"/>
                <w:iCs w:val="0"/>
                <w:color w:val="000000"/>
                <w:kern w:val="0"/>
                <w:sz w:val="28"/>
                <w:szCs w:val="28"/>
                <w:u w:val="none"/>
                <w:lang w:val="en-US" w:eastAsia="zh-CN"/>
              </w:rPr>
            </w:pPr>
            <w:r>
              <w:rPr>
                <w:rFonts w:hint="eastAsia" w:ascii="仿宋_GB2312" w:hAnsi="仿宋_GB2312" w:eastAsia="仿宋_GB2312" w:cs="仿宋_GB2312"/>
                <w:b/>
                <w:i w:val="0"/>
                <w:iCs w:val="0"/>
                <w:color w:val="000000"/>
                <w:kern w:val="0"/>
                <w:sz w:val="28"/>
                <w:szCs w:val="28"/>
                <w:u w:val="none"/>
                <w:lang w:val="en-US" w:eastAsia="zh-CN"/>
              </w:rPr>
              <w:t>诉求较高的前三项</w:t>
            </w:r>
          </w:p>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b/>
                <w:i w:val="0"/>
                <w:iCs w:val="0"/>
                <w:color w:val="000000"/>
                <w:sz w:val="28"/>
                <w:szCs w:val="28"/>
                <w:u w:val="none"/>
              </w:rPr>
            </w:pPr>
            <w:r>
              <w:rPr>
                <w:rFonts w:hint="eastAsia" w:ascii="仿宋_GB2312" w:hAnsi="仿宋_GB2312" w:eastAsia="仿宋_GB2312" w:cs="仿宋_GB2312"/>
                <w:b/>
                <w:i w:val="0"/>
                <w:iCs w:val="0"/>
                <w:color w:val="000000"/>
                <w:kern w:val="0"/>
                <w:sz w:val="28"/>
                <w:szCs w:val="28"/>
                <w:u w:val="none"/>
                <w:lang w:val="en-US" w:eastAsia="zh-CN"/>
              </w:rPr>
              <w:t>（按子类统计）</w:t>
            </w:r>
          </w:p>
        </w:tc>
      </w:tr>
      <w:tr>
        <w:trPr>
          <w:jc w:val="center"/>
        </w:trPr>
        <w:tc>
          <w:tcPr>
            <w:tcW w:w="77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c>
          <w:tcPr>
            <w:tcW w:w="1836"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鑫桂苑·侨高中心</w:t>
            </w:r>
          </w:p>
        </w:tc>
        <w:tc>
          <w:tcPr>
            <w:tcW w:w="1147"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虹梅</w:t>
            </w:r>
          </w:p>
        </w:tc>
        <w:tc>
          <w:tcPr>
            <w:tcW w:w="123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138</w:t>
            </w:r>
          </w:p>
        </w:tc>
        <w:tc>
          <w:tcPr>
            <w:tcW w:w="99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1756</w:t>
            </w:r>
          </w:p>
        </w:tc>
        <w:tc>
          <w:tcPr>
            <w:tcW w:w="117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7.86%</w:t>
            </w:r>
          </w:p>
        </w:tc>
        <w:tc>
          <w:tcPr>
            <w:tcW w:w="25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28"/>
                <w:szCs w:val="28"/>
                <w:u w:val="none"/>
                <w:lang w:val="en-US" w:eastAsia="zh-CN"/>
              </w:rPr>
            </w:pPr>
            <w:r>
              <w:rPr>
                <w:rFonts w:hint="eastAsia" w:ascii="仿宋_GB2312" w:hAnsi="仿宋_GB2312" w:eastAsia="仿宋_GB2312" w:cs="仿宋_GB2312"/>
                <w:i w:val="0"/>
                <w:iCs w:val="0"/>
                <w:color w:val="000000"/>
                <w:kern w:val="0"/>
                <w:sz w:val="28"/>
                <w:szCs w:val="28"/>
                <w:u w:val="none"/>
                <w:lang w:val="en-US" w:eastAsia="zh-CN"/>
              </w:rPr>
              <w:t>改建设施（110件）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停车秩序（5件）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小区物业日常事务（5件）</w:t>
            </w:r>
          </w:p>
        </w:tc>
      </w:tr>
      <w:tr>
        <w:trPr>
          <w:jc w:val="center"/>
        </w:trPr>
        <w:tc>
          <w:tcPr>
            <w:tcW w:w="77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w:t>
            </w:r>
          </w:p>
        </w:tc>
        <w:tc>
          <w:tcPr>
            <w:tcW w:w="1836"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罗秀二村</w:t>
            </w:r>
          </w:p>
        </w:tc>
        <w:tc>
          <w:tcPr>
            <w:tcW w:w="1147"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长桥</w:t>
            </w:r>
          </w:p>
        </w:tc>
        <w:tc>
          <w:tcPr>
            <w:tcW w:w="123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126</w:t>
            </w:r>
          </w:p>
        </w:tc>
        <w:tc>
          <w:tcPr>
            <w:tcW w:w="99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2493</w:t>
            </w:r>
          </w:p>
        </w:tc>
        <w:tc>
          <w:tcPr>
            <w:tcW w:w="117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5.05%</w:t>
            </w:r>
          </w:p>
        </w:tc>
        <w:tc>
          <w:tcPr>
            <w:tcW w:w="25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28"/>
                <w:szCs w:val="28"/>
                <w:u w:val="none"/>
                <w:lang w:val="en-US" w:eastAsia="zh-CN"/>
              </w:rPr>
            </w:pPr>
            <w:r>
              <w:rPr>
                <w:rFonts w:hint="eastAsia" w:ascii="仿宋_GB2312" w:hAnsi="仿宋_GB2312" w:eastAsia="仿宋_GB2312" w:cs="仿宋_GB2312"/>
                <w:i w:val="0"/>
                <w:iCs w:val="0"/>
                <w:color w:val="000000"/>
                <w:kern w:val="0"/>
                <w:sz w:val="28"/>
                <w:szCs w:val="28"/>
                <w:u w:val="none"/>
                <w:lang w:val="en-US" w:eastAsia="zh-CN"/>
              </w:rPr>
              <w:t>停车秩序（22件）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小区物业日常事务（19件）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绿化养护、修剪（15件）</w:t>
            </w:r>
          </w:p>
        </w:tc>
      </w:tr>
      <w:tr>
        <w:trPr>
          <w:jc w:val="center"/>
        </w:trPr>
        <w:tc>
          <w:tcPr>
            <w:tcW w:w="77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w:t>
            </w:r>
          </w:p>
        </w:tc>
        <w:tc>
          <w:tcPr>
            <w:tcW w:w="1836"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日晖六村</w:t>
            </w:r>
          </w:p>
        </w:tc>
        <w:tc>
          <w:tcPr>
            <w:tcW w:w="1147"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斜土</w:t>
            </w:r>
          </w:p>
        </w:tc>
        <w:tc>
          <w:tcPr>
            <w:tcW w:w="123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117</w:t>
            </w:r>
          </w:p>
        </w:tc>
        <w:tc>
          <w:tcPr>
            <w:tcW w:w="99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2917</w:t>
            </w:r>
          </w:p>
        </w:tc>
        <w:tc>
          <w:tcPr>
            <w:tcW w:w="117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4.01%</w:t>
            </w:r>
          </w:p>
        </w:tc>
        <w:tc>
          <w:tcPr>
            <w:tcW w:w="25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28"/>
                <w:szCs w:val="28"/>
                <w:u w:val="none"/>
                <w:lang w:val="en-US" w:eastAsia="zh-CN"/>
              </w:rPr>
            </w:pPr>
            <w:r>
              <w:rPr>
                <w:rFonts w:hint="eastAsia" w:ascii="仿宋_GB2312" w:hAnsi="仿宋_GB2312" w:eastAsia="仿宋_GB2312" w:cs="仿宋_GB2312"/>
                <w:i w:val="0"/>
                <w:iCs w:val="0"/>
                <w:color w:val="000000"/>
                <w:kern w:val="0"/>
                <w:sz w:val="28"/>
                <w:szCs w:val="28"/>
                <w:u w:val="none"/>
                <w:lang w:val="en-US" w:eastAsia="zh-CN"/>
              </w:rPr>
              <w:t>小区物业日常事务（28件）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停车收费（13件）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非直管公房物业维修养护（12件）</w:t>
            </w:r>
          </w:p>
        </w:tc>
      </w:tr>
      <w:tr>
        <w:trPr>
          <w:jc w:val="center"/>
        </w:trPr>
        <w:tc>
          <w:tcPr>
            <w:tcW w:w="77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w:t>
            </w:r>
          </w:p>
        </w:tc>
        <w:tc>
          <w:tcPr>
            <w:tcW w:w="1836"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悦汇长庭</w:t>
            </w:r>
          </w:p>
        </w:tc>
        <w:tc>
          <w:tcPr>
            <w:tcW w:w="1147"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长桥</w:t>
            </w:r>
          </w:p>
        </w:tc>
        <w:tc>
          <w:tcPr>
            <w:tcW w:w="123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115</w:t>
            </w:r>
          </w:p>
        </w:tc>
        <w:tc>
          <w:tcPr>
            <w:tcW w:w="99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1513</w:t>
            </w:r>
          </w:p>
        </w:tc>
        <w:tc>
          <w:tcPr>
            <w:tcW w:w="117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7.60%</w:t>
            </w:r>
          </w:p>
        </w:tc>
        <w:tc>
          <w:tcPr>
            <w:tcW w:w="25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28"/>
                <w:szCs w:val="28"/>
                <w:u w:val="none"/>
                <w:lang w:val="en-US" w:eastAsia="zh-CN"/>
              </w:rPr>
            </w:pPr>
            <w:r>
              <w:rPr>
                <w:rFonts w:hint="eastAsia" w:ascii="仿宋_GB2312" w:hAnsi="仿宋_GB2312" w:eastAsia="仿宋_GB2312" w:cs="仿宋_GB2312"/>
                <w:i w:val="0"/>
                <w:iCs w:val="0"/>
                <w:color w:val="000000"/>
                <w:kern w:val="0"/>
                <w:sz w:val="28"/>
                <w:szCs w:val="28"/>
                <w:u w:val="none"/>
                <w:lang w:val="en-US" w:eastAsia="zh-CN"/>
              </w:rPr>
              <w:t>停车收费（80件）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小区物业日常事务（14件）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业委会组建换届（10件）</w:t>
            </w:r>
          </w:p>
        </w:tc>
      </w:tr>
      <w:tr>
        <w:trPr>
          <w:jc w:val="center"/>
        </w:trPr>
        <w:tc>
          <w:tcPr>
            <w:tcW w:w="77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w:t>
            </w:r>
          </w:p>
        </w:tc>
        <w:tc>
          <w:tcPr>
            <w:tcW w:w="1836"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尚海湾二期</w:t>
            </w:r>
          </w:p>
        </w:tc>
        <w:tc>
          <w:tcPr>
            <w:tcW w:w="1147"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斜土</w:t>
            </w:r>
          </w:p>
        </w:tc>
        <w:tc>
          <w:tcPr>
            <w:tcW w:w="123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110</w:t>
            </w:r>
          </w:p>
        </w:tc>
        <w:tc>
          <w:tcPr>
            <w:tcW w:w="99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2049</w:t>
            </w:r>
          </w:p>
        </w:tc>
        <w:tc>
          <w:tcPr>
            <w:tcW w:w="117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5.37%</w:t>
            </w:r>
          </w:p>
        </w:tc>
        <w:tc>
          <w:tcPr>
            <w:tcW w:w="25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28"/>
                <w:szCs w:val="28"/>
                <w:u w:val="none"/>
                <w:lang w:val="en-US" w:eastAsia="zh-CN"/>
              </w:rPr>
            </w:pPr>
            <w:r>
              <w:rPr>
                <w:rFonts w:hint="eastAsia" w:ascii="仿宋_GB2312" w:hAnsi="仿宋_GB2312" w:eastAsia="仿宋_GB2312" w:cs="仿宋_GB2312"/>
                <w:i w:val="0"/>
                <w:iCs w:val="0"/>
                <w:color w:val="000000"/>
                <w:kern w:val="0"/>
                <w:sz w:val="28"/>
                <w:szCs w:val="28"/>
                <w:u w:val="none"/>
                <w:lang w:val="en-US" w:eastAsia="zh-CN"/>
              </w:rPr>
              <w:t>业委会组建换届（46件）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小区物业日常事务（11件）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垃圾清运（10件）</w:t>
            </w:r>
          </w:p>
        </w:tc>
      </w:tr>
      <w:tr>
        <w:trPr>
          <w:jc w:val="center"/>
        </w:trPr>
        <w:tc>
          <w:tcPr>
            <w:tcW w:w="77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w:t>
            </w:r>
          </w:p>
        </w:tc>
        <w:tc>
          <w:tcPr>
            <w:tcW w:w="1836"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华欣家园</w:t>
            </w:r>
          </w:p>
        </w:tc>
        <w:tc>
          <w:tcPr>
            <w:tcW w:w="1147"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华泾</w:t>
            </w:r>
          </w:p>
        </w:tc>
        <w:tc>
          <w:tcPr>
            <w:tcW w:w="123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110</w:t>
            </w:r>
          </w:p>
        </w:tc>
        <w:tc>
          <w:tcPr>
            <w:tcW w:w="99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2693</w:t>
            </w:r>
          </w:p>
        </w:tc>
        <w:tc>
          <w:tcPr>
            <w:tcW w:w="117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4.08%</w:t>
            </w:r>
          </w:p>
        </w:tc>
        <w:tc>
          <w:tcPr>
            <w:tcW w:w="25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28"/>
                <w:szCs w:val="28"/>
                <w:u w:val="none"/>
                <w:lang w:val="en-US" w:eastAsia="zh-CN"/>
              </w:rPr>
            </w:pPr>
            <w:r>
              <w:rPr>
                <w:rFonts w:hint="eastAsia" w:ascii="仿宋_GB2312" w:hAnsi="仿宋_GB2312" w:eastAsia="仿宋_GB2312" w:cs="仿宋_GB2312"/>
                <w:i w:val="0"/>
                <w:iCs w:val="0"/>
                <w:color w:val="000000"/>
                <w:kern w:val="0"/>
                <w:sz w:val="28"/>
                <w:szCs w:val="28"/>
                <w:u w:val="none"/>
                <w:lang w:val="en-US" w:eastAsia="zh-CN"/>
              </w:rPr>
              <w:t>停车秩序（20件）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小区物业日常事务（18件）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侵占公共停车位（17件）</w:t>
            </w:r>
          </w:p>
        </w:tc>
      </w:tr>
      <w:tr>
        <w:trPr>
          <w:jc w:val="center"/>
        </w:trPr>
        <w:tc>
          <w:tcPr>
            <w:tcW w:w="77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w:t>
            </w:r>
          </w:p>
        </w:tc>
        <w:tc>
          <w:tcPr>
            <w:tcW w:w="1836"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馨宁公寓</w:t>
            </w:r>
          </w:p>
        </w:tc>
        <w:tc>
          <w:tcPr>
            <w:tcW w:w="1147"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华泾</w:t>
            </w:r>
          </w:p>
        </w:tc>
        <w:tc>
          <w:tcPr>
            <w:tcW w:w="123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101</w:t>
            </w:r>
          </w:p>
        </w:tc>
        <w:tc>
          <w:tcPr>
            <w:tcW w:w="99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4822</w:t>
            </w:r>
          </w:p>
        </w:tc>
        <w:tc>
          <w:tcPr>
            <w:tcW w:w="117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2.09%</w:t>
            </w:r>
          </w:p>
        </w:tc>
        <w:tc>
          <w:tcPr>
            <w:tcW w:w="25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28"/>
                <w:szCs w:val="28"/>
                <w:u w:val="none"/>
                <w:lang w:val="en-US" w:eastAsia="zh-CN"/>
              </w:rPr>
            </w:pPr>
            <w:r>
              <w:rPr>
                <w:rFonts w:hint="eastAsia" w:ascii="仿宋_GB2312" w:hAnsi="仿宋_GB2312" w:eastAsia="仿宋_GB2312" w:cs="仿宋_GB2312"/>
                <w:i w:val="0"/>
                <w:iCs w:val="0"/>
                <w:color w:val="000000"/>
                <w:kern w:val="0"/>
                <w:sz w:val="28"/>
                <w:szCs w:val="28"/>
                <w:u w:val="none"/>
                <w:lang w:val="en-US" w:eastAsia="zh-CN"/>
              </w:rPr>
              <w:t>小区物业日常事务（28件）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停车秩序（26件）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停车收费（12件）</w:t>
            </w:r>
          </w:p>
        </w:tc>
      </w:tr>
      <w:tr>
        <w:trPr>
          <w:jc w:val="center"/>
        </w:trPr>
        <w:tc>
          <w:tcPr>
            <w:tcW w:w="77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w:t>
            </w:r>
          </w:p>
        </w:tc>
        <w:tc>
          <w:tcPr>
            <w:tcW w:w="1836"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园南一村</w:t>
            </w:r>
          </w:p>
        </w:tc>
        <w:tc>
          <w:tcPr>
            <w:tcW w:w="1147"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长桥</w:t>
            </w:r>
          </w:p>
        </w:tc>
        <w:tc>
          <w:tcPr>
            <w:tcW w:w="123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99</w:t>
            </w:r>
          </w:p>
        </w:tc>
        <w:tc>
          <w:tcPr>
            <w:tcW w:w="99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1359</w:t>
            </w:r>
          </w:p>
        </w:tc>
        <w:tc>
          <w:tcPr>
            <w:tcW w:w="117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7.28%</w:t>
            </w:r>
          </w:p>
        </w:tc>
        <w:tc>
          <w:tcPr>
            <w:tcW w:w="25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28"/>
                <w:szCs w:val="28"/>
                <w:u w:val="none"/>
                <w:lang w:val="en-US" w:eastAsia="zh-CN"/>
              </w:rPr>
            </w:pPr>
            <w:r>
              <w:rPr>
                <w:rFonts w:hint="eastAsia" w:ascii="仿宋_GB2312" w:hAnsi="仿宋_GB2312" w:eastAsia="仿宋_GB2312" w:cs="仿宋_GB2312"/>
                <w:i w:val="0"/>
                <w:iCs w:val="0"/>
                <w:color w:val="000000"/>
                <w:kern w:val="0"/>
                <w:sz w:val="28"/>
                <w:szCs w:val="28"/>
                <w:u w:val="none"/>
                <w:lang w:val="en-US" w:eastAsia="zh-CN"/>
              </w:rPr>
              <w:t>停车收费（33件）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侵占公共停车位（26件）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小区物业日常事务（11件）</w:t>
            </w:r>
          </w:p>
        </w:tc>
      </w:tr>
      <w:tr>
        <w:trPr>
          <w:jc w:val="center"/>
        </w:trPr>
        <w:tc>
          <w:tcPr>
            <w:tcW w:w="77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9</w:t>
            </w:r>
          </w:p>
        </w:tc>
        <w:tc>
          <w:tcPr>
            <w:tcW w:w="1836"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长桥四村</w:t>
            </w:r>
          </w:p>
        </w:tc>
        <w:tc>
          <w:tcPr>
            <w:tcW w:w="1147"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长桥</w:t>
            </w:r>
          </w:p>
        </w:tc>
        <w:tc>
          <w:tcPr>
            <w:tcW w:w="123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87</w:t>
            </w:r>
          </w:p>
        </w:tc>
        <w:tc>
          <w:tcPr>
            <w:tcW w:w="99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2782</w:t>
            </w:r>
          </w:p>
        </w:tc>
        <w:tc>
          <w:tcPr>
            <w:tcW w:w="117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3.13%</w:t>
            </w:r>
          </w:p>
        </w:tc>
        <w:tc>
          <w:tcPr>
            <w:tcW w:w="25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28"/>
                <w:szCs w:val="28"/>
                <w:u w:val="none"/>
                <w:lang w:val="en-US" w:eastAsia="zh-CN"/>
              </w:rPr>
            </w:pPr>
            <w:r>
              <w:rPr>
                <w:rFonts w:hint="eastAsia" w:ascii="仿宋_GB2312" w:hAnsi="仿宋_GB2312" w:eastAsia="仿宋_GB2312" w:cs="仿宋_GB2312"/>
                <w:i w:val="0"/>
                <w:iCs w:val="0"/>
                <w:color w:val="000000"/>
                <w:kern w:val="0"/>
                <w:sz w:val="28"/>
                <w:szCs w:val="28"/>
                <w:u w:val="none"/>
                <w:lang w:val="en-US" w:eastAsia="zh-CN"/>
              </w:rPr>
              <w:t>停车收费（23件）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停车秩序（13件）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侵占公共停车位（7件）</w:t>
            </w:r>
          </w:p>
        </w:tc>
      </w:tr>
      <w:tr>
        <w:trPr>
          <w:jc w:val="center"/>
        </w:trPr>
        <w:tc>
          <w:tcPr>
            <w:tcW w:w="77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10</w:t>
            </w:r>
          </w:p>
        </w:tc>
        <w:tc>
          <w:tcPr>
            <w:tcW w:w="1836"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华泾绿苑</w:t>
            </w:r>
          </w:p>
        </w:tc>
        <w:tc>
          <w:tcPr>
            <w:tcW w:w="1147"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华泾</w:t>
            </w:r>
          </w:p>
        </w:tc>
        <w:tc>
          <w:tcPr>
            <w:tcW w:w="123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86</w:t>
            </w:r>
          </w:p>
        </w:tc>
        <w:tc>
          <w:tcPr>
            <w:tcW w:w="99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2366</w:t>
            </w:r>
          </w:p>
        </w:tc>
        <w:tc>
          <w:tcPr>
            <w:tcW w:w="1170"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3.63%</w:t>
            </w:r>
          </w:p>
        </w:tc>
        <w:tc>
          <w:tcPr>
            <w:tcW w:w="25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val="0"/>
              <w:spacing w:line="240" w:lineRule="auto"/>
              <w:ind w:left="0" w:right="0" w:firstLine="0" w:firstLineChars="0"/>
              <w:jc w:val="left"/>
              <w:textAlignment w:val="center"/>
              <w:rPr>
                <w:rFonts w:hint="eastAsia" w:ascii="仿宋_GB2312" w:hAnsi="仿宋_GB2312" w:eastAsia="仿宋_GB2312" w:cs="仿宋_GB2312"/>
                <w:i w:val="0"/>
                <w:iCs w:val="0"/>
                <w:color w:val="000000"/>
                <w:kern w:val="0"/>
                <w:sz w:val="28"/>
                <w:szCs w:val="28"/>
                <w:u w:val="none"/>
                <w:lang w:val="en-US" w:eastAsia="zh-CN"/>
              </w:rPr>
            </w:pPr>
            <w:r>
              <w:rPr>
                <w:rFonts w:hint="eastAsia" w:ascii="仿宋_GB2312" w:hAnsi="仿宋_GB2312" w:eastAsia="仿宋_GB2312" w:cs="仿宋_GB2312"/>
                <w:i w:val="0"/>
                <w:iCs w:val="0"/>
                <w:color w:val="000000"/>
                <w:kern w:val="0"/>
                <w:sz w:val="28"/>
                <w:szCs w:val="28"/>
                <w:u w:val="none"/>
                <w:lang w:val="en-US" w:eastAsia="zh-CN"/>
              </w:rPr>
              <w:t>停车秩序（38件）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小区物业日常事务（17件）</w:t>
            </w:r>
            <w:r>
              <w:rPr>
                <w:rFonts w:hint="eastAsia" w:ascii="仿宋_GB2312" w:hAnsi="仿宋_GB2312" w:eastAsia="仿宋_GB2312" w:cs="仿宋_GB2312"/>
                <w:i w:val="0"/>
                <w:iCs w:val="0"/>
                <w:color w:val="000000"/>
                <w:kern w:val="0"/>
                <w:sz w:val="28"/>
                <w:szCs w:val="28"/>
                <w:u w:val="none"/>
                <w:lang w:val="en-US" w:eastAsia="zh-CN"/>
              </w:rPr>
              <w:br w:type="textWrapping"/>
            </w:r>
            <w:r>
              <w:rPr>
                <w:rFonts w:hint="eastAsia" w:ascii="仿宋_GB2312" w:hAnsi="仿宋_GB2312" w:eastAsia="仿宋_GB2312" w:cs="仿宋_GB2312"/>
                <w:i w:val="0"/>
                <w:iCs w:val="0"/>
                <w:color w:val="000000"/>
                <w:kern w:val="0"/>
                <w:sz w:val="28"/>
                <w:szCs w:val="28"/>
                <w:u w:val="none"/>
                <w:lang w:val="en-US" w:eastAsia="zh-CN"/>
              </w:rPr>
              <w:t>绿化养护、修剪（6件）</w:t>
            </w:r>
          </w:p>
        </w:tc>
      </w:tr>
    </w:tbl>
    <w:p>
      <w:pPr>
        <w:pStyle w:val="8"/>
        <w:keepNext w:val="0"/>
        <w:keepLines w:val="0"/>
        <w:pageBreakBefore w:val="0"/>
        <w:widowControl w:val="0"/>
        <w:kinsoku/>
        <w:wordWrap/>
        <w:overflowPunct/>
        <w:topLinePunct w:val="0"/>
        <w:autoSpaceDE/>
        <w:autoSpaceDN/>
        <w:bidi w:val="0"/>
        <w:adjustRightInd/>
        <w:snapToGrid/>
        <w:ind w:left="0" w:leftChars="0" w:firstLine="0" w:firstLineChars="0"/>
        <w:jc w:val="both"/>
        <w:rPr>
          <w:rFonts w:hint="eastAsia" w:ascii="仿宋_GB2312" w:hAnsi="仿宋_GB2312" w:eastAsia="仿宋_GB2312" w:cs="仿宋_GB2312"/>
          <w:sz w:val="30"/>
          <w:szCs w:val="30"/>
        </w:rPr>
      </w:pPr>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楷体_GB2312" w:hAnsi="楷体_GB2312" w:eastAsia="楷体_GB2312" w:cs="楷体_GB2312"/>
          <w:sz w:val="30"/>
          <w:szCs w:val="30"/>
        </w:rPr>
      </w:pPr>
      <w:bookmarkStart w:id="14" w:name="heading_25"/>
      <w:r>
        <w:rPr>
          <w:rFonts w:hint="eastAsia" w:ascii="楷体_GB2312" w:hAnsi="楷体_GB2312" w:eastAsia="楷体_GB2312" w:cs="楷体_GB2312"/>
          <w:b/>
          <w:sz w:val="30"/>
          <w:szCs w:val="30"/>
          <w:lang w:eastAsia="zh-CN"/>
        </w:rPr>
        <w:t>（二）</w:t>
      </w:r>
      <w:r>
        <w:rPr>
          <w:rFonts w:hint="eastAsia" w:ascii="楷体_GB2312" w:hAnsi="楷体_GB2312" w:eastAsia="楷体_GB2312" w:cs="楷体_GB2312"/>
          <w:b/>
          <w:sz w:val="30"/>
          <w:szCs w:val="30"/>
        </w:rPr>
        <w:t xml:space="preserve"> 核心问题与成因研判</w:t>
      </w:r>
      <w:bookmarkEnd w:id="14"/>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一是区域集中特征显著。长桥街道有3个小区上榜，华泾镇有2个小区上榜，反映出部分街镇小区管理压力较大，与小区建成年代、人口密度、物业服务水平密切相关。二是问题类型差异化明显。老旧小区（如罗秀二村、日晖六村）主要聚焦停车秩序、物业日常事务、绿化养护等基础服务问题；新建小区（如尚海湾二期、悦汇长庭）则以业委会组建换届、停车收费等规范管理类问题为主要诉求。三是管理基础较为薄弱。上榜小区普遍存在物业企业响应效率不足、管理机制不透明等问题，部分小区业委会未有效发挥监管作用，导致问题长期积累未得到妥善解决。</w:t>
      </w:r>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楷体_GB2312" w:hAnsi="楷体_GB2312" w:eastAsia="楷体_GB2312" w:cs="楷体_GB2312"/>
          <w:sz w:val="30"/>
          <w:szCs w:val="30"/>
        </w:rPr>
      </w:pPr>
      <w:bookmarkStart w:id="15" w:name="heading_26"/>
      <w:r>
        <w:rPr>
          <w:rFonts w:hint="eastAsia" w:ascii="楷体_GB2312" w:hAnsi="楷体_GB2312" w:eastAsia="楷体_GB2312" w:cs="楷体_GB2312"/>
          <w:b/>
          <w:sz w:val="30"/>
          <w:szCs w:val="30"/>
          <w:lang w:eastAsia="zh-CN"/>
        </w:rPr>
        <w:t>（三）</w:t>
      </w:r>
      <w:r>
        <w:rPr>
          <w:rFonts w:hint="eastAsia" w:ascii="楷体_GB2312" w:hAnsi="楷体_GB2312" w:eastAsia="楷体_GB2312" w:cs="楷体_GB2312"/>
          <w:b/>
          <w:sz w:val="30"/>
          <w:szCs w:val="30"/>
        </w:rPr>
        <w:t xml:space="preserve"> 针对性对策建议</w:t>
      </w:r>
      <w:bookmarkEnd w:id="15"/>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一是实施分类整治提升。对老旧小区，重点推进停车设施改造、绿化养护提升、物业服务标准化建设，补齐基础服务短板；对新建小区，重点规范业委会运作、停车收费公示、设施改建流程，强化规范管理。二是强化街镇统筹协调。针对长桥街道、华泾镇等重点区域，由街镇牵头组织专题协调会，共享优秀管理经验，统筹周边资源解决停车难等共性问题；</w:t>
      </w:r>
      <w:r>
        <w:rPr>
          <w:rFonts w:hint="eastAsia" w:ascii="仿宋_GB2312" w:hAnsi="仿宋_GB2312" w:eastAsia="仿宋_GB2312" w:cs="仿宋_GB2312"/>
          <w:sz w:val="30"/>
          <w:szCs w:val="30"/>
          <w:lang w:eastAsia="zh-CN"/>
        </w:rPr>
        <w:t>强化街镇“片区制”工作制度，针对</w:t>
      </w:r>
      <w:r>
        <w:rPr>
          <w:rFonts w:hint="eastAsia" w:ascii="仿宋_GB2312" w:hAnsi="仿宋_GB2312" w:eastAsia="仿宋_GB2312" w:cs="仿宋_GB2312"/>
          <w:sz w:val="30"/>
          <w:szCs w:val="30"/>
        </w:rPr>
        <w:t>重点小区</w:t>
      </w:r>
      <w:r>
        <w:rPr>
          <w:rFonts w:hint="eastAsia" w:ascii="仿宋_GB2312" w:hAnsi="仿宋_GB2312" w:eastAsia="仿宋_GB2312" w:cs="仿宋_GB2312"/>
          <w:sz w:val="30"/>
          <w:szCs w:val="30"/>
          <w:lang w:eastAsia="zh-CN"/>
        </w:rPr>
        <w:t>开展问题巡查</w:t>
      </w:r>
      <w:r>
        <w:rPr>
          <w:rFonts w:hint="eastAsia" w:ascii="仿宋_GB2312" w:hAnsi="仿宋_GB2312" w:eastAsia="仿宋_GB2312" w:cs="仿宋_GB2312"/>
          <w:sz w:val="30"/>
          <w:szCs w:val="30"/>
        </w:rPr>
        <w:t>，</w:t>
      </w:r>
      <w:r>
        <w:rPr>
          <w:rFonts w:hint="eastAsia" w:ascii="仿宋_GB2312" w:hAnsi="仿宋_GB2312" w:eastAsia="仿宋_GB2312" w:cs="仿宋_GB2312"/>
          <w:sz w:val="30"/>
          <w:szCs w:val="30"/>
          <w:lang w:eastAsia="zh-CN"/>
        </w:rPr>
        <w:t>同时对发现问题进行跟踪整改</w:t>
      </w:r>
      <w:r>
        <w:rPr>
          <w:rFonts w:hint="eastAsia" w:ascii="仿宋_GB2312" w:hAnsi="仿宋_GB2312" w:eastAsia="仿宋_GB2312" w:cs="仿宋_GB2312"/>
          <w:sz w:val="30"/>
          <w:szCs w:val="30"/>
        </w:rPr>
        <w:t>。三是建立结对帮扶机制。安排工单量低、群众满意度高的小区与上榜小区结对，分享物业监管、业委会运作等成功经验，助力重点小区快速提升管理水平。</w:t>
      </w:r>
    </w:p>
    <w:p>
      <w:pPr>
        <w:keepNext w:val="0"/>
        <w:keepLines w:val="0"/>
        <w:pageBreakBefore w:val="0"/>
        <w:widowControl w:val="0"/>
        <w:kinsoku/>
        <w:wordWrap/>
        <w:overflowPunct/>
        <w:topLinePunct w:val="0"/>
        <w:autoSpaceDE/>
        <w:autoSpaceDN/>
        <w:bidi w:val="0"/>
        <w:adjustRightInd/>
        <w:snapToGrid/>
        <w:spacing w:before="320" w:after="120" w:line="288" w:lineRule="auto"/>
        <w:ind w:left="0"/>
        <w:jc w:val="both"/>
        <w:outlineLvl w:val="1"/>
        <w:rPr>
          <w:rFonts w:hint="eastAsia" w:ascii="黑体" w:hAnsi="黑体" w:eastAsia="黑体" w:cs="黑体"/>
          <w:sz w:val="30"/>
          <w:szCs w:val="30"/>
        </w:rPr>
      </w:pPr>
      <w:bookmarkStart w:id="16" w:name="heading_27"/>
      <w:r>
        <w:rPr>
          <w:rFonts w:hint="eastAsia" w:ascii="黑体" w:hAnsi="黑体" w:eastAsia="黑体" w:cs="黑体"/>
          <w:b/>
          <w:sz w:val="30"/>
          <w:szCs w:val="30"/>
          <w:lang w:eastAsia="zh-CN"/>
        </w:rPr>
        <w:t>三、</w:t>
      </w:r>
      <w:r>
        <w:rPr>
          <w:rFonts w:hint="eastAsia" w:ascii="黑体" w:hAnsi="黑体" w:eastAsia="黑体" w:cs="黑体"/>
          <w:b/>
          <w:sz w:val="30"/>
          <w:szCs w:val="30"/>
        </w:rPr>
        <w:t>物业服务企业</w:t>
      </w:r>
      <w:r>
        <w:rPr>
          <w:rFonts w:hint="eastAsia" w:ascii="黑体" w:hAnsi="黑体" w:eastAsia="黑体" w:cs="黑体"/>
          <w:b/>
          <w:sz w:val="30"/>
          <w:szCs w:val="30"/>
          <w:lang w:eastAsia="zh-CN"/>
        </w:rPr>
        <w:t>情况</w:t>
      </w:r>
      <w:r>
        <w:rPr>
          <w:rFonts w:hint="eastAsia" w:ascii="黑体" w:hAnsi="黑体" w:eastAsia="黑体" w:cs="黑体"/>
          <w:b/>
          <w:sz w:val="30"/>
          <w:szCs w:val="30"/>
        </w:rPr>
        <w:t>分析</w:t>
      </w:r>
      <w:bookmarkEnd w:id="16"/>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楷体_GB2312" w:hAnsi="楷体_GB2312" w:eastAsia="楷体_GB2312" w:cs="楷体_GB2312"/>
          <w:sz w:val="30"/>
          <w:szCs w:val="30"/>
        </w:rPr>
      </w:pPr>
      <w:bookmarkStart w:id="17" w:name="heading_28"/>
      <w:r>
        <w:rPr>
          <w:rFonts w:hint="eastAsia" w:ascii="楷体_GB2312" w:hAnsi="楷体_GB2312" w:eastAsia="楷体_GB2312" w:cs="楷体_GB2312"/>
          <w:b/>
          <w:sz w:val="30"/>
          <w:szCs w:val="30"/>
          <w:lang w:eastAsia="zh-CN"/>
        </w:rPr>
        <w:t>（一）</w:t>
      </w:r>
      <w:r>
        <w:rPr>
          <w:rFonts w:hint="eastAsia" w:ascii="楷体_GB2312" w:hAnsi="楷体_GB2312" w:eastAsia="楷体_GB2312" w:cs="楷体_GB2312"/>
          <w:b/>
          <w:sz w:val="30"/>
          <w:szCs w:val="30"/>
        </w:rPr>
        <w:t xml:space="preserve"> 工单数量与密度排名</w:t>
      </w:r>
      <w:bookmarkEnd w:id="17"/>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工单数量排名前十的物业服务企业为：上海高建物业有限公司（1146件）、上海衡复物业有限公司（836件）、上海徐房物业有限公司（684件）、上海汇成物业有限公司（351件）、秀澜（上海）物业管理有限公司（340件）、上海安得物业管理有限公司（308件）、上海轻工物业管理有限公司（305件）、上海中星集团申城物业有限公司（281件）、上海阳光投资（集团）物业管理有限公司（201件）、上海晏鑫物业有限公司（180件）。其中，上海高建物业在管小区80个，诉求集中在小区物业日常事务、非直管公房物业维修养护、停车秩序。</w:t>
      </w:r>
    </w:p>
    <w:tbl>
      <w:tblPr>
        <w:tblStyle w:val="9"/>
        <w:tblW w:w="909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03"/>
        <w:gridCol w:w="2414"/>
        <w:gridCol w:w="1036"/>
        <w:gridCol w:w="1104"/>
        <w:gridCol w:w="3941"/>
      </w:tblGrid>
      <w:tr>
        <w:trPr>
          <w:trHeight w:val="540" w:hRule="atLeast"/>
        </w:trPr>
        <w:tc>
          <w:tcPr>
            <w:tcW w:w="60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序号</w:t>
            </w:r>
          </w:p>
        </w:tc>
        <w:tc>
          <w:tcPr>
            <w:tcW w:w="241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物业</w:t>
            </w:r>
          </w:p>
        </w:tc>
        <w:tc>
          <w:tcPr>
            <w:tcW w:w="1036"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工单量</w:t>
            </w:r>
          </w:p>
        </w:tc>
        <w:tc>
          <w:tcPr>
            <w:tcW w:w="1104"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在管小区数</w:t>
            </w:r>
          </w:p>
        </w:tc>
        <w:tc>
          <w:tcPr>
            <w:tcW w:w="3941"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诉求较高的前三项（按子类统计）</w:t>
            </w:r>
          </w:p>
        </w:tc>
      </w:tr>
      <w:tr>
        <w:trPr>
          <w:trHeight w:val="810" w:hRule="atLeast"/>
        </w:trPr>
        <w:tc>
          <w:tcPr>
            <w:tcW w:w="60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上海高建物业有限公司</w:t>
            </w:r>
          </w:p>
        </w:tc>
        <w:tc>
          <w:tcPr>
            <w:tcW w:w="103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1146</w:t>
            </w:r>
          </w:p>
        </w:tc>
        <w:tc>
          <w:tcPr>
            <w:tcW w:w="110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80</w:t>
            </w:r>
          </w:p>
        </w:tc>
        <w:tc>
          <w:tcPr>
            <w:tcW w:w="394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小区物业日常事务（263件）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非直管公房物业维修养护（127件）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停车秩序（98件）</w:t>
            </w:r>
          </w:p>
        </w:tc>
      </w:tr>
      <w:tr>
        <w:trPr>
          <w:trHeight w:val="1080" w:hRule="atLeast"/>
        </w:trPr>
        <w:tc>
          <w:tcPr>
            <w:tcW w:w="60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上海衡复物业有限公司</w:t>
            </w:r>
          </w:p>
        </w:tc>
        <w:tc>
          <w:tcPr>
            <w:tcW w:w="103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836</w:t>
            </w:r>
          </w:p>
        </w:tc>
        <w:tc>
          <w:tcPr>
            <w:tcW w:w="110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103</w:t>
            </w:r>
          </w:p>
        </w:tc>
        <w:tc>
          <w:tcPr>
            <w:tcW w:w="394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小区物业日常事务（172件）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直管公房物业维修养护（117件）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绿化养护、修剪（110件）</w:t>
            </w:r>
          </w:p>
        </w:tc>
      </w:tr>
      <w:tr>
        <w:trPr>
          <w:trHeight w:val="810" w:hRule="atLeast"/>
        </w:trPr>
        <w:tc>
          <w:tcPr>
            <w:tcW w:w="60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上海徐房物业有限公司</w:t>
            </w:r>
          </w:p>
        </w:tc>
        <w:tc>
          <w:tcPr>
            <w:tcW w:w="103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684</w:t>
            </w:r>
          </w:p>
        </w:tc>
        <w:tc>
          <w:tcPr>
            <w:tcW w:w="110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54</w:t>
            </w:r>
          </w:p>
        </w:tc>
        <w:tc>
          <w:tcPr>
            <w:tcW w:w="394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小区物业日常事务（140件）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停车秩序（69件）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停车收费（67件）</w:t>
            </w:r>
          </w:p>
        </w:tc>
      </w:tr>
      <w:tr>
        <w:trPr>
          <w:trHeight w:val="810" w:hRule="atLeast"/>
        </w:trPr>
        <w:tc>
          <w:tcPr>
            <w:tcW w:w="60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上海汇成物业有限公司</w:t>
            </w:r>
          </w:p>
        </w:tc>
        <w:tc>
          <w:tcPr>
            <w:tcW w:w="103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351</w:t>
            </w:r>
          </w:p>
        </w:tc>
        <w:tc>
          <w:tcPr>
            <w:tcW w:w="110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14</w:t>
            </w:r>
          </w:p>
        </w:tc>
        <w:tc>
          <w:tcPr>
            <w:tcW w:w="394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小区物业日常事务（87件）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停车秩序（47件）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垃圾清运（39件）</w:t>
            </w:r>
          </w:p>
        </w:tc>
      </w:tr>
      <w:tr>
        <w:trPr>
          <w:trHeight w:val="810" w:hRule="atLeast"/>
        </w:trPr>
        <w:tc>
          <w:tcPr>
            <w:tcW w:w="60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秀澜（上海）物业管理有限公司</w:t>
            </w:r>
          </w:p>
        </w:tc>
        <w:tc>
          <w:tcPr>
            <w:tcW w:w="103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340</w:t>
            </w:r>
          </w:p>
        </w:tc>
        <w:tc>
          <w:tcPr>
            <w:tcW w:w="110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13</w:t>
            </w:r>
          </w:p>
        </w:tc>
        <w:tc>
          <w:tcPr>
            <w:tcW w:w="394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停车收费（82件）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侵占公共停车位（57件）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小区物业日常事务（50件）</w:t>
            </w:r>
          </w:p>
        </w:tc>
      </w:tr>
      <w:tr>
        <w:trPr>
          <w:trHeight w:val="810" w:hRule="atLeast"/>
        </w:trPr>
        <w:tc>
          <w:tcPr>
            <w:tcW w:w="60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上海安得物业管理有限公司</w:t>
            </w:r>
          </w:p>
        </w:tc>
        <w:tc>
          <w:tcPr>
            <w:tcW w:w="103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308</w:t>
            </w:r>
          </w:p>
        </w:tc>
        <w:tc>
          <w:tcPr>
            <w:tcW w:w="110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12</w:t>
            </w:r>
          </w:p>
        </w:tc>
        <w:tc>
          <w:tcPr>
            <w:tcW w:w="394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小区物业日常事务（72件）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停车收费（36件）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停车秩序（27件）</w:t>
            </w:r>
          </w:p>
        </w:tc>
      </w:tr>
      <w:tr>
        <w:trPr>
          <w:trHeight w:val="810" w:hRule="atLeast"/>
        </w:trPr>
        <w:tc>
          <w:tcPr>
            <w:tcW w:w="60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上海轻工物业管理有限公司</w:t>
            </w:r>
          </w:p>
        </w:tc>
        <w:tc>
          <w:tcPr>
            <w:tcW w:w="103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305</w:t>
            </w:r>
          </w:p>
        </w:tc>
        <w:tc>
          <w:tcPr>
            <w:tcW w:w="110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15</w:t>
            </w:r>
          </w:p>
        </w:tc>
        <w:tc>
          <w:tcPr>
            <w:tcW w:w="394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小区物业日常事务（74件）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物业管理费（22件）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停车秩序（21件）</w:t>
            </w:r>
          </w:p>
        </w:tc>
      </w:tr>
      <w:tr>
        <w:trPr>
          <w:trHeight w:val="810" w:hRule="atLeast"/>
        </w:trPr>
        <w:tc>
          <w:tcPr>
            <w:tcW w:w="60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上海中星集团申城物业有限公司</w:t>
            </w:r>
          </w:p>
        </w:tc>
        <w:tc>
          <w:tcPr>
            <w:tcW w:w="103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281</w:t>
            </w:r>
          </w:p>
        </w:tc>
        <w:tc>
          <w:tcPr>
            <w:tcW w:w="110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w:t>
            </w:r>
          </w:p>
        </w:tc>
        <w:tc>
          <w:tcPr>
            <w:tcW w:w="394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小区物业日常事务（80件）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停车秩序（46件）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停车收费（21件）</w:t>
            </w:r>
          </w:p>
        </w:tc>
      </w:tr>
      <w:tr>
        <w:trPr>
          <w:trHeight w:val="810" w:hRule="atLeast"/>
        </w:trPr>
        <w:tc>
          <w:tcPr>
            <w:tcW w:w="60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9</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上海阳光投资（集团）物业管理有限公司</w:t>
            </w:r>
          </w:p>
        </w:tc>
        <w:tc>
          <w:tcPr>
            <w:tcW w:w="103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201</w:t>
            </w:r>
          </w:p>
        </w:tc>
        <w:tc>
          <w:tcPr>
            <w:tcW w:w="110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w:t>
            </w:r>
          </w:p>
        </w:tc>
        <w:tc>
          <w:tcPr>
            <w:tcW w:w="394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业委会组建换届（46件）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停车秩序（33件）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小区物业日常事务（23件）</w:t>
            </w:r>
          </w:p>
        </w:tc>
      </w:tr>
      <w:tr>
        <w:trPr>
          <w:trHeight w:val="810" w:hRule="atLeast"/>
        </w:trPr>
        <w:tc>
          <w:tcPr>
            <w:tcW w:w="603"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10</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上海晏鑫物业有限公司</w:t>
            </w:r>
          </w:p>
        </w:tc>
        <w:tc>
          <w:tcPr>
            <w:tcW w:w="103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180</w:t>
            </w:r>
          </w:p>
        </w:tc>
        <w:tc>
          <w:tcPr>
            <w:tcW w:w="110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w:t>
            </w:r>
          </w:p>
        </w:tc>
        <w:tc>
          <w:tcPr>
            <w:tcW w:w="394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停车秩序（51件）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小区物业日常事务（29件）</w:t>
            </w:r>
            <w:r>
              <w:rPr>
                <w:rFonts w:hint="eastAsia" w:ascii="仿宋_GB2312" w:hAnsi="仿宋_GB2312" w:eastAsia="仿宋_GB2312" w:cs="仿宋_GB2312"/>
                <w:i w:val="0"/>
                <w:iCs w:val="0"/>
                <w:color w:val="000000"/>
                <w:kern w:val="0"/>
                <w:sz w:val="30"/>
                <w:szCs w:val="30"/>
                <w:u w:val="none"/>
                <w:lang w:val="en-US" w:eastAsia="zh-CN"/>
              </w:rPr>
              <w:br w:type="textWrapping"/>
            </w:r>
            <w:r>
              <w:rPr>
                <w:rFonts w:hint="eastAsia" w:ascii="仿宋_GB2312" w:hAnsi="仿宋_GB2312" w:eastAsia="仿宋_GB2312" w:cs="仿宋_GB2312"/>
                <w:i w:val="0"/>
                <w:iCs w:val="0"/>
                <w:color w:val="000000"/>
                <w:kern w:val="0"/>
                <w:sz w:val="30"/>
                <w:szCs w:val="30"/>
                <w:u w:val="none"/>
                <w:lang w:val="en-US" w:eastAsia="zh-CN"/>
              </w:rPr>
              <w:t>停车困难（20件）</w:t>
            </w:r>
          </w:p>
        </w:tc>
      </w:tr>
    </w:tbl>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工单密度排名前十的企业以小型物业为主，分别为：上海华天物业管理有限公司（60.00%）、上海好管家实业有限公司（36.36%）、上海客尚居物业管理有限公司（19.05%）、上海恒联物业有限公司（9.30%）、上海高力国际物业服务有限公司（8.11%）、上海东湖物业管理有限公司（7.04%）、上海伯谦物业管理有限公司（6.75%）、上海通力物业管理有限公司（6.72%）、上海海运物业管理有限公司（6.67%）、上海铭杰物业管理有限公司（6.25%）。此类企业普遍存在在管户数少、管理能力薄弱等问题，诉求相对集中。</w:t>
      </w:r>
    </w:p>
    <w:tbl>
      <w:tblPr>
        <w:tblStyle w:val="9"/>
        <w:tblW w:w="9112"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85"/>
        <w:gridCol w:w="3621"/>
        <w:gridCol w:w="1151"/>
        <w:gridCol w:w="1296"/>
        <w:gridCol w:w="1445"/>
        <w:gridCol w:w="914"/>
      </w:tblGrid>
      <w:tr>
        <w:trPr>
          <w:trHeight w:val="270" w:hRule="atLeast"/>
        </w:trPr>
        <w:tc>
          <w:tcPr>
            <w:tcW w:w="68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序号</w:t>
            </w:r>
          </w:p>
        </w:tc>
        <w:tc>
          <w:tcPr>
            <w:tcW w:w="362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物业企业名称</w:t>
            </w:r>
          </w:p>
        </w:tc>
        <w:tc>
          <w:tcPr>
            <w:tcW w:w="1151"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工单量</w:t>
            </w:r>
          </w:p>
        </w:tc>
        <w:tc>
          <w:tcPr>
            <w:tcW w:w="1296"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在管户数</w:t>
            </w:r>
          </w:p>
        </w:tc>
        <w:tc>
          <w:tcPr>
            <w:tcW w:w="1445"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密度</w:t>
            </w:r>
          </w:p>
        </w:tc>
        <w:tc>
          <w:tcPr>
            <w:tcW w:w="914"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在管小区</w:t>
            </w:r>
          </w:p>
        </w:tc>
      </w:tr>
      <w:tr>
        <w:trPr>
          <w:trHeight w:val="270" w:hRule="atLeast"/>
        </w:trPr>
        <w:tc>
          <w:tcPr>
            <w:tcW w:w="68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c>
          <w:tcPr>
            <w:tcW w:w="3621"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上海华天物业管理有限公司</w:t>
            </w:r>
          </w:p>
        </w:tc>
        <w:tc>
          <w:tcPr>
            <w:tcW w:w="1151"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w:t>
            </w:r>
          </w:p>
        </w:tc>
        <w:tc>
          <w:tcPr>
            <w:tcW w:w="129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w:t>
            </w:r>
          </w:p>
        </w:tc>
        <w:tc>
          <w:tcPr>
            <w:tcW w:w="144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60.00%</w:t>
            </w:r>
          </w:p>
        </w:tc>
        <w:tc>
          <w:tcPr>
            <w:tcW w:w="91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r>
      <w:tr>
        <w:trPr>
          <w:trHeight w:val="270" w:hRule="atLeast"/>
        </w:trPr>
        <w:tc>
          <w:tcPr>
            <w:tcW w:w="68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w:t>
            </w:r>
          </w:p>
        </w:tc>
        <w:tc>
          <w:tcPr>
            <w:tcW w:w="3621"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上海好管家实业有限公司</w:t>
            </w:r>
          </w:p>
        </w:tc>
        <w:tc>
          <w:tcPr>
            <w:tcW w:w="1151"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24</w:t>
            </w:r>
          </w:p>
        </w:tc>
        <w:tc>
          <w:tcPr>
            <w:tcW w:w="129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66</w:t>
            </w:r>
          </w:p>
        </w:tc>
        <w:tc>
          <w:tcPr>
            <w:tcW w:w="144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36.36%</w:t>
            </w:r>
          </w:p>
        </w:tc>
        <w:tc>
          <w:tcPr>
            <w:tcW w:w="91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r>
      <w:tr>
        <w:trPr>
          <w:trHeight w:val="270" w:hRule="atLeast"/>
        </w:trPr>
        <w:tc>
          <w:tcPr>
            <w:tcW w:w="68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w:t>
            </w:r>
          </w:p>
        </w:tc>
        <w:tc>
          <w:tcPr>
            <w:tcW w:w="3621"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上海客尚居物业管理有限公司</w:t>
            </w:r>
          </w:p>
        </w:tc>
        <w:tc>
          <w:tcPr>
            <w:tcW w:w="1151"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w:t>
            </w:r>
          </w:p>
        </w:tc>
        <w:tc>
          <w:tcPr>
            <w:tcW w:w="129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21</w:t>
            </w:r>
          </w:p>
        </w:tc>
        <w:tc>
          <w:tcPr>
            <w:tcW w:w="144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19.05%</w:t>
            </w:r>
          </w:p>
        </w:tc>
        <w:tc>
          <w:tcPr>
            <w:tcW w:w="91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r>
      <w:tr>
        <w:trPr>
          <w:trHeight w:val="270" w:hRule="atLeast"/>
        </w:trPr>
        <w:tc>
          <w:tcPr>
            <w:tcW w:w="68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w:t>
            </w:r>
          </w:p>
        </w:tc>
        <w:tc>
          <w:tcPr>
            <w:tcW w:w="3621"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上海恒联物业有限公司</w:t>
            </w:r>
          </w:p>
        </w:tc>
        <w:tc>
          <w:tcPr>
            <w:tcW w:w="1151"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56</w:t>
            </w:r>
          </w:p>
        </w:tc>
        <w:tc>
          <w:tcPr>
            <w:tcW w:w="129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602</w:t>
            </w:r>
          </w:p>
        </w:tc>
        <w:tc>
          <w:tcPr>
            <w:tcW w:w="144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9.30%</w:t>
            </w:r>
          </w:p>
        </w:tc>
        <w:tc>
          <w:tcPr>
            <w:tcW w:w="91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w:t>
            </w:r>
          </w:p>
        </w:tc>
      </w:tr>
      <w:tr>
        <w:trPr>
          <w:trHeight w:val="270" w:hRule="atLeast"/>
        </w:trPr>
        <w:tc>
          <w:tcPr>
            <w:tcW w:w="68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w:t>
            </w:r>
          </w:p>
        </w:tc>
        <w:tc>
          <w:tcPr>
            <w:tcW w:w="3621"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上海高力国际物业服务有限公司</w:t>
            </w:r>
          </w:p>
        </w:tc>
        <w:tc>
          <w:tcPr>
            <w:tcW w:w="1151"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39</w:t>
            </w:r>
          </w:p>
        </w:tc>
        <w:tc>
          <w:tcPr>
            <w:tcW w:w="129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481</w:t>
            </w:r>
          </w:p>
        </w:tc>
        <w:tc>
          <w:tcPr>
            <w:tcW w:w="144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8.11%</w:t>
            </w:r>
          </w:p>
        </w:tc>
        <w:tc>
          <w:tcPr>
            <w:tcW w:w="91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r>
      <w:tr>
        <w:trPr>
          <w:trHeight w:val="270" w:hRule="atLeast"/>
        </w:trPr>
        <w:tc>
          <w:tcPr>
            <w:tcW w:w="68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w:t>
            </w:r>
          </w:p>
        </w:tc>
        <w:tc>
          <w:tcPr>
            <w:tcW w:w="3621"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上海东湖物业管理有限公司</w:t>
            </w:r>
          </w:p>
        </w:tc>
        <w:tc>
          <w:tcPr>
            <w:tcW w:w="1151"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42</w:t>
            </w:r>
          </w:p>
        </w:tc>
        <w:tc>
          <w:tcPr>
            <w:tcW w:w="129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597</w:t>
            </w:r>
          </w:p>
        </w:tc>
        <w:tc>
          <w:tcPr>
            <w:tcW w:w="144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7.04%</w:t>
            </w:r>
          </w:p>
        </w:tc>
        <w:tc>
          <w:tcPr>
            <w:tcW w:w="91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r>
      <w:tr>
        <w:trPr>
          <w:trHeight w:val="270" w:hRule="atLeast"/>
        </w:trPr>
        <w:tc>
          <w:tcPr>
            <w:tcW w:w="68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w:t>
            </w:r>
          </w:p>
        </w:tc>
        <w:tc>
          <w:tcPr>
            <w:tcW w:w="3621"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上海伯谦物业管理有限公司</w:t>
            </w:r>
          </w:p>
        </w:tc>
        <w:tc>
          <w:tcPr>
            <w:tcW w:w="1151"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16</w:t>
            </w:r>
          </w:p>
        </w:tc>
        <w:tc>
          <w:tcPr>
            <w:tcW w:w="129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237</w:t>
            </w:r>
          </w:p>
        </w:tc>
        <w:tc>
          <w:tcPr>
            <w:tcW w:w="144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6.75%</w:t>
            </w:r>
          </w:p>
        </w:tc>
        <w:tc>
          <w:tcPr>
            <w:tcW w:w="91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r>
      <w:tr>
        <w:trPr>
          <w:trHeight w:val="270" w:hRule="atLeast"/>
        </w:trPr>
        <w:tc>
          <w:tcPr>
            <w:tcW w:w="68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w:t>
            </w:r>
          </w:p>
        </w:tc>
        <w:tc>
          <w:tcPr>
            <w:tcW w:w="3621"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上海通力物业管理有限公司</w:t>
            </w:r>
          </w:p>
        </w:tc>
        <w:tc>
          <w:tcPr>
            <w:tcW w:w="1151"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17</w:t>
            </w:r>
          </w:p>
        </w:tc>
        <w:tc>
          <w:tcPr>
            <w:tcW w:w="129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253</w:t>
            </w:r>
          </w:p>
        </w:tc>
        <w:tc>
          <w:tcPr>
            <w:tcW w:w="144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6.72%</w:t>
            </w:r>
          </w:p>
        </w:tc>
        <w:tc>
          <w:tcPr>
            <w:tcW w:w="91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r>
      <w:tr>
        <w:trPr>
          <w:trHeight w:val="270" w:hRule="atLeast"/>
        </w:trPr>
        <w:tc>
          <w:tcPr>
            <w:tcW w:w="68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9</w:t>
            </w:r>
          </w:p>
        </w:tc>
        <w:tc>
          <w:tcPr>
            <w:tcW w:w="3621"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上海海运物业管理有限公司</w:t>
            </w:r>
          </w:p>
        </w:tc>
        <w:tc>
          <w:tcPr>
            <w:tcW w:w="1151"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c>
          <w:tcPr>
            <w:tcW w:w="129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15</w:t>
            </w:r>
          </w:p>
        </w:tc>
        <w:tc>
          <w:tcPr>
            <w:tcW w:w="144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6.67%</w:t>
            </w:r>
          </w:p>
        </w:tc>
        <w:tc>
          <w:tcPr>
            <w:tcW w:w="91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r>
      <w:tr>
        <w:trPr>
          <w:trHeight w:val="270" w:hRule="atLeast"/>
        </w:trPr>
        <w:tc>
          <w:tcPr>
            <w:tcW w:w="68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10</w:t>
            </w:r>
          </w:p>
        </w:tc>
        <w:tc>
          <w:tcPr>
            <w:tcW w:w="3621"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上海铭杰物业管理有限公司</w:t>
            </w:r>
          </w:p>
        </w:tc>
        <w:tc>
          <w:tcPr>
            <w:tcW w:w="1151"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28</w:t>
            </w:r>
          </w:p>
        </w:tc>
        <w:tc>
          <w:tcPr>
            <w:tcW w:w="1296"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448</w:t>
            </w:r>
          </w:p>
        </w:tc>
        <w:tc>
          <w:tcPr>
            <w:tcW w:w="1445"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6.25%</w:t>
            </w:r>
          </w:p>
        </w:tc>
        <w:tc>
          <w:tcPr>
            <w:tcW w:w="914" w:type="dxa"/>
            <w:tcBorders>
              <w:top w:val="nil"/>
              <w:left w:val="nil"/>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r>
    </w:tbl>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楷体_GB2312" w:hAnsi="楷体_GB2312" w:eastAsia="楷体_GB2312" w:cs="楷体_GB2312"/>
          <w:sz w:val="30"/>
          <w:szCs w:val="30"/>
        </w:rPr>
      </w:pPr>
      <w:r>
        <w:rPr>
          <w:rFonts w:hint="eastAsia" w:ascii="楷体_GB2312" w:hAnsi="楷体_GB2312" w:eastAsia="楷体_GB2312" w:cs="楷体_GB2312"/>
          <w:b/>
          <w:sz w:val="30"/>
          <w:szCs w:val="30"/>
          <w:lang w:eastAsia="zh-CN"/>
        </w:rPr>
        <w:t>（二）</w:t>
      </w:r>
      <w:r>
        <w:rPr>
          <w:rFonts w:hint="eastAsia" w:ascii="楷体_GB2312" w:hAnsi="楷体_GB2312" w:eastAsia="楷体_GB2312" w:cs="楷体_GB2312"/>
          <w:b/>
          <w:sz w:val="30"/>
          <w:szCs w:val="30"/>
        </w:rPr>
        <w:t>核心问题与成因研判</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sz w:val="30"/>
          <w:szCs w:val="30"/>
          <w:lang w:val="en-US" w:eastAsia="zh-CN"/>
        </w:rPr>
        <w:t>一是</w:t>
      </w:r>
      <w:r>
        <w:rPr>
          <w:rFonts w:hint="eastAsia" w:ascii="仿宋_GB2312" w:hAnsi="仿宋_GB2312" w:eastAsia="仿宋_GB2312" w:cs="仿宋_GB2312"/>
          <w:sz w:val="30"/>
          <w:szCs w:val="30"/>
        </w:rPr>
        <w:t>大企业压力集中</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工单数量排名前列的企业多为在管小区多、规模大的企业，工单总量高但密度相对较低，主要因服务范围广、老旧小区占比高，维修与管理需求集中。</w:t>
      </w:r>
      <w:r>
        <w:rPr>
          <w:rFonts w:hint="eastAsia" w:ascii="仿宋_GB2312" w:hAnsi="仿宋_GB2312" w:eastAsia="仿宋_GB2312" w:cs="仿宋_GB2312"/>
          <w:sz w:val="30"/>
          <w:szCs w:val="30"/>
          <w:lang w:val="en-US" w:eastAsia="zh-CN"/>
        </w:rPr>
        <w:t>二是</w:t>
      </w:r>
      <w:r>
        <w:rPr>
          <w:rFonts w:hint="eastAsia" w:ascii="仿宋_GB2312" w:hAnsi="仿宋_GB2312" w:eastAsia="仿宋_GB2312" w:cs="仿宋_GB2312"/>
          <w:sz w:val="30"/>
          <w:szCs w:val="30"/>
        </w:rPr>
        <w:t>小企业能力不足</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高密度小型物业企业多存在人员配备不足、服务流程不规范、应急处置能力弱等问题，缺乏标准化的管理体系，易引发业主投诉。</w:t>
      </w:r>
      <w:r>
        <w:rPr>
          <w:rFonts w:hint="eastAsia" w:ascii="仿宋_GB2312" w:hAnsi="仿宋_GB2312" w:eastAsia="仿宋_GB2312" w:cs="仿宋_GB2312"/>
          <w:sz w:val="30"/>
          <w:szCs w:val="30"/>
          <w:lang w:val="en-US" w:eastAsia="zh-CN"/>
        </w:rPr>
        <w:t>三是</w:t>
      </w:r>
      <w:r>
        <w:rPr>
          <w:rFonts w:hint="eastAsia" w:ascii="仿宋_GB2312" w:hAnsi="仿宋_GB2312" w:eastAsia="仿宋_GB2312" w:cs="仿宋_GB2312"/>
          <w:sz w:val="30"/>
          <w:szCs w:val="30"/>
        </w:rPr>
        <w:t>服务质量不均</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部分企业存在外包服务管控不严、一线人员培训不足等问题，导致物业日常事务、停车管理等领域投诉集中。</w:t>
      </w:r>
    </w:p>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楷体_GB2312" w:hAnsi="楷体_GB2312" w:eastAsia="楷体_GB2312" w:cs="楷体_GB2312"/>
          <w:sz w:val="30"/>
          <w:szCs w:val="30"/>
        </w:rPr>
      </w:pPr>
      <w:r>
        <w:rPr>
          <w:rFonts w:hint="eastAsia" w:ascii="楷体_GB2312" w:hAnsi="楷体_GB2312" w:eastAsia="楷体_GB2312" w:cs="楷体_GB2312"/>
          <w:b/>
          <w:sz w:val="30"/>
          <w:szCs w:val="30"/>
          <w:lang w:eastAsia="zh-CN"/>
        </w:rPr>
        <w:t>（三）</w:t>
      </w:r>
      <w:r>
        <w:rPr>
          <w:rFonts w:hint="eastAsia" w:ascii="楷体_GB2312" w:hAnsi="楷体_GB2312" w:eastAsia="楷体_GB2312" w:cs="楷体_GB2312"/>
          <w:b/>
          <w:sz w:val="30"/>
          <w:szCs w:val="30"/>
        </w:rPr>
        <w:t>针对性对策建议</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val="en-US" w:eastAsia="zh-CN"/>
        </w:rPr>
        <w:t>一是</w:t>
      </w:r>
      <w:r>
        <w:rPr>
          <w:rFonts w:hint="eastAsia" w:ascii="仿宋_GB2312" w:hAnsi="仿宋_GB2312" w:eastAsia="仿宋_GB2312" w:cs="仿宋_GB2312"/>
          <w:sz w:val="30"/>
          <w:szCs w:val="30"/>
        </w:rPr>
        <w:t>分类监管企业</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对大型物业企业重点督导共性问题整改，要求制定专项改善方案；对小型高密度企业开展专项约谈，提供管理培训与支持。</w:t>
      </w:r>
      <w:r>
        <w:rPr>
          <w:rFonts w:hint="eastAsia" w:ascii="仿宋_GB2312" w:hAnsi="仿宋_GB2312" w:eastAsia="仿宋_GB2312" w:cs="仿宋_GB2312"/>
          <w:sz w:val="30"/>
          <w:szCs w:val="30"/>
          <w:lang w:val="en-US" w:eastAsia="zh-CN"/>
        </w:rPr>
        <w:t>二是</w:t>
      </w:r>
      <w:r>
        <w:rPr>
          <w:rFonts w:hint="eastAsia" w:ascii="仿宋_GB2312" w:hAnsi="仿宋_GB2312" w:eastAsia="仿宋_GB2312" w:cs="仿宋_GB2312"/>
          <w:sz w:val="30"/>
          <w:szCs w:val="30"/>
        </w:rPr>
        <w:t>推广</w:t>
      </w:r>
      <w:r>
        <w:rPr>
          <w:rFonts w:hint="eastAsia" w:ascii="仿宋_GB2312" w:hAnsi="仿宋_GB2312" w:eastAsia="仿宋_GB2312" w:cs="仿宋_GB2312"/>
          <w:sz w:val="30"/>
          <w:szCs w:val="30"/>
          <w:lang w:eastAsia="zh-CN"/>
        </w:rPr>
        <w:t>优秀典范。</w:t>
      </w:r>
      <w:r>
        <w:rPr>
          <w:rFonts w:hint="eastAsia" w:ascii="仿宋_GB2312" w:hAnsi="仿宋_GB2312" w:eastAsia="仿宋_GB2312" w:cs="仿宋_GB2312"/>
          <w:sz w:val="30"/>
          <w:szCs w:val="30"/>
        </w:rPr>
        <w:t>组织优秀物业企业分享快速报修响应、停车秩序管理、保洁绿化标准化等经验，形成案例集推广。</w:t>
      </w:r>
      <w:r>
        <w:rPr>
          <w:rFonts w:hint="eastAsia" w:ascii="仿宋_GB2312" w:hAnsi="仿宋_GB2312" w:eastAsia="仿宋_GB2312" w:cs="仿宋_GB2312"/>
          <w:sz w:val="30"/>
          <w:szCs w:val="30"/>
          <w:lang w:val="en-US" w:eastAsia="zh-CN"/>
        </w:rPr>
        <w:t>三是</w:t>
      </w:r>
      <w:r>
        <w:rPr>
          <w:rFonts w:hint="eastAsia" w:ascii="仿宋_GB2312" w:hAnsi="仿宋_GB2312" w:eastAsia="仿宋_GB2312" w:cs="仿宋_GB2312"/>
          <w:sz w:val="30"/>
          <w:szCs w:val="30"/>
        </w:rPr>
        <w:t>强化外包管控</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要求物业企业加强对外包服务的监管，明确服务标准与考核机制，定期开展外包人员培训，确保服务质量统一</w:t>
      </w:r>
      <w:r>
        <w:rPr>
          <w:rFonts w:hint="eastAsia" w:ascii="仿宋_GB2312" w:hAnsi="仿宋_GB2312" w:eastAsia="仿宋_GB2312" w:cs="仿宋_GB2312"/>
          <w:sz w:val="30"/>
          <w:szCs w:val="30"/>
          <w:lang w:eastAsia="zh-CN"/>
        </w:rPr>
        <w:t>。</w:t>
      </w:r>
    </w:p>
    <w:p>
      <w:pPr>
        <w:keepNext w:val="0"/>
        <w:keepLines w:val="0"/>
        <w:pageBreakBefore w:val="0"/>
        <w:widowControl w:val="0"/>
        <w:kinsoku/>
        <w:wordWrap/>
        <w:overflowPunct/>
        <w:topLinePunct w:val="0"/>
        <w:autoSpaceDE/>
        <w:autoSpaceDN/>
        <w:bidi w:val="0"/>
        <w:adjustRightInd/>
        <w:snapToGrid/>
        <w:spacing w:before="320" w:after="120" w:line="288" w:lineRule="auto"/>
        <w:ind w:left="0"/>
        <w:jc w:val="both"/>
        <w:outlineLvl w:val="1"/>
        <w:rPr>
          <w:rFonts w:hint="eastAsia" w:ascii="黑体" w:hAnsi="黑体" w:eastAsia="黑体" w:cs="黑体"/>
          <w:sz w:val="30"/>
          <w:szCs w:val="30"/>
        </w:rPr>
      </w:pPr>
      <w:r>
        <w:rPr>
          <w:rFonts w:hint="eastAsia" w:ascii="黑体" w:hAnsi="黑体" w:eastAsia="黑体" w:cs="黑体"/>
          <w:b/>
          <w:sz w:val="30"/>
          <w:szCs w:val="30"/>
          <w:lang w:eastAsia="zh-CN"/>
        </w:rPr>
        <w:t>四、</w:t>
      </w:r>
      <w:r>
        <w:rPr>
          <w:rFonts w:hint="eastAsia" w:ascii="黑体" w:hAnsi="黑体" w:eastAsia="黑体" w:cs="黑体"/>
          <w:b/>
          <w:sz w:val="30"/>
          <w:szCs w:val="30"/>
          <w:lang w:val="en-US" w:eastAsia="zh-CN"/>
        </w:rPr>
        <w:t>街镇</w:t>
      </w:r>
      <w:r>
        <w:rPr>
          <w:rFonts w:hint="eastAsia" w:ascii="黑体" w:hAnsi="黑体" w:eastAsia="黑体" w:cs="黑体"/>
          <w:b/>
          <w:sz w:val="30"/>
          <w:szCs w:val="30"/>
          <w:lang w:eastAsia="zh-CN"/>
        </w:rPr>
        <w:t>分布情况</w:t>
      </w:r>
      <w:r>
        <w:rPr>
          <w:rFonts w:hint="eastAsia" w:ascii="黑体" w:hAnsi="黑体" w:eastAsia="黑体" w:cs="黑体"/>
          <w:b/>
          <w:sz w:val="30"/>
          <w:szCs w:val="30"/>
        </w:rPr>
        <w:t>分析</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楷体_GB2312" w:hAnsi="楷体_GB2312" w:eastAsia="楷体_GB2312" w:cs="楷体_GB2312"/>
          <w:b/>
          <w:sz w:val="30"/>
          <w:szCs w:val="30"/>
        </w:rPr>
      </w:pPr>
      <w:r>
        <w:rPr>
          <w:rFonts w:hint="eastAsia" w:ascii="楷体_GB2312" w:hAnsi="楷体_GB2312" w:eastAsia="楷体_GB2312" w:cs="楷体_GB2312"/>
          <w:b/>
          <w:sz w:val="30"/>
          <w:szCs w:val="30"/>
          <w:lang w:eastAsia="zh-CN"/>
        </w:rPr>
        <w:t>（一）</w:t>
      </w:r>
      <w:r>
        <w:rPr>
          <w:rFonts w:hint="eastAsia" w:ascii="楷体_GB2312" w:hAnsi="楷体_GB2312" w:eastAsia="楷体_GB2312" w:cs="楷体_GB2312"/>
          <w:b/>
          <w:sz w:val="30"/>
          <w:szCs w:val="30"/>
          <w:lang w:val="en-US" w:eastAsia="zh-CN"/>
        </w:rPr>
        <w:t>各街镇总</w:t>
      </w:r>
      <w:r>
        <w:rPr>
          <w:rFonts w:hint="eastAsia" w:ascii="楷体_GB2312" w:hAnsi="楷体_GB2312" w:eastAsia="楷体_GB2312" w:cs="楷体_GB2312"/>
          <w:b/>
          <w:sz w:val="30"/>
          <w:szCs w:val="30"/>
        </w:rPr>
        <w:t>排名</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2025 年工单量排名前三的街镇为长桥街道（1651 件，占比 13.13%）、徐家汇街道（1211 件，占比 9.63%）、枫林路街道（1195 件，占比 9.50%）；工单密度排名前三的为湖南路街道（3.67%）、虹梅路街道（3.03%）、枫林路街道（2.99%）。</w:t>
      </w:r>
    </w:p>
    <w:tbl>
      <w:tblPr>
        <w:tblStyle w:val="9"/>
        <w:tblW w:w="65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6"/>
        <w:gridCol w:w="2140"/>
        <w:gridCol w:w="960"/>
        <w:gridCol w:w="960"/>
        <w:gridCol w:w="1464"/>
      </w:tblGrid>
      <w:tr>
        <w:trPr>
          <w:trHeight w:val="355" w:hRule="atLeast"/>
          <w:jc w:val="center"/>
        </w:trPr>
        <w:tc>
          <w:tcPr>
            <w:tcW w:w="98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序号</w:t>
            </w:r>
          </w:p>
        </w:tc>
        <w:tc>
          <w:tcPr>
            <w:tcW w:w="214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街道</w:t>
            </w:r>
          </w:p>
        </w:tc>
        <w:tc>
          <w:tcPr>
            <w:tcW w:w="960" w:type="dxa"/>
            <w:tcBorders>
              <w:top w:val="single" w:color="000000" w:sz="8" w:space="0"/>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工单量</w:t>
            </w:r>
          </w:p>
        </w:tc>
        <w:tc>
          <w:tcPr>
            <w:tcW w:w="960" w:type="dxa"/>
            <w:tcBorders>
              <w:top w:val="single" w:color="000000" w:sz="8" w:space="0"/>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占比</w:t>
            </w:r>
          </w:p>
        </w:tc>
        <w:tc>
          <w:tcPr>
            <w:tcW w:w="1464" w:type="dxa"/>
            <w:tcBorders>
              <w:top w:val="single" w:color="000000" w:sz="8" w:space="0"/>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kern w:val="0"/>
                <w:sz w:val="30"/>
                <w:szCs w:val="30"/>
                <w:u w:val="none"/>
                <w:lang w:val="en-US" w:eastAsia="zh-CN"/>
              </w:rPr>
              <w:t>在管户数</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长桥街道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1651</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13.13%</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55590</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2</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徐家汇街道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1211</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9.63%</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57172</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枫林路街道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1195</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9.50%</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39917</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斜土路街道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1054</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8.38%</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39098</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漕河泾街道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1036</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8.24%</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49767</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龙华街道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980</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7.79%</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45084</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田林街道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889</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7.07%</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47043</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康健新村街道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881</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7.01%</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39294</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9</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华泾镇</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856</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6.81%</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33087</w:t>
            </w:r>
          </w:p>
        </w:tc>
      </w:tr>
      <w:tr>
        <w:trPr>
          <w:trHeight w:val="355" w:hRule="atLeast"/>
          <w:jc w:val="center"/>
        </w:trPr>
        <w:tc>
          <w:tcPr>
            <w:tcW w:w="98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10</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凌云路街道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843</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6.70%</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40021</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11</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天平路街道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811</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6.45%</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30671</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12</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湖南路街道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669</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5.32%</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18241</w:t>
            </w:r>
          </w:p>
        </w:tc>
      </w:tr>
      <w:tr>
        <w:trPr>
          <w:trHeight w:val="355" w:hRule="atLeast"/>
          <w:jc w:val="center"/>
        </w:trPr>
        <w:tc>
          <w:tcPr>
            <w:tcW w:w="986"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13</w:t>
            </w:r>
          </w:p>
        </w:tc>
        <w:tc>
          <w:tcPr>
            <w:tcW w:w="2140" w:type="dxa"/>
            <w:tcBorders>
              <w:top w:val="nil"/>
              <w:left w:val="single" w:color="000000" w:sz="8" w:space="0"/>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虹梅路街道</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500</w:t>
            </w:r>
          </w:p>
        </w:tc>
        <w:tc>
          <w:tcPr>
            <w:tcW w:w="960"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3.98%</w:t>
            </w:r>
          </w:p>
        </w:tc>
        <w:tc>
          <w:tcPr>
            <w:tcW w:w="1464" w:type="dxa"/>
            <w:tcBorders>
              <w:top w:val="nil"/>
              <w:left w:val="nil"/>
              <w:bottom w:val="single" w:color="000000" w:sz="8" w:space="0"/>
              <w:right w:val="single" w:color="000000" w:sz="8"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ind w:left="0" w:firstLine="0" w:firstLineChars="0"/>
              <w:jc w:val="center"/>
              <w:textAlignment w:val="center"/>
              <w:rPr>
                <w:rFonts w:hint="eastAsia" w:ascii="仿宋_GB2312" w:hAnsi="仿宋_GB2312" w:eastAsia="仿宋_GB2312" w:cs="仿宋_GB2312"/>
                <w:i w:val="0"/>
                <w:iCs w:val="0"/>
                <w:color w:val="000000"/>
                <w:kern w:val="0"/>
                <w:sz w:val="30"/>
                <w:szCs w:val="30"/>
                <w:u w:val="none"/>
                <w:lang w:val="en-US" w:eastAsia="zh-CN"/>
              </w:rPr>
            </w:pPr>
            <w:r>
              <w:rPr>
                <w:rFonts w:hint="eastAsia" w:ascii="仿宋_GB2312" w:hAnsi="仿宋_GB2312" w:eastAsia="仿宋_GB2312" w:cs="仿宋_GB2312"/>
                <w:i w:val="0"/>
                <w:iCs w:val="0"/>
                <w:color w:val="000000"/>
                <w:kern w:val="0"/>
                <w:sz w:val="30"/>
                <w:szCs w:val="30"/>
                <w:u w:val="none"/>
                <w:lang w:val="en-US" w:eastAsia="zh-CN"/>
              </w:rPr>
              <w:t>16499</w:t>
            </w:r>
          </w:p>
        </w:tc>
      </w:tr>
    </w:tbl>
    <w:p>
      <w:pPr>
        <w:keepNext w:val="0"/>
        <w:keepLines w:val="0"/>
        <w:pageBreakBefore w:val="0"/>
        <w:widowControl w:val="0"/>
        <w:kinsoku/>
        <w:wordWrap/>
        <w:overflowPunct/>
        <w:topLinePunct w:val="0"/>
        <w:autoSpaceDE/>
        <w:autoSpaceDN/>
        <w:bidi w:val="0"/>
        <w:adjustRightInd/>
        <w:snapToGrid/>
        <w:spacing w:before="300" w:after="120" w:line="288" w:lineRule="auto"/>
        <w:ind w:left="0"/>
        <w:jc w:val="both"/>
        <w:outlineLvl w:val="2"/>
        <w:rPr>
          <w:rFonts w:hint="eastAsia" w:ascii="楷体_GB2312" w:hAnsi="楷体_GB2312" w:eastAsia="楷体_GB2312" w:cs="楷体_GB2312"/>
          <w:b/>
          <w:bCs w:val="0"/>
          <w:sz w:val="30"/>
          <w:szCs w:val="30"/>
          <w:lang w:eastAsia="zh-CN"/>
        </w:rPr>
      </w:pPr>
      <w:r>
        <w:rPr>
          <w:rFonts w:hint="eastAsia" w:ascii="楷体_GB2312" w:hAnsi="楷体_GB2312" w:eastAsia="楷体_GB2312" w:cs="楷体_GB2312"/>
          <w:b/>
          <w:bCs w:val="0"/>
          <w:sz w:val="30"/>
          <w:szCs w:val="30"/>
          <w:lang w:eastAsia="zh-CN"/>
        </w:rPr>
        <w:t>（二）</w:t>
      </w:r>
      <w:r>
        <w:rPr>
          <w:rFonts w:hint="eastAsia" w:ascii="楷体_GB2312" w:hAnsi="楷体_GB2312" w:eastAsia="楷体_GB2312" w:cs="楷体_GB2312"/>
          <w:b/>
          <w:bCs w:val="0"/>
          <w:sz w:val="30"/>
          <w:szCs w:val="30"/>
          <w:lang w:val="en-US" w:eastAsia="zh-CN"/>
        </w:rPr>
        <w:t>存在问题原因分析</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rPr>
      </w:pPr>
      <w:r>
        <w:rPr>
          <w:rFonts w:hint="eastAsia" w:ascii="仿宋_GB2312" w:hAnsi="仿宋_GB2312" w:eastAsia="仿宋_GB2312" w:cs="仿宋_GB2312"/>
          <w:sz w:val="30"/>
          <w:szCs w:val="30"/>
          <w:lang w:val="en-US" w:eastAsia="zh-CN"/>
        </w:rPr>
        <w:t>一是</w:t>
      </w:r>
      <w:r>
        <w:rPr>
          <w:rFonts w:hint="eastAsia" w:ascii="仿宋_GB2312" w:hAnsi="仿宋_GB2312" w:eastAsia="仿宋_GB2312" w:cs="仿宋_GB2312"/>
          <w:sz w:val="30"/>
          <w:szCs w:val="30"/>
        </w:rPr>
        <w:t>老旧城区压力大</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长桥街道、徐家汇街道、枫林路街道等老旧小区集中区域，工单量与密度均较高，主要因小区设施老化、停车供需矛盾突出、物业服务基础薄弱。</w:t>
      </w:r>
      <w:r>
        <w:rPr>
          <w:rFonts w:hint="eastAsia" w:ascii="仿宋_GB2312" w:hAnsi="仿宋_GB2312" w:eastAsia="仿宋_GB2312" w:cs="仿宋_GB2312"/>
          <w:sz w:val="30"/>
          <w:szCs w:val="30"/>
          <w:lang w:val="en-US" w:eastAsia="zh-CN"/>
        </w:rPr>
        <w:t>二是</w:t>
      </w:r>
      <w:r>
        <w:rPr>
          <w:rFonts w:hint="eastAsia" w:ascii="仿宋_GB2312" w:hAnsi="仿宋_GB2312" w:eastAsia="仿宋_GB2312" w:cs="仿宋_GB2312"/>
          <w:sz w:val="30"/>
          <w:szCs w:val="30"/>
        </w:rPr>
        <w:t>新建区域问题集中</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部分新建小区集中的街镇，工单多聚焦</w:t>
      </w:r>
      <w:r>
        <w:rPr>
          <w:rFonts w:hint="eastAsia" w:ascii="仿宋_GB2312" w:hAnsi="仿宋_GB2312" w:eastAsia="仿宋_GB2312" w:cs="仿宋_GB2312"/>
          <w:sz w:val="30"/>
          <w:szCs w:val="30"/>
          <w:lang w:eastAsia="zh-CN"/>
        </w:rPr>
        <w:t>交付质量</w:t>
      </w:r>
      <w:r>
        <w:rPr>
          <w:rFonts w:hint="eastAsia" w:ascii="仿宋_GB2312" w:hAnsi="仿宋_GB2312" w:eastAsia="仿宋_GB2312" w:cs="仿宋_GB2312"/>
          <w:sz w:val="30"/>
          <w:szCs w:val="30"/>
        </w:rPr>
        <w:t>、业委会组建、停车收费等问题，与小区治理体系尚未完善相关。</w:t>
      </w:r>
      <w:r>
        <w:rPr>
          <w:rFonts w:hint="eastAsia" w:ascii="仿宋_GB2312" w:hAnsi="仿宋_GB2312" w:eastAsia="仿宋_GB2312" w:cs="仿宋_GB2312"/>
          <w:sz w:val="30"/>
          <w:szCs w:val="30"/>
          <w:lang w:val="en-US" w:eastAsia="zh-CN"/>
        </w:rPr>
        <w:t>三是</w:t>
      </w:r>
      <w:r>
        <w:rPr>
          <w:rFonts w:hint="eastAsia" w:ascii="仿宋_GB2312" w:hAnsi="仿宋_GB2312" w:eastAsia="仿宋_GB2312" w:cs="仿宋_GB2312"/>
          <w:sz w:val="30"/>
          <w:szCs w:val="30"/>
        </w:rPr>
        <w:t>治理效能差异明显</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湖南路街道、虹梅路街道等工单密度较高，反映出治理措施仍需优化；田林街道、漕河泾街道等密度较低，治理成效相对显著。</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黑体" w:hAnsi="黑体" w:eastAsia="黑体" w:cs="黑体"/>
          <w:b w:val="0"/>
          <w:bCs/>
          <w:sz w:val="30"/>
          <w:szCs w:val="30"/>
          <w:lang w:eastAsia="zh-CN"/>
        </w:rPr>
      </w:pPr>
      <w:r>
        <w:rPr>
          <w:rFonts w:hint="eastAsia" w:ascii="黑体" w:hAnsi="黑体" w:eastAsia="黑体" w:cs="黑体"/>
          <w:b w:val="0"/>
          <w:bCs/>
          <w:sz w:val="30"/>
          <w:szCs w:val="30"/>
          <w:lang w:eastAsia="zh-CN"/>
        </w:rPr>
        <w:t>五</w:t>
      </w:r>
      <w:r>
        <w:rPr>
          <w:rFonts w:hint="eastAsia" w:ascii="黑体" w:hAnsi="黑体" w:eastAsia="黑体" w:cs="黑体"/>
          <w:b w:val="0"/>
          <w:bCs/>
          <w:sz w:val="30"/>
          <w:szCs w:val="30"/>
        </w:rPr>
        <w:t>、 下一步</w:t>
      </w:r>
      <w:r>
        <w:rPr>
          <w:rFonts w:hint="eastAsia" w:ascii="黑体" w:hAnsi="黑体" w:eastAsia="黑体" w:cs="黑体"/>
          <w:b w:val="0"/>
          <w:bCs/>
          <w:sz w:val="30"/>
          <w:szCs w:val="30"/>
          <w:lang w:eastAsia="zh-CN"/>
        </w:rPr>
        <w:t>改进措施</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1.聚焦民生痛点。持续推进老旧小区停车设施改造、垃圾处理设施升级，推动物业费调价和维修资金续筹，引导公共收益的合理分配，缓解供需矛盾，打造“质价相符”的物业市场机制。</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2.强化能力建设。开展物业企业和业委会的分类培训，提升小型物业服务企业的规范化管理水平，强化业委会的规范化运作，完善物业满意度测评、业委会规范化运作、业委会年度审计等监督与评价体系。</w:t>
      </w:r>
    </w:p>
    <w:p>
      <w:pPr>
        <w:keepNext w:val="0"/>
        <w:keepLines w:val="0"/>
        <w:pageBreakBefore w:val="0"/>
        <w:widowControl w:val="0"/>
        <w:kinsoku/>
        <w:wordWrap/>
        <w:overflowPunct/>
        <w:topLinePunct w:val="0"/>
        <w:autoSpaceDE/>
        <w:autoSpaceDN/>
        <w:bidi w:val="0"/>
        <w:adjustRightInd/>
        <w:snapToGrid/>
        <w:spacing w:before="120" w:after="120" w:line="288" w:lineRule="auto"/>
        <w:ind w:left="0"/>
        <w:jc w:val="both"/>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3.健全长效机制。将工单处理效率、业主满意度纳入常态化考核，建立问题闭环整改机制，在化解矛盾问题的同时，持续提升物业治理的精细化水平。</w:t>
      </w:r>
    </w:p>
    <w:p>
      <w:pPr>
        <w:spacing w:before="120" w:after="120" w:line="288" w:lineRule="auto"/>
        <w:ind w:left="0"/>
        <w:jc w:val="left"/>
        <w:rPr>
          <w:rFonts w:hint="eastAsia" w:ascii="Arial" w:hAnsi="Arial" w:eastAsia="等线" w:cs="Arial"/>
          <w:sz w:val="30"/>
          <w:szCs w:val="30"/>
          <w:lang w:val="en-US" w:eastAsia="zh-CN"/>
        </w:rPr>
      </w:pPr>
    </w:p>
    <w:sectPr>
      <w:footerReference r:id="rId5" w:type="default"/>
      <w:pgSz w:w="11905" w:h="16840"/>
      <w:pgMar w:top="1440" w:right="1800" w:bottom="1440" w:left="1800" w:header="720" w:footer="72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Lucida Sans">
    <w:altName w:val="苹方-简"/>
    <w:panose1 w:val="020B0602030504020204"/>
    <w:charset w:val="00"/>
    <w:family w:val="auto"/>
    <w:pitch w:val="default"/>
    <w:sig w:usb0="00000000" w:usb1="00000000" w:usb2="00000000" w:usb3="00000000" w:csb0="20000001" w:csb1="00000000"/>
  </w:font>
  <w:font w:name="华文中宋">
    <w:altName w:val="汉仪书宋二KW"/>
    <w:panose1 w:val="02010600040101010101"/>
    <w:charset w:val="86"/>
    <w:family w:val="auto"/>
    <w:pitch w:val="default"/>
    <w:sig w:usb0="00000000" w:usb1="00000000" w:usb2="00000000" w:usb3="00000000" w:csb0="0004009F" w:csb1="DFD70000"/>
  </w:font>
  <w:font w:name="仿宋_GB2312">
    <w:altName w:val="方正仿宋_GBK"/>
    <w:panose1 w:val="02010609030101010101"/>
    <w:charset w:val="86"/>
    <w:family w:val="modern"/>
    <w:pitch w:val="default"/>
    <w:sig w:usb0="00000000" w:usb1="00000000" w:usb2="00000000" w:usb3="00000000" w:csb0="00040000" w:csb1="00000000"/>
  </w:font>
  <w:font w:name="楷体_GB2312">
    <w:altName w:val="汉仪楷体简"/>
    <w:panose1 w:val="02010609030101010101"/>
    <w:charset w:val="86"/>
    <w:family w:val="auto"/>
    <w:pitch w:val="default"/>
    <w:sig w:usb0="00000000" w:usb1="00000000" w:usb2="0000000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仿宋_GB2312">
    <w:altName w:val="方正仿宋_GBK"/>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1"/>
      </w:rPr>
      <mc:AlternateContent>
        <mc:Choice Requires="wps">
          <w:drawing>
            <wp:anchor distT="0" distB="0" distL="113665" distR="113665" simplePos="0" relativeHeight="251659264" behindDoc="0" locked="0" layoutInCell="1" allowOverlap="1">
              <wp:simplePos x="0" y="0"/>
              <wp:positionH relativeFrom="margin">
                <wp:align>center</wp:align>
              </wp:positionH>
              <wp:positionV relativeFrom="paragraph">
                <wp:posOffset>-20006310</wp:posOffset>
              </wp:positionV>
              <wp:extent cx="374015" cy="200025"/>
              <wp:effectExtent l="0" t="0" r="0" b="0"/>
              <wp:wrapNone/>
              <wp:docPr id="1" name="文本框 6"/>
              <wp:cNvGraphicFramePr/>
              <a:graphic xmlns:a="http://schemas.openxmlformats.org/drawingml/2006/main">
                <a:graphicData uri="http://schemas.microsoft.com/office/word/2010/wordprocessingShape">
                  <wps:wsp>
                    <wps:cNvSpPr/>
                    <wps:spPr>
                      <a:xfrm>
                        <a:off x="0" y="0"/>
                        <a:ext cx="373989" cy="199739"/>
                      </a:xfrm>
                      <a:prstGeom prst="rect">
                        <a:avLst/>
                      </a:prstGeom>
                      <a:noFill/>
                      <a:ln w="6350" cap="flat" cmpd="sng">
                        <a:noFill/>
                        <a:prstDash val="solid"/>
                        <a:round/>
                      </a:ln>
                    </wps:spPr>
                    <wps:txbx>
                      <w:txbxContent>
                        <w:p>
                          <w:pPr>
                            <w:pStyle w:val="7"/>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rect id="文本框 6" o:spid="_x0000_s1026" o:spt="1" style="position:absolute;left:0pt;margin-top:-1575.3pt;height:15.75pt;width:29.45pt;mso-position-horizontal:center;mso-position-horizontal-relative:margin;mso-wrap-style:none;z-index:251659264;mso-width-relative:page;mso-height-relative:page;" filled="f" stroked="f" coordsize="21600,21600" o:gfxdata="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CTrM1C3QAA&#10;AAsBAAAPAAAAAAAAAAEAIAAAADgAAABkcnMvZG93bnJldi54bWxQSwECFAAUAAAACACHTuJAYD76&#10;kgMCAAD0AwAADgAAAAAAAAABACAAAABCAQAAZHJzL2Uyb0RvYy54bWxQSwUGAAAAAAYABgBZAQAA&#10;twUAAAAA&#10;">
              <v:fill on="f" focussize="0,0"/>
              <v:stroke on="f" weight="0.5pt" joinstyle="round"/>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dit="readOnly" w:enforcement="0"/>
  <w:defaultTabStop w:val="420"/>
  <w:drawingGridHorizontalSpacing w:val="105"/>
  <w:drawingGridVerticalSpacing w:val="156"/>
  <w:displayHorizontalDrawingGridEvery w:val="1"/>
  <w:displayVerticalDrawingGridEvery w:val="1"/>
  <w:noPunctuationKerning w:val="1"/>
  <w:footnotePr>
    <w:footnote w:id="0"/>
    <w:footnote w:id="1"/>
  </w:footnotePr>
  <w:endnotePr>
    <w:endnote w:id="0"/>
    <w:endnote w:id="1"/>
  </w:endnotePr>
  <w:compat>
    <w:doNotExpandShiftReturn/>
    <w:useFELayout/>
    <w:compatSetting w:name="compatibilityMode" w:uri="http://schemas.microsoft.com/office/word" w:val="14"/>
  </w:compat>
  <w:rsids>
    <w:rsidRoot w:val="00000000"/>
    <w:rsid w:val="2DEB369B"/>
    <w:rsid w:val="7AFC94C9"/>
    <w:rsid w:val="7DFF039A"/>
    <w:rsid w:val="8F3DCB33"/>
    <w:rsid w:val="FF1F7C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Lucida Sans"/>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sz w:val="21"/>
      <w:szCs w:val="22"/>
      <w:lang w:val="en-US" w:eastAsia="zh-CN" w:bidi="ar-SA"/>
    </w:rPr>
  </w:style>
  <w:style w:type="paragraph" w:styleId="2">
    <w:name w:val="heading 1"/>
    <w:basedOn w:val="1"/>
    <w:next w:val="1"/>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spacing w:before="0" w:beforeAutospacing="1" w:after="0" w:afterAutospacing="1"/>
      <w:jc w:val="left"/>
      <w:outlineLvl w:val="1"/>
    </w:pPr>
    <w:rPr>
      <w:rFonts w:ascii="宋体" w:hAnsi="宋体" w:eastAsia="宋体" w:cs="宋体"/>
      <w:b/>
      <w:bCs/>
      <w:kern w:val="0"/>
      <w:sz w:val="36"/>
      <w:szCs w:val="36"/>
      <w:lang w:val="en-US" w:eastAsia="zh-CN"/>
    </w:rPr>
  </w:style>
  <w:style w:type="paragraph" w:styleId="4">
    <w:name w:val="heading 3"/>
    <w:basedOn w:val="1"/>
    <w:next w:val="1"/>
    <w:qFormat/>
    <w:uiPriority w:val="0"/>
    <w:pPr>
      <w:spacing w:before="0" w:beforeAutospacing="1" w:after="0" w:afterAutospacing="1"/>
      <w:jc w:val="left"/>
      <w:outlineLvl w:val="2"/>
    </w:pPr>
    <w:rPr>
      <w:rFonts w:ascii="宋体" w:hAnsi="宋体" w:eastAsia="宋体" w:cs="宋体"/>
      <w:b/>
      <w:bCs/>
      <w:kern w:val="0"/>
      <w:sz w:val="27"/>
      <w:szCs w:val="27"/>
      <w:lang w:val="en-US" w:eastAsia="zh-CN"/>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Body Text"/>
    <w:basedOn w:val="1"/>
    <w:next w:val="1"/>
    <w:qFormat/>
    <w:uiPriority w:val="0"/>
    <w:pPr>
      <w:ind w:left="200"/>
    </w:pPr>
    <w:rPr>
      <w:sz w:val="28"/>
      <w:szCs w:val="28"/>
    </w:rPr>
  </w:style>
  <w:style w:type="paragraph" w:styleId="6">
    <w:name w:val="Body Text Indent"/>
    <w:basedOn w:val="1"/>
    <w:qFormat/>
    <w:uiPriority w:val="0"/>
    <w:pPr>
      <w:spacing w:after="120"/>
      <w:ind w:left="200" w:leftChars="200"/>
    </w:pPr>
  </w:style>
  <w:style w:type="paragraph" w:styleId="7">
    <w:name w:val="footer"/>
    <w:basedOn w:val="1"/>
    <w:qFormat/>
    <w:uiPriority w:val="0"/>
    <w:pPr>
      <w:tabs>
        <w:tab w:val="center" w:pos="4153"/>
        <w:tab w:val="right" w:pos="8306"/>
      </w:tabs>
      <w:snapToGrid w:val="0"/>
      <w:jc w:val="left"/>
    </w:pPr>
    <w:rPr>
      <w:sz w:val="18"/>
    </w:rPr>
  </w:style>
  <w:style w:type="paragraph" w:styleId="8">
    <w:name w:val="Body Text First Indent 2"/>
    <w:basedOn w:val="6"/>
    <w:next w:val="5"/>
    <w:qFormat/>
    <w:uiPriority w:val="0"/>
    <w:pPr>
      <w:ind w:firstLine="200" w:firstLineChars="200"/>
    </w:pPr>
  </w:style>
  <w:style w:type="character" w:customStyle="1" w:styleId="11">
    <w:name w:val="font11"/>
    <w:basedOn w:val="10"/>
    <w:qFormat/>
    <w:uiPriority w:val="0"/>
    <w:rPr>
      <w:rFonts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19</Pages>
  <Words>0</Words>
  <Characters>6386</Characters>
  <Lines>0</Lines>
  <Paragraphs>96</Paragraphs>
  <TotalTime>44</TotalTime>
  <ScaleCrop>false</ScaleCrop>
  <LinksUpToDate>false</LinksUpToDate>
  <CharactersWithSpaces>8515</CharactersWithSpaces>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2026-01-12T09:21:00Z</dcterms:created>
  <dc:creator>Apache POI</dc:creator>
  <cp:lastModifiedBy>江沂</cp:lastModifiedBy>
  <dcterms:modified xsi:type="dcterms:W3CDTF">2026-01-26T16:15:14Z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81C2EA820EC420FE92227769BB5E4020_43</vt:lpwstr>
  </property>
  <property fmtid="{D5CDD505-2E9C-101B-9397-08002B2CF9AE}" pid="4" name="KSOTemplateDocerSaveRecord">
    <vt:lpwstr>eyJoZGlkIjoiZTA4NzIyN2MxYTlmMzQ1NGE2MjU5NWRkMjhlOGMxYTAiLCJ1c2VySWQiOiI2NDA4MTk0MzgifQ==</vt:lpwstr>
  </property>
</Properties>
</file>