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lang w:eastAsia="zh-CN"/>
        </w:rPr>
      </w:pPr>
      <w:r>
        <w:rPr>
          <w:rFonts w:ascii="华文中宋" w:hAnsi="华文中宋" w:eastAsia="华文中宋"/>
          <w:b/>
          <w:sz w:val="36"/>
          <w:lang w:eastAsia="zh-CN"/>
        </w:rPr>
        <w:t>2025-2026年停车管理类工单分析报告</w:t>
      </w:r>
    </w:p>
    <w:p>
      <w:pPr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一、2025年停车管理类工单情况</w:t>
      </w:r>
    </w:p>
    <w:p>
      <w:r>
        <w:rPr>
          <w:rFonts w:ascii="楷体_GB2312" w:hAnsi="楷体_GB2312" w:eastAsia="楷体_GB2312"/>
          <w:b/>
          <w:sz w:val="32"/>
        </w:rPr>
        <w:t>（一）整体情况</w:t>
      </w:r>
    </w:p>
    <w:p>
      <w:pPr>
        <w:ind w:firstLine="640" w:firstLineChars="200"/>
        <w:rPr>
          <w:rFonts w:ascii="仿宋_GB2312" w:hAnsi="仿宋_GB2312" w:eastAsia="仿宋_GB2312"/>
          <w:sz w:val="32"/>
          <w:lang w:eastAsia="zh-CN"/>
        </w:rPr>
      </w:pPr>
      <w:r>
        <w:rPr>
          <w:rFonts w:hint="eastAsia" w:ascii="仿宋_GB2312" w:hAnsi="仿宋_GB2312" w:eastAsia="仿宋_GB2312"/>
          <w:sz w:val="32"/>
          <w:lang w:eastAsia="zh-CN"/>
        </w:rPr>
        <w:t>徐汇区现有住宅小区985个，涉及物业服务企业250家。根据区城运中心数据统计，2025年，物业治理垃圾清理类工单1257条，涉及</w:t>
      </w:r>
      <w:r>
        <w:rPr>
          <w:rFonts w:ascii="仿宋_GB2312" w:hAnsi="仿宋_GB2312" w:eastAsia="仿宋_GB2312"/>
          <w:sz w:val="32"/>
          <w:lang w:eastAsia="zh-CN"/>
        </w:rPr>
        <w:t xml:space="preserve"> </w:t>
      </w:r>
      <w:r>
        <w:rPr>
          <w:rFonts w:hint="eastAsia" w:ascii="仿宋_GB2312" w:hAnsi="仿宋_GB2312" w:eastAsia="仿宋_GB2312"/>
          <w:sz w:val="32"/>
          <w:lang w:eastAsia="zh-CN"/>
        </w:rPr>
        <w:t>406</w:t>
      </w:r>
      <w:r>
        <w:rPr>
          <w:rFonts w:ascii="仿宋_GB2312" w:hAnsi="仿宋_GB2312" w:eastAsia="仿宋_GB2312"/>
          <w:sz w:val="32"/>
          <w:lang w:eastAsia="zh-CN"/>
        </w:rPr>
        <w:t xml:space="preserve"> 个小区</w:t>
      </w:r>
      <w:r>
        <w:rPr>
          <w:rFonts w:hint="eastAsia" w:ascii="仿宋_GB2312" w:hAnsi="仿宋_GB2312" w:eastAsia="仿宋_GB2312"/>
          <w:sz w:val="32"/>
          <w:lang w:eastAsia="zh-CN"/>
        </w:rPr>
        <w:t>，占比41.22%；涉及物业服务企业137家，占比54.8%。</w:t>
      </w:r>
    </w:p>
    <w:p>
      <w:pPr>
        <w:rPr>
          <w:lang w:eastAsia="zh-CN"/>
        </w:rPr>
      </w:pPr>
      <w:r>
        <w:rPr>
          <w:rFonts w:ascii="楷体_GB2312" w:hAnsi="楷体_GB2312" w:eastAsia="楷体_GB2312"/>
          <w:b/>
          <w:sz w:val="32"/>
          <w:lang w:eastAsia="zh-CN"/>
        </w:rPr>
        <w:t>（二）多维度分析</w:t>
      </w:r>
    </w:p>
    <w:p>
      <w:pPr>
        <w:rPr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1. 按工单量分布情况分析</w:t>
      </w:r>
    </w:p>
    <w:p>
      <w:pPr>
        <w:rPr>
          <w:rFonts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（1）按诉求类别分布情况分析</w:t>
      </w:r>
    </w:p>
    <w:p>
      <w:pPr>
        <w:spacing w:before="120" w:after="120" w:line="288" w:lineRule="auto"/>
        <w:ind w:firstLine="600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将上述1257件归纳为5类,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其中，垃圾清运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710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件，同比下降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4.31%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；垃圾厢房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275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件，同比下降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0.72%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；垃圾堆放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179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件，同比上升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11.18%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；垃圾收费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51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件，同比上升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18.60%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；生活垃圾分类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42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件，同比下降</w:t>
      </w:r>
      <w:r>
        <w:rPr>
          <w:rFonts w:ascii="仿宋_GB2312" w:hAnsi="仿宋_GB2312" w:eastAsia="仿宋_GB2312" w:cs="仿宋_GB2312"/>
          <w:sz w:val="32"/>
          <w:szCs w:val="32"/>
          <w:lang w:eastAsia="zh-CN"/>
        </w:rPr>
        <w:t>8.70%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。，详细情况见下表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</w:t>
      </w:r>
    </w:p>
    <w:tbl>
      <w:tblPr>
        <w:tblStyle w:val="35"/>
        <w:tblW w:w="89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00"/>
        <w:gridCol w:w="1720"/>
        <w:gridCol w:w="1660"/>
        <w:gridCol w:w="1400"/>
      </w:tblGrid>
      <w:tr>
        <w:trPr>
          <w:trHeight w:val="270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3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诉求类别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2025年数量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2024年数量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同比变化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710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742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-4.31%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275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277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-0.72%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179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161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11.18%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51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43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18.60%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生活垃圾分类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42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46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-8.70%</w:t>
            </w:r>
          </w:p>
        </w:tc>
      </w:tr>
    </w:tbl>
    <w:p>
      <w:pPr>
        <w:pStyle w:val="2"/>
        <w:ind w:left="0" w:leftChars="0" w:firstLine="330" w:firstLineChars="150"/>
        <w:rPr>
          <w:rFonts w:hint="eastAsia" w:eastAsia="宋体"/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23977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图表：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垃圾清理类工单诉求分布）</w:t>
      </w:r>
    </w:p>
    <w:p>
      <w:pPr>
        <w:rPr>
          <w:rFonts w:ascii="仿宋_GB2312" w:hAnsi="仿宋_GB2312" w:eastAsia="仿宋_GB2312"/>
          <w:b/>
          <w:sz w:val="32"/>
          <w:lang w:eastAsia="zh-CN"/>
        </w:rPr>
      </w:pPr>
    </w:p>
    <w:p>
      <w:pPr>
        <w:numPr>
          <w:ilvl w:val="0"/>
          <w:numId w:val="7"/>
        </w:numPr>
        <w:rPr>
          <w:rFonts w:ascii="仿宋_GB2312" w:hAnsi="仿宋_GB2312" w:eastAsia="仿宋_GB2312"/>
          <w:b/>
          <w:sz w:val="32"/>
        </w:rPr>
      </w:pPr>
      <w:r>
        <w:rPr>
          <w:rFonts w:ascii="仿宋_GB2312" w:hAnsi="仿宋_GB2312" w:eastAsia="仿宋_GB2312"/>
          <w:b/>
          <w:sz w:val="32"/>
        </w:rPr>
        <w:t>按月度分布情况分析</w:t>
      </w:r>
    </w:p>
    <w:p>
      <w:pPr>
        <w:ind w:firstLine="420"/>
        <w:rPr>
          <w:lang w:eastAsia="zh-CN"/>
        </w:rPr>
      </w:pPr>
      <w:r>
        <w:rPr>
          <w:rFonts w:ascii="仿宋_GB2312" w:hAnsi="仿宋_GB2312" w:eastAsia="仿宋_GB2312"/>
          <w:sz w:val="32"/>
          <w:lang w:eastAsia="zh-CN"/>
        </w:rPr>
        <w:t>诉求较高的前三个月为</w:t>
      </w:r>
      <w:r>
        <w:rPr>
          <w:rFonts w:hint="eastAsia" w:ascii="仿宋_GB2312" w:hAnsi="仿宋_GB2312" w:eastAsia="仿宋_GB2312"/>
          <w:sz w:val="32"/>
          <w:lang w:eastAsia="zh-CN"/>
        </w:rPr>
        <w:t>4</w:t>
      </w:r>
      <w:r>
        <w:rPr>
          <w:rFonts w:ascii="仿宋_GB2312" w:hAnsi="仿宋_GB2312" w:eastAsia="仿宋_GB2312"/>
          <w:sz w:val="32"/>
          <w:lang w:eastAsia="zh-CN"/>
        </w:rPr>
        <w:t>月</w:t>
      </w:r>
      <w:r>
        <w:rPr>
          <w:rFonts w:hint="eastAsia" w:ascii="仿宋_GB2312" w:hAnsi="仿宋_GB2312" w:eastAsia="仿宋_GB2312"/>
          <w:sz w:val="32"/>
          <w:lang w:eastAsia="zh-CN"/>
        </w:rPr>
        <w:t>（129件）</w:t>
      </w:r>
      <w:r>
        <w:rPr>
          <w:rFonts w:ascii="仿宋_GB2312" w:hAnsi="仿宋_GB2312" w:eastAsia="仿宋_GB2312"/>
          <w:sz w:val="32"/>
          <w:lang w:eastAsia="zh-CN"/>
        </w:rPr>
        <w:t>、</w:t>
      </w:r>
      <w:r>
        <w:rPr>
          <w:rFonts w:hint="eastAsia" w:ascii="仿宋_GB2312" w:hAnsi="仿宋_GB2312" w:eastAsia="仿宋_GB2312"/>
          <w:sz w:val="32"/>
          <w:lang w:eastAsia="zh-CN"/>
        </w:rPr>
        <w:t>7</w:t>
      </w:r>
      <w:r>
        <w:rPr>
          <w:rFonts w:ascii="仿宋_GB2312" w:hAnsi="仿宋_GB2312" w:eastAsia="仿宋_GB2312"/>
          <w:sz w:val="32"/>
          <w:lang w:eastAsia="zh-CN"/>
        </w:rPr>
        <w:t>月</w:t>
      </w:r>
      <w:r>
        <w:rPr>
          <w:rFonts w:hint="eastAsia" w:ascii="仿宋_GB2312" w:hAnsi="仿宋_GB2312" w:eastAsia="仿宋_GB2312"/>
          <w:sz w:val="32"/>
          <w:lang w:eastAsia="zh-CN"/>
        </w:rPr>
        <w:t>（126件）</w:t>
      </w:r>
      <w:r>
        <w:rPr>
          <w:rFonts w:ascii="仿宋_GB2312" w:hAnsi="仿宋_GB2312" w:eastAsia="仿宋_GB2312"/>
          <w:sz w:val="32"/>
          <w:lang w:eastAsia="zh-CN"/>
        </w:rPr>
        <w:t>、</w:t>
      </w:r>
      <w:r>
        <w:rPr>
          <w:rFonts w:hint="eastAsia" w:ascii="仿宋_GB2312" w:hAnsi="仿宋_GB2312" w:eastAsia="仿宋_GB2312"/>
          <w:sz w:val="32"/>
          <w:lang w:eastAsia="zh-CN"/>
        </w:rPr>
        <w:t>9</w:t>
      </w:r>
      <w:r>
        <w:rPr>
          <w:rFonts w:ascii="仿宋_GB2312" w:hAnsi="仿宋_GB2312" w:eastAsia="仿宋_GB2312"/>
          <w:sz w:val="32"/>
          <w:lang w:eastAsia="zh-CN"/>
        </w:rPr>
        <w:t>月</w:t>
      </w:r>
      <w:r>
        <w:rPr>
          <w:rFonts w:hint="eastAsia" w:ascii="仿宋_GB2312" w:hAnsi="仿宋_GB2312" w:eastAsia="仿宋_GB2312"/>
          <w:sz w:val="32"/>
          <w:lang w:eastAsia="zh-CN"/>
        </w:rPr>
        <w:t>（122件）</w:t>
      </w:r>
      <w:r>
        <w:rPr>
          <w:rFonts w:ascii="仿宋_GB2312" w:hAnsi="仿宋_GB2312" w:eastAsia="仿宋_GB2312"/>
          <w:sz w:val="32"/>
          <w:lang w:eastAsia="zh-CN"/>
        </w:rPr>
        <w:t>。</w:t>
      </w:r>
    </w:p>
    <w:tbl>
      <w:tblPr>
        <w:tblStyle w:val="35"/>
        <w:tblW w:w="7560" w:type="dxa"/>
        <w:tblInd w:w="9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00"/>
        <w:gridCol w:w="1720"/>
        <w:gridCol w:w="1660"/>
      </w:tblGrid>
      <w:tr>
        <w:trPr>
          <w:trHeight w:val="270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3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月份</w:t>
            </w:r>
          </w:p>
        </w:tc>
        <w:tc>
          <w:tcPr>
            <w:tcW w:w="1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2025年数量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占比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75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5.97%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61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4.85%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106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8.43%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129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10.26%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120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9.55%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109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8.67%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126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10.02%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93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7.40%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122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9.71%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108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8.59%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109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8.67%</w:t>
            </w:r>
          </w:p>
        </w:tc>
      </w:tr>
      <w:tr>
        <w:trPr>
          <w:trHeight w:val="2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3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12月</w:t>
            </w:r>
          </w:p>
        </w:tc>
        <w:tc>
          <w:tcPr>
            <w:tcW w:w="1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99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7.88%</w:t>
            </w:r>
          </w:p>
        </w:tc>
      </w:tr>
    </w:tbl>
    <w:p>
      <w:pPr>
        <w:pStyle w:val="2"/>
        <w:ind w:left="0" w:leftChars="0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</w:p>
    <w:p>
      <w:pPr>
        <w:pStyle w:val="4"/>
        <w:ind w:firstLine="330" w:firstLineChars="150"/>
        <w:rPr>
          <w:rFonts w:hint="eastAsia" w:eastAsia="宋体"/>
          <w:lang w:eastAsia="zh-CN"/>
        </w:rPr>
      </w:pPr>
      <w:r>
        <w:rPr>
          <w:lang w:eastAsia="zh-CN"/>
        </w:rPr>
        <w:drawing>
          <wp:inline distT="0" distB="0" distL="0" distR="0">
            <wp:extent cx="5486400" cy="3236595"/>
            <wp:effectExtent l="0" t="0" r="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图表：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垃圾清理类工单诉求月度情况）</w:t>
      </w:r>
    </w:p>
    <w:p>
      <w:pPr>
        <w:spacing w:before="300" w:after="120" w:line="288" w:lineRule="auto"/>
        <w:outlineLvl w:val="2"/>
        <w:rPr>
          <w:rFonts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（3）</w:t>
      </w:r>
      <w:r>
        <w:rPr>
          <w:rFonts w:ascii="仿宋_GB2312" w:hAnsi="仿宋_GB2312" w:eastAsia="仿宋_GB2312" w:cs="仿宋_GB2312"/>
          <w:b/>
          <w:sz w:val="30"/>
          <w:szCs w:val="30"/>
          <w:lang w:eastAsia="zh-CN"/>
        </w:rPr>
        <w:t>存在问题</w:t>
      </w:r>
      <w:r>
        <w:rPr>
          <w:rFonts w:hint="eastAsia" w:ascii="仿宋_GB2312" w:hAnsi="仿宋_GB2312" w:eastAsia="仿宋_GB2312" w:cs="仿宋_GB2312"/>
          <w:b/>
          <w:sz w:val="30"/>
          <w:szCs w:val="30"/>
          <w:lang w:eastAsia="zh-CN"/>
        </w:rPr>
        <w:t>原因</w:t>
      </w:r>
      <w:r>
        <w:rPr>
          <w:rFonts w:ascii="仿宋_GB2312" w:hAnsi="仿宋_GB2312" w:eastAsia="仿宋_GB2312" w:cs="仿宋_GB2312"/>
          <w:b/>
          <w:sz w:val="30"/>
          <w:szCs w:val="30"/>
          <w:lang w:eastAsia="zh-CN"/>
        </w:rPr>
        <w:t>及改进措施</w:t>
      </w:r>
    </w:p>
    <w:p>
      <w:pPr>
        <w:spacing w:before="120" w:after="120" w:line="288" w:lineRule="auto"/>
        <w:ind w:firstLine="602"/>
        <w:rPr>
          <w:rFonts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（1）垃圾清运不及时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。垃圾清运不及时仍是核心诉求，部分小区装修垃圾堆放时间久，异味扰民问题突出，尤其夏季投诉更为集中。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改进措施：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物业企业加强与环卫清运公司工作联动，根据小区实际情况优化清运方案，提升清运效能。引导居民利用建筑垃圾清运的微信小程序自行预约，减少中间环节，提高清运效率。</w:t>
      </w:r>
    </w:p>
    <w:p>
      <w:pPr>
        <w:spacing w:before="120" w:after="120" w:line="288" w:lineRule="auto"/>
        <w:ind w:firstLine="602"/>
        <w:rPr>
          <w:rFonts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（2）垃圾厢房维护管理不到位。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部分小区还存在垃圾厢房设施损坏、污水横流，保洁人员清理不及时的情况。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改进措施：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督促小区经理落实日查制度，及时督促做好保洁、消毒、去异味工作，对损坏的设施及时组织维修。</w:t>
      </w:r>
    </w:p>
    <w:p>
      <w:pPr>
        <w:spacing w:before="120" w:after="120" w:line="288" w:lineRule="auto"/>
        <w:ind w:firstLine="602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（3）物业代收清运费依然存在。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2023年起，小区建筑垃圾清运费就已经禁止物业进行代收代缴，但仍有部分小区物业按面积进行预收，且短驳收费没有进行充分公示。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改进措施：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加大物业服务企业代收代缴建筑垃圾清运费的检查力度，一经发现给予信用记分处理。</w:t>
      </w:r>
    </w:p>
    <w:p>
      <w:pPr>
        <w:rPr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2. 按物业服务企业分析</w:t>
      </w:r>
    </w:p>
    <w:p>
      <w:pPr>
        <w:rPr>
          <w:rFonts w:hint="eastAsia"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（1）工单数量情况</w:t>
      </w:r>
    </w:p>
    <w:p>
      <w:pPr>
        <w:pStyle w:val="2"/>
        <w:ind w:left="440"/>
        <w:rPr>
          <w:rFonts w:hint="eastAsia" w:eastAsia="宋体"/>
          <w:lang w:eastAsia="zh-CN"/>
        </w:rPr>
      </w:pPr>
    </w:p>
    <w:tbl>
      <w:tblPr>
        <w:tblStyle w:val="35"/>
        <w:tblW w:w="100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560"/>
        <w:gridCol w:w="860"/>
        <w:gridCol w:w="880"/>
        <w:gridCol w:w="980"/>
        <w:gridCol w:w="780"/>
        <w:gridCol w:w="2260"/>
      </w:tblGrid>
      <w:tr>
        <w:trPr>
          <w:trHeight w:val="87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3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物业</w:t>
            </w:r>
          </w:p>
        </w:tc>
        <w:tc>
          <w:tcPr>
            <w:tcW w:w="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在管小区数</w:t>
            </w:r>
          </w:p>
        </w:tc>
        <w:tc>
          <w:tcPr>
            <w:tcW w:w="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在管户数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密度</w:t>
            </w:r>
          </w:p>
        </w:tc>
        <w:tc>
          <w:tcPr>
            <w:tcW w:w="2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核心问题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上海衡复物业有限公司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151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103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30591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0.49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上海高建物业有限公司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129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80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47772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0.27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上海徐房物业有限公司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93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53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34427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0.27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上海汇成物业有限公司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66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18453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0.36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上海轻工物业管理有限公司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30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9826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0.31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上海旭程物业管理有限公司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28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4766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0.59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上海中星集团申城物业有限公司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27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14859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0.18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秀澜（上海）物业管理有限公司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25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9668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0.26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上海安得物业管理有限公司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24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10322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0.23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上海润美物业管理有限公司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</w:t>
            </w:r>
          </w:p>
        </w:tc>
        <w:tc>
          <w:tcPr>
            <w:tcW w:w="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2573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0.78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生活垃圾分类</w:t>
            </w:r>
          </w:p>
        </w:tc>
      </w:tr>
    </w:tbl>
    <w:p>
      <w:pPr>
        <w:rPr>
          <w:rFonts w:hint="eastAsia" w:eastAsia="宋体"/>
          <w:lang w:eastAsia="zh-CN"/>
        </w:rPr>
      </w:pPr>
    </w:p>
    <w:p>
      <w:pPr>
        <w:rPr>
          <w:rFonts w:hint="eastAsia"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</w:rPr>
        <w:t>3. 按小区分析</w:t>
      </w:r>
    </w:p>
    <w:p>
      <w:pPr>
        <w:pStyle w:val="2"/>
        <w:ind w:left="440"/>
        <w:rPr>
          <w:rFonts w:hint="eastAsia" w:eastAsia="宋体"/>
          <w:lang w:eastAsia="zh-CN"/>
        </w:rPr>
      </w:pPr>
    </w:p>
    <w:tbl>
      <w:tblPr>
        <w:tblStyle w:val="35"/>
        <w:tblW w:w="998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320"/>
        <w:gridCol w:w="2080"/>
        <w:gridCol w:w="940"/>
        <w:gridCol w:w="700"/>
        <w:gridCol w:w="780"/>
        <w:gridCol w:w="3460"/>
      </w:tblGrid>
      <w:tr>
        <w:trPr>
          <w:trHeight w:val="27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街道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小区名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户数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密度</w:t>
            </w:r>
          </w:p>
        </w:tc>
        <w:tc>
          <w:tcPr>
            <w:tcW w:w="3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核心问题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斜土路街道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尚海湾二期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19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2049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0.93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生活垃圾分类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龙华街道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金龙花苑牡丹园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871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2.07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华泾镇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东湾小区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17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2239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0.76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汇成四村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1587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1.01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斜土路街道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日晖六村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15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2917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0.51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华东花苑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2086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0.53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枫林路街道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徐家汇花园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1474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0.75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生活垃圾分类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汇成五村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1814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0.61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汇成一村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1741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0.63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罗秀新二村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2493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0.40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</w:tbl>
    <w:p>
      <w:pPr>
        <w:rPr>
          <w:rFonts w:ascii="黑体" w:hAnsi="黑体" w:eastAsia="黑体"/>
          <w:b/>
          <w:sz w:val="32"/>
          <w:lang w:eastAsia="zh-CN"/>
        </w:rPr>
      </w:pPr>
    </w:p>
    <w:p>
      <w:pPr>
        <w:rPr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二、2026年1-3月</w:t>
      </w:r>
      <w:r>
        <w:rPr>
          <w:rFonts w:hint="eastAsia" w:ascii="黑体" w:hAnsi="黑体" w:eastAsia="黑体"/>
          <w:b/>
          <w:sz w:val="32"/>
          <w:lang w:eastAsia="zh-CN"/>
        </w:rPr>
        <w:t>垃圾清理类</w:t>
      </w:r>
      <w:r>
        <w:rPr>
          <w:rFonts w:ascii="黑体" w:hAnsi="黑体" w:eastAsia="黑体"/>
          <w:b/>
          <w:sz w:val="32"/>
          <w:lang w:eastAsia="zh-CN"/>
        </w:rPr>
        <w:t>工单情况</w:t>
      </w:r>
    </w:p>
    <w:p>
      <w:pPr>
        <w:rPr>
          <w:lang w:eastAsia="zh-CN"/>
        </w:rPr>
      </w:pPr>
      <w:r>
        <w:rPr>
          <w:rFonts w:ascii="楷体_GB2312" w:hAnsi="楷体_GB2312" w:eastAsia="楷体_GB2312"/>
          <w:b/>
          <w:sz w:val="32"/>
          <w:lang w:eastAsia="zh-CN"/>
        </w:rPr>
        <w:t>（一）数据概览</w:t>
      </w:r>
    </w:p>
    <w:p>
      <w:pPr>
        <w:ind w:firstLine="420"/>
        <w:rPr>
          <w:lang w:eastAsia="zh-CN"/>
        </w:rPr>
      </w:pPr>
      <w:r>
        <w:rPr>
          <w:rFonts w:ascii="仿宋_GB2312" w:hAnsi="仿宋_GB2312" w:eastAsia="仿宋_GB2312"/>
          <w:sz w:val="32"/>
          <w:lang w:eastAsia="zh-CN"/>
        </w:rPr>
        <w:t>本次统计周期为2026年1月1日至2026年3月31日，共分析</w:t>
      </w:r>
      <w:r>
        <w:rPr>
          <w:rFonts w:hint="eastAsia" w:ascii="仿宋_GB2312" w:hAnsi="仿宋_GB2312" w:eastAsia="仿宋_GB2312"/>
          <w:sz w:val="32"/>
          <w:lang w:eastAsia="zh-CN"/>
        </w:rPr>
        <w:t>垃圾清理</w:t>
      </w:r>
      <w:r>
        <w:rPr>
          <w:rFonts w:ascii="仿宋_GB2312" w:hAnsi="仿宋_GB2312" w:eastAsia="仿宋_GB2312"/>
          <w:sz w:val="32"/>
          <w:lang w:eastAsia="zh-CN"/>
        </w:rPr>
        <w:t xml:space="preserve">类工单 </w:t>
      </w:r>
      <w:r>
        <w:rPr>
          <w:rFonts w:hint="eastAsia" w:ascii="仿宋_GB2312" w:hAnsi="仿宋_GB2312" w:eastAsia="仿宋_GB2312"/>
          <w:sz w:val="32"/>
          <w:lang w:eastAsia="zh-CN"/>
        </w:rPr>
        <w:t>228</w:t>
      </w:r>
      <w:r>
        <w:rPr>
          <w:rFonts w:ascii="仿宋_GB2312" w:hAnsi="仿宋_GB2312" w:eastAsia="仿宋_GB2312"/>
          <w:sz w:val="32"/>
          <w:lang w:eastAsia="zh-CN"/>
        </w:rPr>
        <w:t xml:space="preserve"> 条，与2025年同期的 </w:t>
      </w:r>
      <w:r>
        <w:rPr>
          <w:rFonts w:hint="eastAsia" w:ascii="仿宋_GB2312" w:hAnsi="仿宋_GB2312" w:eastAsia="仿宋_GB2312"/>
          <w:sz w:val="32"/>
          <w:lang w:eastAsia="zh-CN"/>
        </w:rPr>
        <w:t>242</w:t>
      </w:r>
      <w:r>
        <w:rPr>
          <w:rFonts w:ascii="仿宋_GB2312" w:hAnsi="仿宋_GB2312" w:eastAsia="仿宋_GB2312"/>
          <w:sz w:val="32"/>
          <w:lang w:eastAsia="zh-CN"/>
        </w:rPr>
        <w:t xml:space="preserve"> 条相比，</w:t>
      </w:r>
      <w:r>
        <w:rPr>
          <w:rFonts w:hint="eastAsia" w:ascii="仿宋_GB2312" w:hAnsi="仿宋_GB2312" w:eastAsia="仿宋_GB2312"/>
          <w:sz w:val="32"/>
          <w:lang w:eastAsia="zh-CN"/>
        </w:rPr>
        <w:t>下降14</w:t>
      </w:r>
      <w:r>
        <w:rPr>
          <w:rFonts w:ascii="仿宋_GB2312" w:hAnsi="仿宋_GB2312" w:eastAsia="仿宋_GB2312"/>
          <w:sz w:val="32"/>
          <w:lang w:eastAsia="zh-CN"/>
        </w:rPr>
        <w:t>条</w:t>
      </w:r>
      <w:r>
        <w:rPr>
          <w:rFonts w:hint="eastAsia" w:ascii="仿宋_GB2312" w:hAnsi="仿宋_GB2312" w:eastAsia="仿宋_GB2312"/>
          <w:sz w:val="32"/>
          <w:lang w:eastAsia="zh-CN"/>
        </w:rPr>
        <w:t>，同比下降5.79</w:t>
      </w:r>
      <w:r>
        <w:rPr>
          <w:rFonts w:ascii="仿宋_GB2312" w:hAnsi="仿宋_GB2312" w:eastAsia="仿宋_GB2312"/>
          <w:sz w:val="32"/>
          <w:lang w:eastAsia="zh-CN"/>
        </w:rPr>
        <w:t>%。</w:t>
      </w:r>
      <w:r>
        <w:rPr>
          <w:rFonts w:hint="eastAsia" w:ascii="仿宋_GB2312" w:hAnsi="仿宋_GB2312" w:eastAsia="仿宋_GB2312"/>
          <w:sz w:val="32"/>
          <w:lang w:eastAsia="zh-CN"/>
        </w:rPr>
        <w:t>涉及</w:t>
      </w:r>
      <w:r>
        <w:rPr>
          <w:rFonts w:ascii="仿宋_GB2312" w:hAnsi="仿宋_GB2312" w:eastAsia="仿宋_GB2312"/>
          <w:sz w:val="32"/>
          <w:lang w:eastAsia="zh-CN"/>
        </w:rPr>
        <w:t xml:space="preserve"> </w:t>
      </w:r>
      <w:r>
        <w:rPr>
          <w:rFonts w:hint="eastAsia" w:ascii="仿宋_GB2312" w:hAnsi="仿宋_GB2312" w:eastAsia="仿宋_GB2312"/>
          <w:sz w:val="32"/>
          <w:lang w:eastAsia="zh-CN"/>
        </w:rPr>
        <w:t>149</w:t>
      </w:r>
      <w:r>
        <w:rPr>
          <w:rFonts w:ascii="仿宋_GB2312" w:hAnsi="仿宋_GB2312" w:eastAsia="仿宋_GB2312"/>
          <w:sz w:val="32"/>
          <w:lang w:eastAsia="zh-CN"/>
        </w:rPr>
        <w:t xml:space="preserve"> </w:t>
      </w:r>
      <w:r>
        <w:rPr>
          <w:rFonts w:hint="eastAsia" w:ascii="仿宋_GB2312" w:hAnsi="仿宋_GB2312" w:eastAsia="仿宋_GB2312"/>
          <w:sz w:val="32"/>
          <w:lang w:eastAsia="zh-CN"/>
        </w:rPr>
        <w:t>个小区，占比15.13</w:t>
      </w:r>
      <w:r>
        <w:rPr>
          <w:rFonts w:ascii="仿宋_GB2312" w:hAnsi="仿宋_GB2312" w:eastAsia="仿宋_GB2312"/>
          <w:sz w:val="32"/>
          <w:lang w:eastAsia="zh-CN"/>
        </w:rPr>
        <w:t>%</w:t>
      </w:r>
      <w:r>
        <w:rPr>
          <w:rFonts w:hint="eastAsia" w:ascii="仿宋_GB2312" w:hAnsi="仿宋_GB2312" w:eastAsia="仿宋_GB2312"/>
          <w:sz w:val="32"/>
          <w:lang w:eastAsia="zh-CN"/>
        </w:rPr>
        <w:t>；涉及物业服务企业74家，占比29.6</w:t>
      </w:r>
      <w:r>
        <w:rPr>
          <w:rFonts w:ascii="仿宋_GB2312" w:hAnsi="仿宋_GB2312" w:eastAsia="仿宋_GB2312"/>
          <w:sz w:val="32"/>
          <w:lang w:eastAsia="zh-CN"/>
        </w:rPr>
        <w:t>%</w:t>
      </w:r>
      <w:r>
        <w:rPr>
          <w:rFonts w:hint="eastAsia" w:ascii="仿宋_GB2312" w:hAnsi="仿宋_GB2312" w:eastAsia="仿宋_GB2312"/>
          <w:sz w:val="32"/>
          <w:lang w:eastAsia="zh-CN"/>
        </w:rPr>
        <w:t>。</w:t>
      </w:r>
    </w:p>
    <w:p>
      <w:pPr>
        <w:rPr>
          <w:lang w:eastAsia="zh-CN"/>
        </w:rPr>
      </w:pPr>
      <w:r>
        <w:rPr>
          <w:rFonts w:ascii="楷体_GB2312" w:hAnsi="楷体_GB2312" w:eastAsia="楷体_GB2312"/>
          <w:b/>
          <w:sz w:val="32"/>
          <w:lang w:eastAsia="zh-CN"/>
        </w:rPr>
        <w:t>（二）多维度分析</w:t>
      </w:r>
    </w:p>
    <w:p>
      <w:pPr>
        <w:rPr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1. 按工单量分布情况分析</w:t>
      </w:r>
    </w:p>
    <w:tbl>
      <w:tblPr>
        <w:tblStyle w:val="35"/>
        <w:tblW w:w="7386" w:type="dxa"/>
        <w:tblInd w:w="98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2140"/>
        <w:gridCol w:w="1940"/>
        <w:gridCol w:w="1386"/>
      </w:tblGrid>
      <w:tr>
        <w:trPr>
          <w:trHeight w:val="270" w:hRule="atLeast"/>
        </w:trPr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诉求类别</w:t>
            </w:r>
          </w:p>
        </w:tc>
        <w:tc>
          <w:tcPr>
            <w:tcW w:w="2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2026年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第一季度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数量</w:t>
            </w:r>
          </w:p>
        </w:tc>
        <w:tc>
          <w:tcPr>
            <w:tcW w:w="1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2025年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第一季度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数量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同比变化</w:t>
            </w:r>
          </w:p>
        </w:tc>
      </w:tr>
      <w:tr>
        <w:trPr>
          <w:trHeight w:val="27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143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139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2.88%</w:t>
            </w:r>
          </w:p>
        </w:tc>
      </w:tr>
      <w:tr>
        <w:trPr>
          <w:trHeight w:val="27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45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49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-8.16%</w:t>
            </w:r>
          </w:p>
        </w:tc>
      </w:tr>
      <w:tr>
        <w:trPr>
          <w:trHeight w:val="27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23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38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-39.47%</w:t>
            </w:r>
          </w:p>
        </w:tc>
      </w:tr>
      <w:tr>
        <w:trPr>
          <w:trHeight w:val="27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40.00%</w:t>
            </w:r>
          </w:p>
        </w:tc>
      </w:tr>
      <w:tr>
        <w:trPr>
          <w:trHeight w:val="270" w:hRule="atLeast"/>
        </w:trPr>
        <w:tc>
          <w:tcPr>
            <w:tcW w:w="1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生活垃圾分类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-50.00%</w:t>
            </w:r>
          </w:p>
        </w:tc>
      </w:tr>
    </w:tbl>
    <w:p>
      <w:pPr>
        <w:pStyle w:val="2"/>
        <w:ind w:left="440"/>
        <w:rPr>
          <w:rFonts w:hint="eastAsia" w:eastAsia="宋体"/>
          <w:lang w:eastAsia="zh-CN"/>
        </w:rPr>
      </w:pPr>
    </w:p>
    <w:p>
      <w:pPr>
        <w:ind w:firstLine="420"/>
        <w:rPr>
          <w:rFonts w:hint="eastAsia" w:ascii="仿宋_GB2312" w:hAnsi="华文中宋" w:eastAsia="仿宋_GB2312" w:cs="Times New Roman"/>
          <w:b w:val="0"/>
          <w:bCs w:val="0"/>
          <w:sz w:val="30"/>
          <w:szCs w:val="30"/>
          <w:lang w:val="en-US" w:eastAsia="zh-CN"/>
          <w14:ligatures w14:val="standardContextual"/>
        </w:rPr>
      </w:pPr>
      <w:r>
        <w:rPr>
          <w:rFonts w:ascii="仿宋_GB2312" w:hAnsi="仿宋_GB2312" w:eastAsia="仿宋_GB2312"/>
          <w:b/>
          <w:bCs/>
          <w:sz w:val="32"/>
        </w:rPr>
        <w:t>建议措施：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both"/>
        <w:textAlignment w:val="auto"/>
        <w:rPr>
          <w:rFonts w:hint="eastAsia" w:ascii="仿宋_GB2312" w:hAnsi="华文中宋" w:eastAsia="仿宋_GB2312" w:cs="Times New Roman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hAnsi="华文中宋" w:eastAsia="仿宋_GB2312" w:cs="Times New Roman"/>
          <w:sz w:val="32"/>
          <w:szCs w:val="32"/>
          <w:lang w:val="en-US" w:eastAsia="zh-CN"/>
          <w14:ligatures w14:val="standardContextual"/>
        </w:rPr>
        <w:t>针对垃圾清运、垃圾堆放、垃圾清运费问题，徐汇环卫公司提升清运效率，同步做好小程序预约清运操作和建筑垃圾清运收费标准的宣传告知。街镇城建中心对小区物业代收费情况进行核查，发现违规收费的，</w:t>
      </w:r>
      <w:r>
        <w:rPr>
          <w:rFonts w:hint="eastAsia" w:ascii="仿宋_GB2312" w:hAnsi="华文中宋" w:eastAsia="仿宋_GB2312"/>
          <w:b w:val="0"/>
          <w:bCs w:val="0"/>
          <w:sz w:val="32"/>
          <w:szCs w:val="32"/>
          <w:highlight w:val="none"/>
          <w:lang w:val="en-US" w:eastAsia="zh-CN"/>
        </w:rPr>
        <w:t>报街镇城管中队和区房管局进行行政处罚和信用记分处理。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both"/>
        <w:textAlignment w:val="auto"/>
        <w:rPr>
          <w:rFonts w:hint="eastAsia" w:ascii="仿宋_GB2312" w:hAnsi="华文中宋" w:eastAsia="仿宋_GB2312" w:cs="Times New Roman"/>
          <w:sz w:val="32"/>
          <w:szCs w:val="32"/>
          <w:lang w:val="en-US" w:eastAsia="zh-CN"/>
          <w14:ligatures w14:val="standardContextual"/>
        </w:rPr>
      </w:pPr>
      <w:r>
        <w:rPr>
          <w:rFonts w:hint="eastAsia" w:ascii="仿宋_GB2312" w:hAnsi="华文中宋" w:eastAsia="仿宋_GB2312" w:cs="Times New Roman"/>
          <w:sz w:val="32"/>
          <w:szCs w:val="32"/>
          <w:lang w:val="en-US" w:eastAsia="zh-CN"/>
          <w14:ligatures w14:val="standardContextual"/>
        </w:rPr>
        <w:t>针对垃圾厢房、垃圾分类问题，区绿化市容局做好垃圾分类和小区垃圾厢房（堆放点）选址的指导工作。</w:t>
      </w:r>
    </w:p>
    <w:p>
      <w:pPr>
        <w:pStyle w:val="4"/>
        <w:rPr>
          <w:rFonts w:hint="eastAsia"/>
          <w:lang w:eastAsia="zh-CN"/>
        </w:rPr>
      </w:pPr>
    </w:p>
    <w:p>
      <w:pPr>
        <w:rPr>
          <w:rFonts w:hint="eastAsia"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2. 按物业服务企业分析</w:t>
      </w:r>
    </w:p>
    <w:p>
      <w:pPr>
        <w:rPr>
          <w:rFonts w:hint="eastAsia"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（1）工单数量</w:t>
      </w:r>
      <w:r>
        <w:rPr>
          <w:rFonts w:hint="eastAsia" w:ascii="仿宋_GB2312" w:hAnsi="仿宋_GB2312" w:eastAsia="仿宋_GB2312"/>
          <w:b/>
          <w:sz w:val="32"/>
          <w:lang w:eastAsia="zh-CN"/>
        </w:rPr>
        <w:t>前十物业</w:t>
      </w:r>
      <w:r>
        <w:rPr>
          <w:rFonts w:ascii="仿宋_GB2312" w:hAnsi="仿宋_GB2312" w:eastAsia="仿宋_GB2312"/>
          <w:b/>
          <w:sz w:val="32"/>
          <w:lang w:eastAsia="zh-CN"/>
        </w:rPr>
        <w:t>情况</w:t>
      </w:r>
    </w:p>
    <w:tbl>
      <w:tblPr>
        <w:tblStyle w:val="35"/>
        <w:tblW w:w="10160" w:type="dxa"/>
        <w:tblInd w:w="-40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560"/>
        <w:gridCol w:w="940"/>
        <w:gridCol w:w="940"/>
        <w:gridCol w:w="780"/>
        <w:gridCol w:w="780"/>
        <w:gridCol w:w="2460"/>
      </w:tblGrid>
      <w:tr>
        <w:trPr>
          <w:trHeight w:val="540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3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物业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在管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小区数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在管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户数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密度</w:t>
            </w:r>
          </w:p>
        </w:tc>
        <w:tc>
          <w:tcPr>
            <w:tcW w:w="2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诉求较高的前三项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（按子类统计）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上海高建物业有限公司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29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79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44976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0.06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上海衡复物业有限公司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30640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0.07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上海徐房物业有限公司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51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32867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0.05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秀澜（上海）物业管理有限公司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9715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0.07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上海安得物业管理有限公司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10467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0.07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垃圾处理代收费</w:t>
            </w:r>
          </w:p>
        </w:tc>
      </w:tr>
      <w:tr>
        <w:trPr>
          <w:trHeight w:val="81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上海汇成物业有限公司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19224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0.04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上海晏鑫物业有限公司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7292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0.08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上海中誉物业管理有限公司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6915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0.07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上海锐翔上房物业管理有限公司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5414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0.09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垃圾堆放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3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上海海鸿福船物业管理有限公司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1095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0.37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</w:tbl>
    <w:p>
      <w:pPr>
        <w:pStyle w:val="2"/>
        <w:ind w:left="440"/>
        <w:rPr>
          <w:rFonts w:hint="eastAsia" w:eastAsia="宋体"/>
          <w:lang w:eastAsia="zh-CN"/>
        </w:rPr>
      </w:pPr>
    </w:p>
    <w:p>
      <w:pPr>
        <w:rPr>
          <w:rFonts w:hint="eastAsia"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（</w:t>
      </w:r>
      <w:r>
        <w:rPr>
          <w:rFonts w:hint="eastAsia" w:ascii="仿宋_GB2312" w:hAnsi="仿宋_GB2312" w:eastAsia="仿宋_GB2312"/>
          <w:b/>
          <w:sz w:val="32"/>
          <w:lang w:eastAsia="zh-CN"/>
        </w:rPr>
        <w:t>2</w:t>
      </w:r>
      <w:r>
        <w:rPr>
          <w:rFonts w:ascii="仿宋_GB2312" w:hAnsi="仿宋_GB2312" w:eastAsia="仿宋_GB2312"/>
          <w:b/>
          <w:sz w:val="32"/>
          <w:lang w:eastAsia="zh-CN"/>
        </w:rPr>
        <w:t>）</w:t>
      </w:r>
      <w:r>
        <w:rPr>
          <w:rFonts w:hint="eastAsia" w:ascii="仿宋_GB2312" w:hAnsi="仿宋_GB2312" w:eastAsia="仿宋_GB2312"/>
          <w:b/>
          <w:sz w:val="32"/>
          <w:lang w:eastAsia="zh-CN"/>
        </w:rPr>
        <w:t>徐房、城投集团下属物业</w:t>
      </w:r>
      <w:r>
        <w:rPr>
          <w:rFonts w:ascii="仿宋_GB2312" w:hAnsi="仿宋_GB2312" w:eastAsia="仿宋_GB2312"/>
          <w:b/>
          <w:sz w:val="32"/>
          <w:lang w:eastAsia="zh-CN"/>
        </w:rPr>
        <w:t>情况</w:t>
      </w:r>
    </w:p>
    <w:tbl>
      <w:tblPr>
        <w:tblStyle w:val="35"/>
        <w:tblW w:w="8946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2320"/>
        <w:gridCol w:w="2220"/>
        <w:gridCol w:w="1366"/>
      </w:tblGrid>
      <w:tr>
        <w:trPr>
          <w:trHeight w:val="270" w:hRule="atLeast"/>
        </w:trPr>
        <w:tc>
          <w:tcPr>
            <w:tcW w:w="3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物业服务企业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2026年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第一季度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2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2025年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/>
              </w:rPr>
              <w:t>第一季度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同比变化</w:t>
            </w:r>
          </w:p>
        </w:tc>
      </w:tr>
      <w:tr>
        <w:trPr>
          <w:trHeight w:val="270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上海高建物业有限公司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29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24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20.83%</w:t>
            </w:r>
          </w:p>
        </w:tc>
      </w:tr>
      <w:tr>
        <w:trPr>
          <w:trHeight w:val="270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上海衡复物业有限公司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29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-31.03%</w:t>
            </w:r>
          </w:p>
        </w:tc>
      </w:tr>
      <w:tr>
        <w:trPr>
          <w:trHeight w:val="270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上海徐房物业有限公司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18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24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-25.00%</w:t>
            </w:r>
          </w:p>
        </w:tc>
      </w:tr>
      <w:tr>
        <w:trPr>
          <w:trHeight w:val="270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上海汇成物业有限公司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14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-50.00%</w:t>
            </w:r>
          </w:p>
        </w:tc>
      </w:tr>
      <w:tr>
        <w:trPr>
          <w:trHeight w:val="270" w:hRule="atLeast"/>
        </w:trPr>
        <w:tc>
          <w:tcPr>
            <w:tcW w:w="30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上海中誉物业管理有限公司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66.67%</w:t>
            </w:r>
          </w:p>
        </w:tc>
      </w:tr>
    </w:tbl>
    <w:p>
      <w:pPr>
        <w:pStyle w:val="2"/>
        <w:ind w:left="0" w:leftChars="0"/>
        <w:rPr>
          <w:rFonts w:hint="eastAsia" w:eastAsia="宋体"/>
          <w:lang w:eastAsia="zh-CN"/>
        </w:rPr>
      </w:pPr>
    </w:p>
    <w:p>
      <w:pPr>
        <w:rPr>
          <w:rFonts w:ascii="仿宋_GB2312" w:hAnsi="仿宋_GB2312" w:eastAsia="仿宋_GB2312"/>
          <w:b/>
          <w:sz w:val="32"/>
          <w:lang w:eastAsia="zh-CN"/>
        </w:rPr>
      </w:pPr>
      <w:r>
        <w:rPr>
          <w:rFonts w:ascii="仿宋_GB2312" w:hAnsi="仿宋_GB2312" w:eastAsia="仿宋_GB2312"/>
          <w:b/>
          <w:sz w:val="32"/>
          <w:lang w:eastAsia="zh-CN"/>
        </w:rPr>
        <w:t>3. 按小区分析</w:t>
      </w:r>
    </w:p>
    <w:tbl>
      <w:tblPr>
        <w:tblStyle w:val="35"/>
        <w:tblW w:w="974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350"/>
        <w:gridCol w:w="1840"/>
        <w:gridCol w:w="940"/>
        <w:gridCol w:w="700"/>
        <w:gridCol w:w="780"/>
        <w:gridCol w:w="3430"/>
      </w:tblGrid>
      <w:tr>
        <w:trPr>
          <w:trHeight w:val="315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序号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街道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小区名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工单量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户数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密度</w:t>
            </w:r>
          </w:p>
        </w:tc>
        <w:tc>
          <w:tcPr>
            <w:tcW w:w="3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eastAsia="zh-CN"/>
              </w:rPr>
              <w:t>核心问题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枫林路街道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西木小区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2543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0.12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田林街道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田林三四村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1386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0.22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枫林路街道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东安四村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1070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0.28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康健新村街道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寿德坊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594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0.34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田林街道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吴东小区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1077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0.19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华泾镇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华泾绿苑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2366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0.08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54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漕河泾街道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冠生苑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854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0.23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8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康健新村街道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康乐小区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2053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0.10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垃圾厢房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长桥街道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绿洲庭苑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239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0.84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  <w:tr>
        <w:trPr>
          <w:trHeight w:val="270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10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天平路街道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岳阳小区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440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0.45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垃圾清运</w:t>
            </w:r>
          </w:p>
        </w:tc>
      </w:tr>
    </w:tbl>
    <w:p>
      <w:pPr>
        <w:rPr>
          <w:lang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08FE"/>
    <w:multiLevelType w:val="singleLevel"/>
    <w:tmpl w:val="FEBE08F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4A0"/>
    <w:rsid w:val="00180E9D"/>
    <w:rsid w:val="00192171"/>
    <w:rsid w:val="0019683C"/>
    <w:rsid w:val="001D39E8"/>
    <w:rsid w:val="0029639D"/>
    <w:rsid w:val="00326F90"/>
    <w:rsid w:val="0039617A"/>
    <w:rsid w:val="00406880"/>
    <w:rsid w:val="00514028"/>
    <w:rsid w:val="007B6592"/>
    <w:rsid w:val="00963442"/>
    <w:rsid w:val="009D3274"/>
    <w:rsid w:val="009E2268"/>
    <w:rsid w:val="00A61AAD"/>
    <w:rsid w:val="00AA1D8D"/>
    <w:rsid w:val="00B47730"/>
    <w:rsid w:val="00B55923"/>
    <w:rsid w:val="00B7387F"/>
    <w:rsid w:val="00BA3D33"/>
    <w:rsid w:val="00CB0664"/>
    <w:rsid w:val="00D623E3"/>
    <w:rsid w:val="00FC693F"/>
    <w:rsid w:val="7CF536DD"/>
    <w:rsid w:val="C67D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qFormat="1"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6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7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8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11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2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4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</w:style>
  <w:style w:type="paragraph" w:styleId="3">
    <w:name w:val="Body Text Indent"/>
    <w:basedOn w:val="1"/>
    <w:qFormat/>
    <w:uiPriority w:val="0"/>
    <w:pPr>
      <w:spacing w:after="120"/>
      <w:ind w:left="200" w:leftChars="200"/>
    </w:pPr>
  </w:style>
  <w:style w:type="paragraph" w:styleId="4">
    <w:name w:val="Body Text"/>
    <w:basedOn w:val="1"/>
    <w:next w:val="1"/>
    <w:link w:val="147"/>
    <w:unhideWhenUsed/>
    <w:uiPriority w:val="99"/>
    <w:pPr>
      <w:spacing w:after="120"/>
    </w:pPr>
  </w:style>
  <w:style w:type="paragraph" w:styleId="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5">
    <w:name w:val="List 3"/>
    <w:basedOn w:val="1"/>
    <w:unhideWhenUsed/>
    <w:uiPriority w:val="99"/>
    <w:pPr>
      <w:ind w:left="1080" w:hanging="360"/>
      <w:contextualSpacing/>
    </w:pPr>
  </w:style>
  <w:style w:type="paragraph" w:styleId="16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2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6">
    <w:name w:val="Balloon Text"/>
    <w:basedOn w:val="1"/>
    <w:link w:val="167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27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页眉 Char"/>
    <w:basedOn w:val="135"/>
    <w:link w:val="28"/>
    <w:uiPriority w:val="99"/>
  </w:style>
  <w:style w:type="character" w:customStyle="1" w:styleId="139">
    <w:name w:val="页脚 Char"/>
    <w:basedOn w:val="135"/>
    <w:link w:val="27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Char"/>
    <w:basedOn w:val="135"/>
    <w:link w:val="6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Char"/>
    <w:basedOn w:val="135"/>
    <w:link w:val="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Char"/>
    <w:basedOn w:val="135"/>
    <w:link w:val="8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Char"/>
    <w:basedOn w:val="135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Char"/>
    <w:basedOn w:val="135"/>
    <w:link w:val="4"/>
    <w:uiPriority w:val="99"/>
  </w:style>
  <w:style w:type="character" w:customStyle="1" w:styleId="148">
    <w:name w:val="正文文本 2 Char"/>
    <w:basedOn w:val="135"/>
    <w:link w:val="31"/>
    <w:uiPriority w:val="99"/>
  </w:style>
  <w:style w:type="character" w:customStyle="1" w:styleId="149">
    <w:name w:val="正文文本 3 Char"/>
    <w:basedOn w:val="135"/>
    <w:link w:val="20"/>
    <w:uiPriority w:val="99"/>
    <w:rPr>
      <w:sz w:val="16"/>
      <w:szCs w:val="16"/>
    </w:rPr>
  </w:style>
  <w:style w:type="character" w:customStyle="1" w:styleId="150">
    <w:name w:val="宏文本 Char"/>
    <w:basedOn w:val="135"/>
    <w:link w:val="5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Char"/>
    <w:basedOn w:val="135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Char"/>
    <w:basedOn w:val="135"/>
    <w:link w:val="10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Char"/>
    <w:basedOn w:val="135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Char"/>
    <w:basedOn w:val="135"/>
    <w:link w:val="13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Char"/>
    <w:basedOn w:val="135"/>
    <w:link w:val="14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6"/>
    <w:next w:val="1"/>
    <w:semiHidden/>
    <w:unhideWhenUsed/>
    <w:qFormat/>
    <w:uiPriority w:val="39"/>
    <w:pPr>
      <w:outlineLvl w:val="9"/>
    </w:pPr>
  </w:style>
  <w:style w:type="character" w:customStyle="1" w:styleId="167">
    <w:name w:val="批注框文本 Char"/>
    <w:basedOn w:val="135"/>
    <w:link w:val="26"/>
    <w:semiHidden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581</Words>
  <Characters>3316</Characters>
  <Lines>27</Lines>
  <Paragraphs>7</Paragraphs>
  <TotalTime>0</TotalTime>
  <ScaleCrop>false</ScaleCrop>
  <LinksUpToDate>false</LinksUpToDate>
  <CharactersWithSpaces>3890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2026-05-22T10:19:00Z</dcterms:created>
  <dc:creator>python-docx</dc:creator>
  <dc:description>generated by python-docx</dc:description>
  <cp:lastModifiedBy>江沂</cp:lastModifiedBy>
  <dcterms:modified xsi:type="dcterms:W3CDTF">2026-05-22T14:44:11Z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E33D1102BA013D853BFB0F6AC4A566F2_43</vt:lpwstr>
  </property>
</Properties>
</file>