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一、收录范围。汇编按「课题总览—数据基础与方法—现状与趋势—深度专项—专题分析—结论建议」六篇、共 17 章组织，收录课题 7 项核心成果（编号 #1—#7，成果索引见第 3 章「成果体系总览」）及各项支撑分析报告；另设附录 A—G 七项，依次为统计口径说明、关键数字速查表、十四类问题定义、高风险小区评分清单（摘录）、投诉去重建议清单（摘录）、交付物与过程成果清单、13 街镇诉求主题词云图集。技术过程文档（过程会议纪要、版本更新记录、词云词表审核清单）属内部编制资料，不列入对外成果。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件；业务数据共 9 类，以纳统小区为主表，关联 12345 热线投诉与电梯、修缮、失信计分、底部抬升、征收基地、拆房、测绘等监管改造数据。经小区名称归并与街道名称标准化后，构建小区级 45 个字段、街道级 24 个字段的关联数据底座。</w:t>
      </w:r>
    </w:p>
    <w:p>
      <w:pPr>
        <w:spacing w:after="60" w:line="324" w:lineRule="auto"/>
        <w:ind w:firstLine="440"/>
      </w:pPr>
      <w:r>
        <w:rPr>
          <w:rFonts w:ascii="宋体" w:hAnsi="宋体" w:eastAsia="宋体"/>
          <w:sz w:val="22"/>
        </w:rPr>
        <w:t>三、统计口径。2026 年统计期统一为 1-8 月；同比一律采用同期口径，即 2026 年 1-8 月与 2025 年 1-8 月对比，全年同比作为独立标签单独标注，不与同期口径混用。投诉密度统一按「件/千户」计。统计单元分全量口径与纳统口径两套，纳统口径以区房管局纳统小区名单为唯一基准，两套口径的适用边界在各章中分别注明，不交叉换算。需特别说明三组易混数字：一是工单总量有 66,812 件（本课题清洗去重后的物业类工单，主口径）与 70,748 条（市局三批次原始记录，见第 5 章）之分；二是 2026 年 1-8 月同期总量有 13,726 件（市局十四类口径，用于全区与全市对比，见第 7、8 章）与 13,627 件（课题主数据口径，用于街镇间对比，见第 9 章）之分；三是底部抬升小区名单为 84 个，因匹配环节不同另有 83 个（关联库匹配，匹配率 98.8%）、82 个（在纳统档案内）、78 个（可匹配到热线数据）三个计数，各章按用途分别采用并已在文中标注。以上三组数字分属不同统计范围，不可交叉换算或混用。详细口径见附录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 D、E 为清单摘录（分别取评分前 100 名与各月前 10 条），全量数据以随附的 Excel 附件为准。</w:t>
      </w:r>
    </w:p>
    <w:p>
      <w:pPr>
        <w:spacing w:after="60" w:line="324" w:lineRule="auto"/>
        <w:ind w:firstLine="440"/>
      </w:pPr>
      <w:r>
        <w:rPr>
          <w:rFonts w:ascii="宋体" w:hAnsi="宋体" w:eastAsia="宋体"/>
          <w:sz w:val="22"/>
        </w:rPr>
        <w:t>五、随附交付物。本汇编配套 4 份 Excel 全量清单附件：附件 1 高风险小区评分全量清单、附件 2 投诉去重建议清单、附件 3 词云清单、附件 4 交付物清单；另有 34 份过程成果报告（月度 19 份、年度 15 份）一并交付。全部文件目录见附录 F 与附件 4。</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件。数据集含工单编号、受理时间、诉求内容、小区名称、街道、物业公司（含填报原值溯源列）、十四类问题分类等 22 个字段。需说明的是，市局三批次原始记录合计 70,748 条（35,646＋33,005＋2,097），本课题在其基础上按物业类范围筛选、去重并清洗后得到 66,812 件，两者统计范围与处理环节不同，不互相换算，详见第 5 章数据质量优化专项报告。</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月对比；全年同比作为独立标签单独标注，不与同期口径混用。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此外，2026 年 1-8 月同期总量在不同分析场景下按两组数字分别使用：13,726 件为市局十四类口径，用于全区与全市对比（第 7、8 章）；13,627 件为课题主数据口径，用于街镇间对比（第 9 章）。底部抬升小区名单为 84 个，其中 82 个在纳统档案内、78 个可匹配到热线数据，各章按分析需要采用相应口径并已在文中标注。</w:t>
      </w:r>
    </w:p>
    <w:p>
      <w:pPr>
        <w:spacing w:after="60" w:line="324" w:lineRule="auto"/>
        <w:ind w:firstLine="440"/>
      </w:pPr>
      <w:r>
        <w:rPr>
          <w:rFonts w:ascii="宋体" w:hAnsi="宋体" w:eastAsia="宋体"/>
          <w:sz w:val="22"/>
        </w:rPr>
        <w:t>四、投诉密度口径。投诉密度＝投诉量 ÷ 户数 × 1000，单位「件/千户」。户数取自小区档案，工单数据本身不含户数字段。</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两层关联体系：</w:t>
            </w:r>
          </w:p>
          <w:p>
            <w:pPr>
              <w:spacing w:before="20" w:after="20" w:line="288" w:lineRule="auto"/>
            </w:pPr>
            <w:r>
              <w:rPr>
                <w:rFonts w:ascii="宋体" w:hAnsi="宋体" w:eastAsia="宋体"/>
                <w:sz w:val="20"/>
              </w:rPr>
              <w:t>① 小区级（通过小区ID+名称匹配）：电梯、修缮、失信、底部抬升、热线投诉；</w:t>
            </w:r>
          </w:p>
          <w:p>
            <w:pPr>
              <w:spacing w:before="20" w:after="20" w:line="288" w:lineRule="auto"/>
            </w:pPr>
            <w:r>
              <w:rPr>
                <w:rFonts w:ascii="宋体" w:hAnsi="宋体" w:eastAsia="宋体"/>
                <w:sz w:val="20"/>
              </w:rPr>
              <w:t>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电梯基本信息95.9% (257/268)</w:t>
      </w:r>
    </w:p>
    <w:p>
      <w:pPr>
        <w:spacing w:after="60" w:line="324" w:lineRule="auto"/>
      </w:pPr>
      <w:r>
        <w:rPr>
          <w:rFonts w:ascii="宋体" w:hAnsi="宋体" w:eastAsia="宋体"/>
          <w:sz w:val="21"/>
        </w:rPr>
        <w:t>底部抬升小区98.8% (83/84)</w:t>
      </w:r>
    </w:p>
    <w:p>
      <w:pPr>
        <w:spacing w:after="60" w:line="324" w:lineRule="auto"/>
      </w:pPr>
      <w:r>
        <w:rPr>
          <w:rFonts w:ascii="宋体" w:hAnsi="宋体" w:eastAsia="宋体"/>
          <w:sz w:val="21"/>
        </w:rPr>
        <w:t>失信计分100% (18/18)</w:t>
      </w:r>
    </w:p>
    <w:p>
      <w:pPr>
        <w:spacing w:after="60" w:line="324" w:lineRule="auto"/>
      </w:pPr>
      <w:r>
        <w:rPr>
          <w:rFonts w:ascii="宋体" w:hAnsi="宋体" w:eastAsia="宋体"/>
          <w:sz w:val="21"/>
        </w:rPr>
        <w:t>修缮项目84.3% (285/338)</w:t>
      </w:r>
    </w:p>
    <w:p>
      <w:pPr>
        <w:spacing w:after="60" w:line="324" w:lineRule="auto"/>
      </w:pPr>
      <w:r>
        <w:rPr>
          <w:rFonts w:ascii="宋体" w:hAnsi="宋体" w:eastAsia="宋体"/>
          <w:sz w:val="21"/>
        </w:rPr>
        <w:t>热线投诉（覆盖率）97.5%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质量总结：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统计范围：小区级主表采用《纳统小区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下一步建议：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w:t>
            </w:r>
          </w:p>
          <w:p>
            <w:pPr>
              <w:spacing w:before="20" w:after="20"/>
              <w:jc w:val="left"/>
            </w:pPr>
            <w:r>
              <w:rPr>
                <w:rFonts w:ascii="宋体" w:hAnsi="宋体" w:eastAsia="宋体"/>
                <w:b w:val="0"/>
                <w:sz w:val="18"/>
              </w:rPr>
              <w:t>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w:t>
            </w:r>
          </w:p>
          <w:p>
            <w:pPr>
              <w:spacing w:before="20" w:after="20"/>
              <w:jc w:val="left"/>
            </w:pPr>
            <w:r>
              <w:rPr>
                <w:rFonts w:ascii="宋体" w:hAnsi="宋体" w:eastAsia="宋体"/>
                <w:b w:val="0"/>
                <w:sz w:val="18"/>
              </w:rPr>
              <w:t>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w:t>
            </w:r>
          </w:p>
          <w:p>
            <w:pPr>
              <w:spacing w:before="20" w:after="20"/>
              <w:jc w:val="left"/>
            </w:pPr>
            <w:r>
              <w:rPr>
                <w:rFonts w:ascii="宋体" w:hAnsi="宋体" w:eastAsia="宋体"/>
                <w:b w:val="0"/>
                <w:sz w:val="18"/>
              </w:rPr>
              <w:t>①答复质量评估无数据支撑；</w:t>
            </w:r>
          </w:p>
          <w:p>
            <w:pPr>
              <w:spacing w:before="20" w:after="20"/>
              <w:jc w:val="left"/>
            </w:pPr>
            <w:r>
              <w:rPr>
                <w:rFonts w:ascii="宋体" w:hAnsi="宋体" w:eastAsia="宋体"/>
                <w:b w:val="0"/>
                <w:sz w:val="18"/>
              </w:rPr>
              <w:t>②重复投诉分析缺乏对比基准；</w:t>
            </w:r>
          </w:p>
          <w:p>
            <w:pPr>
              <w:spacing w:before="20" w:after="20"/>
              <w:jc w:val="left"/>
            </w:pPr>
            <w:r>
              <w:rPr>
                <w:rFonts w:ascii="宋体" w:hAnsi="宋体" w:eastAsia="宋体"/>
                <w:b w:val="0"/>
                <w:sz w:val="18"/>
              </w:rPr>
              <w:t>③无法做答复模板化检测。</w:t>
            </w:r>
          </w:p>
          <w:p>
            <w:pPr>
              <w:spacing w:before="20" w:after="20"/>
              <w:jc w:val="left"/>
            </w:pPr>
            <w:r>
              <w:rPr>
                <w:rFonts w:ascii="宋体" w:hAnsi="宋体" w:eastAsia="宋体"/>
                <w:b w:val="0"/>
                <w:sz w:val="18"/>
              </w:rPr>
              <w:t>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w:t>
            </w:r>
          </w:p>
          <w:p>
            <w:pPr>
              <w:spacing w:before="20" w:after="20"/>
              <w:jc w:val="left"/>
            </w:pPr>
            <w:r>
              <w:rPr>
                <w:rFonts w:ascii="宋体" w:hAnsi="宋体" w:eastAsia="宋体"/>
                <w:b w:val="0"/>
                <w:sz w:val="18"/>
              </w:rPr>
              <w:t>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本项目构建了"投诉去重识别模型"，通过四重识别策略，对2026年1-8月共13,726条有效工单进行系统性去重分析，识别出4,908条重复投诉工单，重复投诉占比35.8%，为准确评估投诉量下降趋势提供了数据基础。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同一小区名称（小区名称字段相同）且 内容描述（内容描述字段）完全一致（字符级精确匹配）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按小区名称分组，组内对内容描述做字符串精确比对，完全相同的工单归为一组。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w:t>
            </w:r>
          </w:p>
          <w:p>
            <w:pPr>
              <w:spacing w:before="20" w:after="20"/>
              <w:jc w:val="left"/>
            </w:pPr>
            <w:r>
              <w:rPr>
                <w:rFonts w:ascii="宋体" w:hAnsi="宋体" w:eastAsia="宋体"/>
                <w:b w:val="0"/>
                <w:sz w:val="18"/>
              </w:rPr>
              <w:t>① "催单" / "催办" / "重新交办" / "相同事项"</w:t>
            </w:r>
          </w:p>
          <w:p>
            <w:pPr>
              <w:spacing w:before="20" w:after="20"/>
              <w:jc w:val="left"/>
            </w:pPr>
            <w:r>
              <w:rPr>
                <w:rFonts w:ascii="宋体" w:hAnsi="宋体" w:eastAsia="宋体"/>
                <w:b w:val="0"/>
                <w:sz w:val="18"/>
              </w:rPr>
              <w:t>② 「反复」与催办动作搭配：反复 + 来电/催/投诉/反映/举报/交办（同句、间隔≤6字）</w:t>
            </w:r>
          </w:p>
          <w:p>
            <w:pPr>
              <w:spacing w:before="20" w:after="20"/>
              <w:jc w:val="left"/>
            </w:pPr>
            <w:r>
              <w:rPr>
                <w:rFonts w:ascii="宋体" w:hAnsi="宋体" w:eastAsia="宋体"/>
                <w:b w:val="0"/>
                <w:sz w:val="18"/>
              </w:rPr>
              <w:t>③ 系统标记 "重复来电"（话务平台直接打在本单上的标签）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对每条工单的内容描述文本进行关键词检索，命中任一判据即判定为催办/重发类重复投诉。</w:t>
            </w:r>
          </w:p>
          <w:p>
            <w:pPr>
              <w:spacing w:before="20" w:after="20"/>
              <w:jc w:val="left"/>
            </w:pPr>
            <w:r>
              <w:rPr>
                <w:rFonts w:ascii="宋体" w:hAnsi="宋体" w:eastAsia="宋体"/>
                <w:b w:val="0"/>
                <w:sz w:val="18"/>
              </w:rPr>
              <w:t>注：「反复」不自成判据 —— 它大量出现在「杜绝反复积水」「现象反复发生」这类普通描述中，单独匹配会误判；仅在携带催办动作时计入。系统标记「重复来电」须剥离引用块后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同一小区（小区名称相同）且 同一十四类分类（十四类相同）且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w:t>
            </w:r>
          </w:p>
          <w:p>
            <w:pPr>
              <w:spacing w:before="20" w:after="20"/>
              <w:jc w:val="left"/>
            </w:pPr>
            <w:r>
              <w:rPr>
                <w:rFonts w:ascii="宋体" w:hAnsi="宋体" w:eastAsia="宋体"/>
                <w:b w:val="0"/>
                <w:sz w:val="18"/>
              </w:rPr>
              <w:t>② 预处理：分词后去除停用词（"的"、"了"、"在"等）</w:t>
            </w:r>
          </w:p>
          <w:p>
            <w:pPr>
              <w:spacing w:before="20" w:after="20"/>
              <w:jc w:val="left"/>
            </w:pPr>
            <w:r>
              <w:rPr>
                <w:rFonts w:ascii="宋体" w:hAnsi="宋体" w:eastAsia="宋体"/>
                <w:b w:val="0"/>
                <w:sz w:val="18"/>
              </w:rPr>
              <w:t>③ 向量化：TF-IDF算法将文本转化为词频-逆文档频率向量</w:t>
            </w:r>
          </w:p>
          <w:p>
            <w:pPr>
              <w:spacing w:before="20" w:after="20"/>
              <w:jc w:val="left"/>
            </w:pPr>
            <w:r>
              <w:rPr>
                <w:rFonts w:ascii="宋体" w:hAnsi="宋体" w:eastAsia="宋体"/>
                <w:b w:val="0"/>
                <w:sz w:val="18"/>
              </w:rPr>
              <w:t>④ 相似度计算：余弦相似度（Cosine Similarity）</w:t>
            </w:r>
          </w:p>
          <w:p>
            <w:pPr>
              <w:spacing w:before="20" w:after="20"/>
              <w:jc w:val="left"/>
            </w:pPr>
            <w:r>
              <w:rPr>
                <w:rFonts w:ascii="宋体" w:hAnsi="宋体" w:eastAsia="宋体"/>
                <w:b w:val="0"/>
                <w:sz w:val="18"/>
              </w:rPr>
              <w:t>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35.5%。重复率整体高于年初，说明首次办理质量仍是治理短板——重复投诉量（4,908件）占全量的三分之一以上。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left"/>
            </w:pPr>
            <w:r/>
            <w:r>
              <w:rPr>
                <w:rFonts w:ascii="宋体" w:hAnsi="宋体" w:eastAsia="宋体"/>
                <w:b w:val="0"/>
                <w:sz w:val="18"/>
              </w:rPr>
              <w:t>2024年月均2,456件 → 2026年月均1,716件</w:t>
            </w:r>
          </w:p>
        </w:tc>
        <w:tc>
          <w:tcPr>
            <w:tcW w:type="dxa" w:w="2161"/>
          </w:tcPr>
          <w:p>
            <w:pPr>
              <w:spacing w:before="20" w:after="20"/>
              <w:jc w:val="left"/>
            </w:pPr>
            <w:r/>
            <w:r>
              <w:rPr>
                <w:rFonts w:ascii="宋体" w:hAnsi="宋体" w:eastAsia="宋体"/>
                <w:b w:val="0"/>
                <w:sz w:val="18"/>
              </w:rPr>
              <w:t>↓ 月均减少740件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8月预警：2026年8月单月投诉2,242件，同比2025年8月（2,180件）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口径说明</w:t>
            </w:r>
          </w:p>
          <w:p>
            <w:pPr>
              <w:spacing w:before="20" w:after="20" w:line="288" w:lineRule="auto"/>
            </w:pPr>
            <w:r>
              <w:rPr>
                <w:rFonts w:ascii="宋体" w:hAnsi="宋体" w:eastAsia="宋体"/>
                <w:sz w:val="20"/>
              </w:rPr>
              <w:t>· 街镇明细合计 13,719条 + 归属为空 7条 = 全区 13,726条</w:t>
            </w:r>
          </w:p>
          <w:p>
            <w:pPr>
              <w:spacing w:before="20" w:after="20" w:line="288" w:lineRule="auto"/>
            </w:pPr>
            <w:r>
              <w:rPr>
                <w:rFonts w:ascii="宋体" w:hAnsi="宋体" w:eastAsia="宋体"/>
                <w:sz w:val="20"/>
              </w:rPr>
              <w:t>· 同比统一采用同期口径（1-8月 vs 1-8月），不使用全年基数</w:t>
            </w:r>
          </w:p>
          <w:p>
            <w:pPr>
              <w:spacing w:before="20" w:after="20" w:line="288" w:lineRule="auto"/>
            </w:pPr>
            <w:r>
              <w:rPr>
                <w:rFonts w:ascii="宋体" w:hAnsi="宋体" w:eastAsia="宋体"/>
                <w:sz w:val="20"/>
              </w:rPr>
              <w:t>· 同比须区分两个口径：全区 = 13,726 vs 15,798（含「归属为空」，2025年同期归属为空 109条） → -13.1%；13个街镇合计 = 13,719 vs 15,689 → -12.6%。正文中的「全区同比」一律取前者；贡献度分母取后者（见第四节）</w:t>
            </w:r>
          </w:p>
          <w:p>
            <w:pPr>
              <w:spacing w:before="20" w:after="20" w:line="288" w:lineRule="auto"/>
            </w:pPr>
            <w:r>
              <w:rPr>
                <w:rFonts w:ascii="宋体" w:hAnsi="宋体" w:eastAsia="宋体"/>
                <w:sz w:val="20"/>
              </w:rPr>
              <w:t>· 投诉密度 = 2026年1-8月投诉量 ÷ 户数 × 1000（件/千户）；户数为该街镇「2026年1-8月有投诉小区」按纳统小区归并后的总户数，取自《纳统小区 (2026 更新版)》档案 total_households 字段（993个纳统小区；同一小区的别名/曾用名只计一次；工单主数据与 SQLite 库均无户数字段）</w:t>
            </w:r>
          </w:p>
          <w:p>
            <w:pPr>
              <w:spacing w:before="20" w:after="20" w:line="288" w:lineRule="auto"/>
            </w:pPr>
            <w:r>
              <w:rPr>
                <w:rFonts w:ascii="宋体" w:hAnsi="宋体" w:eastAsia="宋体"/>
                <w:sz w:val="20"/>
              </w:rPr>
              <w:t>· 2026年 9-12 月数据未产生，图表以空值呈现</w:t>
            </w:r>
          </w:p>
          <w:p>
            <w:pPr>
              <w:spacing w:before="20" w:after="20" w:line="288" w:lineRule="auto"/>
            </w:pPr>
            <w:r>
              <w:rPr>
                <w:rFonts w:ascii="宋体" w:hAnsi="宋体" w:eastAsia="宋体"/>
                <w:sz w:val="20"/>
              </w:rPr>
              <w:t>· 重复投诉率：同小区内容完全重复 ∪ 催办关键词 ∪ 同小区同类≥3次 ∪ 文本相似≥0.6，按街镇 1-8 月累计计算</w:t>
            </w:r>
          </w:p>
          <w:p>
            <w:pPr>
              <w:spacing w:before="20" w:after="20" w:line="288" w:lineRule="auto"/>
            </w:pPr>
            <w:r>
              <w:rPr>
                <w:rFonts w:ascii="宋体" w:hAnsi="宋体" w:eastAsia="宋体"/>
                <w:sz w:val="20"/>
              </w:rPr>
              <w:t>·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w:t>
            </w:r>
          </w:p>
          <w:p>
            <w:pPr>
              <w:spacing w:before="20" w:after="20" w:line="288" w:lineRule="auto"/>
            </w:pPr>
            <w:r>
              <w:rPr>
                <w:rFonts w:ascii="宋体" w:hAnsi="宋体" w:eastAsia="宋体"/>
                <w:sz w:val="20"/>
              </w:rPr>
              <w:t>·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上海中誉城市运营服务有限公司</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+600.0%</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上海栗郡实业有限公司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-26.5%</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上海爱建物业管理有限公司</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+119.0%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上海中誉城市运营服务有限公司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1000（件/千户），衡量平均每千户居民的投诉强度；户数为该街镇「2026年1-8月有投诉小区」的总户数（取自《纳统小区 (2026 更新版)》档案 total_households，993个纳统小区）。位次差 = 总量排名 − 密度排名，正数表示该街镇"总量不大但单位居民投诉更重"；末列「件/小区」为对照口径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50.7</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17,675</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41.1</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28,240</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33.8</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15,889</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29.2</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38,786</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28.5</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39,303</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27.1</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46,535</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26.8</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49,154</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24.0</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55,680</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22.4</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40,042</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21.5</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45,263</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19.0</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39,515</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街镇对比用项目主数据口径（13,627件）｜ 全市对比用市局十四类口径（13,726件）｜ 生成于 2026-09-29</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核心判断：徐汇 1–8 月累计同比 -13.1%（全市第 13/17，低于全市平均 -15.4%），但月度环比已连续 4个月上涨，8 月单月同比转正 +2.84%、日均已达 72件。若 9–12 月维持 8 月高位，全年降幅将收窄至约 -5.6%、排名跌至第 16/17。要保持全年下降态势，9–12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2025年1-8月。红表示同比上升（警示），绿表示同比下降。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1450</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25.7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1334</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1308</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25.9</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1250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↑14.3%</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26.5</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1155</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↓9.3%</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1123</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↓14.1%</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28.7</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1115</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↓25.6%</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964</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895</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↓15.4%</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22.1</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894</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861</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↓15.5%</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24.3</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743</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535</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32.2</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街镇观察：</w:t>
            </w:r>
          </w:p>
          <w:p>
            <w:pPr>
              <w:spacing w:before="20" w:after="20" w:line="288" w:lineRule="auto"/>
            </w:pPr>
            <w:r>
              <w:rPr>
                <w:rFonts w:ascii="宋体" w:hAnsi="宋体" w:eastAsia="宋体"/>
                <w:sz w:val="20"/>
              </w:rPr>
              <w:t>① 田林（+14.3%）、漕河泾（+3.4%）是仅有的两个同比上升街镇，田林尤甚，需重点介入；</w:t>
            </w:r>
          </w:p>
          <w:p>
            <w:pPr>
              <w:spacing w:before="20" w:after="20" w:line="288" w:lineRule="auto"/>
            </w:pPr>
            <w:r>
              <w:rPr>
                <w:rFonts w:ascii="宋体" w:hAnsi="宋体" w:eastAsia="宋体"/>
                <w:sz w:val="20"/>
              </w:rPr>
              <w:t>② 长桥（-32.1%）、枫林路（-25.6%）、康健（-24.4%）降幅领先，治理成效突出；</w:t>
            </w:r>
          </w:p>
          <w:p>
            <w:pPr>
              <w:spacing w:before="20" w:after="20" w:line="288" w:lineRule="auto"/>
            </w:pPr>
            <w:r>
              <w:rPr>
                <w:rFonts w:ascii="宋体" w:hAnsi="宋体" w:eastAsia="宋体"/>
                <w:sz w:val="20"/>
              </w:rPr>
              <w:t>③ 密度上 湖南路（48.9）、天平路（37.6）远高于均值，老城区压力集中；康健（18.4）、龙华（21.2）密度最低。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全市走势：徐汇月度工单从 1 月 1,485件攀升至 8 月 2,242件（+51%），密度从 3.12 翻倍至 5.29件/千户；同比降幅从 1 月 -16.4% 持续收窄，8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参照：2025 年 9–12 月实际 7,820件（月均 1,955、日均 64.1）；2026 年 8 月单月 2,242件（日均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关键阈值：</w:t>
            </w:r>
          </w:p>
          <w:p>
            <w:pPr>
              <w:spacing w:before="20" w:after="20" w:line="288" w:lineRule="auto"/>
            </w:pPr>
            <w:r>
              <w:rPr>
                <w:rFonts w:ascii="宋体" w:hAnsi="宋体" w:eastAsia="宋体"/>
                <w:sz w:val="20"/>
              </w:rPr>
              <w:t>① 维持当前位次（全年 -13.1%，全市第13）：9–12 月 ≤ 6,796件，月均 ≤1,700、日均 ≤56件。</w:t>
            </w:r>
          </w:p>
          <w:p>
            <w:pPr>
              <w:spacing w:before="20" w:after="20" w:line="288" w:lineRule="auto"/>
            </w:pPr>
            <w:r>
              <w:rPr>
                <w:rFonts w:ascii="宋体" w:hAnsi="宋体" w:eastAsia="宋体"/>
                <w:sz w:val="20"/>
              </w:rPr>
              <w:t>② 达全市平均（-15.4%，进前9）：9–12 月 ≤ 6,255件，月均 ≤1,564、日均 ≤51件。</w:t>
            </w:r>
          </w:p>
          <w:p>
            <w:pPr>
              <w:spacing w:before="20" w:after="20" w:line="288" w:lineRule="auto"/>
            </w:pPr>
            <w:r>
              <w:rPr>
                <w:rFonts w:ascii="宋体" w:hAnsi="宋体" w:eastAsia="宋体"/>
                <w:sz w:val="20"/>
              </w:rPr>
              <w:t>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说明：若 9–10 月延续 8 月高位，要靠 11–12 月补回缺口需日均低至 30–38件，现实中几乎不可达成。结论：压降必须从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行动建议：</w:t>
            </w:r>
          </w:p>
          <w:p>
            <w:pPr>
              <w:spacing w:before="20" w:after="20" w:line="288" w:lineRule="auto"/>
            </w:pPr>
            <w:r>
              <w:rPr>
                <w:rFonts w:ascii="宋体" w:hAnsi="宋体" w:eastAsia="宋体"/>
                <w:sz w:val="20"/>
              </w:rPr>
              <w:t>1. 立即设日均红线 56件（维持位次线），争取 51件（进前 9 线）；8 月已达 72件，须回落 ≥16件/日。</w:t>
            </w:r>
          </w:p>
          <w:p>
            <w:pPr>
              <w:spacing w:before="20" w:after="20" w:line="288" w:lineRule="auto"/>
            </w:pPr>
            <w:r>
              <w:rPr>
                <w:rFonts w:ascii="宋体" w:hAnsi="宋体" w:eastAsia="宋体"/>
                <w:sz w:val="20"/>
              </w:rPr>
              <w:t>2. 重点压降反弹街镇：田林（+14.3%）、漕河泾（+3.4%）为同比上升区，是拖累全局的主因，建议单列专项。</w:t>
            </w:r>
          </w:p>
          <w:p>
            <w:pPr>
              <w:spacing w:before="20" w:after="20" w:line="288" w:lineRule="auto"/>
            </w:pPr>
            <w:r>
              <w:rPr>
                <w:rFonts w:ascii="宋体" w:hAnsi="宋体" w:eastAsia="宋体"/>
                <w:sz w:val="20"/>
              </w:rPr>
              <w:t>3. 夏季高峰前置干预：7–8 月为历史高峰且 2026 反弹强，9 月起对停车管理、群租、物业安保等高频类目开展集中整治。</w:t>
            </w:r>
          </w:p>
          <w:p>
            <w:pPr>
              <w:spacing w:before="20" w:after="20" w:line="288" w:lineRule="auto"/>
            </w:pPr>
            <w:r>
              <w:rPr>
                <w:rFonts w:ascii="宋体" w:hAnsi="宋体" w:eastAsia="宋体"/>
                <w:sz w:val="20"/>
              </w:rPr>
              <w:t>4. 密度治理聚焦湖南路、天平路（老城区密度超均值 1.5倍），结合加装电梯、老旧小区改造推进根源治理。</w:t>
            </w:r>
          </w:p>
          <w:p>
            <w:pPr>
              <w:spacing w:before="20" w:after="20" w:line="288" w:lineRule="auto"/>
            </w:pPr>
            <w:r>
              <w:rPr>
                <w:rFonts w:ascii="宋体" w:hAnsi="宋体" w:eastAsia="宋体"/>
                <w:sz w:val="20"/>
              </w:rPr>
              <w:t>5. 9 月数据入库后可一键更新本测算；若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基于2024-2026年12345热线物业投诉数据，构建五维风险评分模型，对全区772个投诉量≥10件的纳统小区进行系统性风险评估（统计范围：《纳统小区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模型从投诉总量、增长率、重复率、集中度、波动度五个维度对小区进行评分。采用100 分起扣：满分 100 分，各维度按风险程度扣分（扣分额＝该维度风险程度 × 权重），得分越低代表风险越高（红色预警为最低分档），避免"高分即高风险"的反直觉。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海珀旭晖(+562.5%)、欣嘉苑1-3期(+212.0%)、永福一区(+640.0%)</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近期高风险预警：2026年1-8月投诉量Top30中，有14个纳统小区同比正增长，其中永兆豪庭（+246.7%）、古宜小区（+246.2%）恶化最严重，需立即启动专项督导。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督导建议：将近期恶化Top10小区纳入专项督导名单，特别是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数据时间范围说明：</w:t>
            </w:r>
          </w:p>
          <w:p>
            <w:pPr>
              <w:spacing w:before="20" w:after="20" w:line="288" w:lineRule="auto"/>
            </w:pPr>
            <w:r>
              <w:rPr>
                <w:rFonts w:ascii="宋体" w:hAnsi="宋体" w:eastAsia="宋体"/>
                <w:sz w:val="20"/>
              </w:rPr>
              <w:t>本报告分析基准为2024年1月—2026年8月的12345热线全量投诉数据（共66,812件）。</w:t>
            </w:r>
          </w:p>
          <w:p>
            <w:pPr>
              <w:spacing w:before="20" w:after="20" w:line="288" w:lineRule="auto"/>
            </w:pPr>
            <w:r>
              <w:rPr>
                <w:rFonts w:ascii="宋体" w:hAnsi="宋体" w:eastAsia="宋体"/>
                <w:sz w:val="20"/>
              </w:rPr>
              <w:t>• "平均投诉量" = 2024+2025+2026（1-8月）三年累计平均值，反映小区整体投诉强度</w:t>
            </w:r>
          </w:p>
          <w:p>
            <w:pPr>
              <w:spacing w:before="20" w:after="20" w:line="288" w:lineRule="auto"/>
            </w:pPr>
            <w:r>
              <w:rPr>
                <w:rFonts w:ascii="宋体" w:hAnsi="宋体" w:eastAsia="宋体"/>
                <w:sz w:val="20"/>
              </w:rPr>
              <w:t>• "2025同比" = 2025年全年相对2024年全年的同比变化率，反映治理趋势</w:t>
            </w:r>
          </w:p>
          <w:p>
            <w:pPr>
              <w:spacing w:before="20" w:after="20" w:line="288" w:lineRule="auto"/>
            </w:pPr>
            <w:r>
              <w:rPr>
                <w:rFonts w:ascii="宋体" w:hAnsi="宋体" w:eastAsia="宋体"/>
                <w:sz w:val="20"/>
              </w:rPr>
              <w:t>•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统计范围与口径：</w:t>
            </w:r>
          </w:p>
          <w:p>
            <w:pPr>
              <w:spacing w:before="20" w:after="20" w:line="288" w:lineRule="auto"/>
            </w:pPr>
            <w:r>
              <w:rPr>
                <w:rFonts w:ascii="宋体" w:hAnsi="宋体" w:eastAsia="宋体"/>
                <w:sz w:val="20"/>
              </w:rPr>
              <w:t>• 统计范围＝《纳统小区 (2026 更新版)》名单内的 993个纳统小区，不在名单中的小区不做统计；小区名按主名／别名／曾用名归并到纳统小区</w:t>
            </w:r>
          </w:p>
          <w:p>
            <w:pPr>
              <w:spacing w:before="20" w:after="20" w:line="288" w:lineRule="auto"/>
            </w:pPr>
            <w:r>
              <w:rPr>
                <w:rFonts w:ascii="宋体" w:hAnsi="宋体" w:eastAsia="宋体"/>
                <w:sz w:val="20"/>
              </w:rPr>
              <w:t>• 关联字段（户数、电梯、修缮、车位、底部抬升、物业费、业委会等）已按 2026 更新版档案重跑匹配链路并复算：电梯 257/268（95.9%）、修缮 285/338（84.3%）、底部抬升 83/84（98.8%）</w:t>
            </w:r>
          </w:p>
          <w:p>
            <w:pPr>
              <w:spacing w:before="20" w:after="20" w:line="288" w:lineRule="auto"/>
            </w:pPr>
            <w:r>
              <w:rPr>
                <w:rFonts w:ascii="宋体" w:hAnsi="宋体" w:eastAsia="宋体"/>
                <w:sz w:val="20"/>
              </w:rPr>
              <w:t>• 投诉数据按热线数据表口径统计（非纳统档案派生字段）；993个纳统小区中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分析方法：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小区规模（户数）是影响投诉量的最强因素，相关系数达0.782。但归一化为"每千户投诉量"后，呈现明显的规模经济效应。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微型(&lt;200户)</w:t>
            </w:r>
          </w:p>
        </w:tc>
        <w:tc>
          <w:tcPr>
            <w:tcW w:type="dxa" w:w="1729"/>
          </w:tcPr>
          <w:p>
            <w:pPr>
              <w:spacing w:before="20" w:after="20"/>
              <w:jc w:val="right"/>
            </w:pPr>
            <w:r/>
            <w:r>
              <w:rPr>
                <w:rFonts w:ascii="宋体" w:hAnsi="宋体" w:eastAsia="宋体"/>
                <w:b w:val="0"/>
                <w:sz w:val="18"/>
              </w:rPr>
              <w:t>420</w:t>
            </w:r>
          </w:p>
        </w:tc>
        <w:tc>
          <w:tcPr>
            <w:tcW w:type="dxa" w:w="1729"/>
          </w:tcPr>
          <w:p>
            <w:pPr>
              <w:spacing w:before="20" w:after="20"/>
              <w:jc w:val="left"/>
            </w:pPr>
            <w:r/>
            <w:r>
              <w:rPr>
                <w:rFonts w:ascii="宋体" w:hAnsi="宋体" w:eastAsia="宋体"/>
                <w:b w:val="0"/>
                <w:sz w:val="18"/>
              </w:rPr>
              <w:t>3.4件</w:t>
            </w:r>
          </w:p>
        </w:tc>
        <w:tc>
          <w:tcPr>
            <w:tcW w:type="dxa" w:w="1729"/>
          </w:tcPr>
          <w:p>
            <w:pPr>
              <w:spacing w:before="20" w:after="20"/>
              <w:jc w:val="left"/>
            </w:pPr>
            <w:r/>
            <w:r>
              <w:rPr>
                <w:rFonts w:ascii="宋体" w:hAnsi="宋体" w:eastAsia="宋体"/>
                <w:b w:val="0"/>
                <w:sz w:val="18"/>
              </w:rPr>
              <w:t>35.6件</w:t>
            </w:r>
          </w:p>
        </w:tc>
        <w:tc>
          <w:tcPr>
            <w:tcW w:type="dxa" w:w="1729"/>
          </w:tcPr>
          <w:p>
            <w:pPr>
              <w:spacing w:before="20" w:after="20"/>
              <w:jc w:val="right"/>
            </w:pPr>
            <w:r/>
            <w:r>
              <w:rPr>
                <w:rFonts w:ascii="宋体" w:hAnsi="宋体" w:eastAsia="宋体"/>
                <w:b w:val="0"/>
                <w:sz w:val="18"/>
              </w:rPr>
              <w:t>-4.5%</w:t>
            </w:r>
          </w:p>
        </w:tc>
      </w:tr>
      <w:tr>
        <w:tc>
          <w:tcPr>
            <w:tcW w:type="dxa" w:w="1729"/>
            <w:shd w:val="clear" w:fill="F4F6F9"/>
          </w:tcPr>
          <w:p>
            <w:pPr>
              <w:spacing w:before="20" w:after="20"/>
              <w:jc w:val="left"/>
            </w:pPr>
            <w:r/>
            <w:r>
              <w:rPr>
                <w:rFonts w:ascii="宋体" w:hAnsi="宋体" w:eastAsia="宋体"/>
                <w:b w:val="0"/>
                <w:sz w:val="18"/>
              </w:rPr>
              <w:t>小型(200-500)</w:t>
            </w:r>
          </w:p>
        </w:tc>
        <w:tc>
          <w:tcPr>
            <w:tcW w:type="dxa" w:w="1729"/>
            <w:shd w:val="clear" w:fill="F4F6F9"/>
          </w:tcPr>
          <w:p>
            <w:pPr>
              <w:spacing w:before="20" w:after="20"/>
              <w:jc w:val="right"/>
            </w:pPr>
            <w:r/>
            <w:r>
              <w:rPr>
                <w:rFonts w:ascii="宋体" w:hAnsi="宋体" w:eastAsia="宋体"/>
                <w:b w:val="0"/>
                <w:sz w:val="18"/>
              </w:rPr>
              <w:t>235</w:t>
            </w:r>
          </w:p>
        </w:tc>
        <w:tc>
          <w:tcPr>
            <w:tcW w:type="dxa" w:w="1729"/>
            <w:shd w:val="clear" w:fill="F4F6F9"/>
          </w:tcPr>
          <w:p>
            <w:pPr>
              <w:spacing w:before="20" w:after="20"/>
              <w:jc w:val="left"/>
            </w:pPr>
            <w:r/>
            <w:r>
              <w:rPr>
                <w:rFonts w:ascii="宋体" w:hAnsi="宋体" w:eastAsia="宋体"/>
                <w:b w:val="0"/>
                <w:sz w:val="18"/>
              </w:rPr>
              <w:t>10.2件</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right"/>
            </w:pPr>
            <w:r/>
            <w:r>
              <w:rPr>
                <w:rFonts w:ascii="宋体" w:hAnsi="宋体" w:eastAsia="宋体"/>
                <w:b w:val="0"/>
                <w:sz w:val="18"/>
              </w:rPr>
              <w:t>-10.0%</w:t>
            </w:r>
          </w:p>
        </w:tc>
      </w:tr>
      <w:tr>
        <w:tc>
          <w:tcPr>
            <w:tcW w:type="dxa" w:w="1729"/>
          </w:tcPr>
          <w:p>
            <w:pPr>
              <w:spacing w:before="20" w:after="20"/>
              <w:jc w:val="left"/>
            </w:pPr>
            <w:r/>
            <w:r>
              <w:rPr>
                <w:rFonts w:ascii="宋体" w:hAnsi="宋体" w:eastAsia="宋体"/>
                <w:b w:val="0"/>
                <w:sz w:val="18"/>
              </w:rPr>
              <w:t>中型(500-1000)</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20.1件</w:t>
            </w:r>
          </w:p>
        </w:tc>
        <w:tc>
          <w:tcPr>
            <w:tcW w:type="dxa" w:w="1729"/>
          </w:tcPr>
          <w:p>
            <w:pPr>
              <w:spacing w:before="20" w:after="20"/>
              <w:jc w:val="left"/>
            </w:pPr>
            <w:r/>
            <w:r>
              <w:rPr>
                <w:rFonts w:ascii="宋体" w:hAnsi="宋体" w:eastAsia="宋体"/>
                <w:b w:val="0"/>
                <w:sz w:val="18"/>
              </w:rPr>
              <w:t>27.3件</w:t>
            </w:r>
          </w:p>
        </w:tc>
        <w:tc>
          <w:tcPr>
            <w:tcW w:type="dxa" w:w="1729"/>
          </w:tcPr>
          <w:p>
            <w:pPr>
              <w:spacing w:before="20" w:after="20"/>
              <w:jc w:val="right"/>
            </w:pPr>
            <w:r/>
            <w:r>
              <w:rPr>
                <w:rFonts w:ascii="宋体" w:hAnsi="宋体" w:eastAsia="宋体"/>
                <w:b w:val="0"/>
                <w:sz w:val="18"/>
              </w:rPr>
              <w:t>+0.0%</w:t>
            </w:r>
          </w:p>
        </w:tc>
      </w:tr>
      <w:tr>
        <w:tc>
          <w:tcPr>
            <w:tcW w:type="dxa" w:w="1729"/>
            <w:shd w:val="clear" w:fill="F4F6F9"/>
          </w:tcPr>
          <w:p>
            <w:pPr>
              <w:spacing w:before="20" w:after="20"/>
              <w:jc w:val="left"/>
            </w:pPr>
            <w:r/>
            <w:r>
              <w:rPr>
                <w:rFonts w:ascii="宋体" w:hAnsi="宋体" w:eastAsia="宋体"/>
                <w:b w:val="0"/>
                <w:sz w:val="18"/>
              </w:rPr>
              <w:t>大型(1000-2000)</w:t>
            </w:r>
          </w:p>
        </w:tc>
        <w:tc>
          <w:tcPr>
            <w:tcW w:type="dxa" w:w="1729"/>
            <w:shd w:val="clear" w:fill="F4F6F9"/>
          </w:tcPr>
          <w:p>
            <w:pPr>
              <w:spacing w:before="20" w:after="20"/>
              <w:jc w:val="right"/>
            </w:pPr>
            <w:r/>
            <w:r>
              <w:rPr>
                <w:rFonts w:ascii="宋体" w:hAnsi="宋体" w:eastAsia="宋体"/>
                <w:b w:val="0"/>
                <w:sz w:val="18"/>
              </w:rPr>
              <w:t>107</w:t>
            </w:r>
          </w:p>
        </w:tc>
        <w:tc>
          <w:tcPr>
            <w:tcW w:type="dxa" w:w="1729"/>
            <w:shd w:val="clear" w:fill="F4F6F9"/>
          </w:tcPr>
          <w:p>
            <w:pPr>
              <w:spacing w:before="20" w:after="20"/>
              <w:jc w:val="left"/>
            </w:pPr>
            <w:r/>
            <w:r>
              <w:rPr>
                <w:rFonts w:ascii="宋体" w:hAnsi="宋体" w:eastAsia="宋体"/>
                <w:b w:val="0"/>
                <w:sz w:val="18"/>
              </w:rPr>
              <w:t>30.1件</w:t>
            </w:r>
          </w:p>
        </w:tc>
        <w:tc>
          <w:tcPr>
            <w:tcW w:type="dxa" w:w="1729"/>
            <w:shd w:val="clear" w:fill="F4F6F9"/>
          </w:tcPr>
          <w:p>
            <w:pPr>
              <w:spacing w:before="20" w:after="20"/>
              <w:jc w:val="left"/>
            </w:pPr>
            <w:r/>
            <w:r>
              <w:rPr>
                <w:rFonts w:ascii="宋体" w:hAnsi="宋体" w:eastAsia="宋体"/>
                <w:b w:val="0"/>
                <w:sz w:val="18"/>
              </w:rPr>
              <w:t>22.8件</w:t>
            </w:r>
          </w:p>
        </w:tc>
        <w:tc>
          <w:tcPr>
            <w:tcW w:type="dxa" w:w="1729"/>
            <w:shd w:val="clear" w:fill="F4F6F9"/>
          </w:tcPr>
          <w:p>
            <w:pPr>
              <w:spacing w:before="20" w:after="20"/>
              <w:jc w:val="right"/>
            </w:pPr>
            <w:r/>
            <w:r>
              <w:rPr>
                <w:rFonts w:ascii="宋体" w:hAnsi="宋体" w:eastAsia="宋体"/>
                <w:b w:val="0"/>
                <w:sz w:val="18"/>
              </w:rPr>
              <w:t>-4.7%</w:t>
            </w:r>
          </w:p>
        </w:tc>
      </w:tr>
      <w:tr>
        <w:tc>
          <w:tcPr>
            <w:tcW w:type="dxa" w:w="1729"/>
          </w:tcPr>
          <w:p>
            <w:pPr>
              <w:spacing w:before="20" w:after="20"/>
              <w:jc w:val="left"/>
            </w:pPr>
            <w:r/>
            <w:r>
              <w:rPr>
                <w:rFonts w:ascii="宋体" w:hAnsi="宋体" w:eastAsia="宋体"/>
                <w:b w:val="0"/>
                <w:sz w:val="18"/>
              </w:rPr>
              <w:t>超大型(&gt;2000)</w:t>
            </w:r>
          </w:p>
        </w:tc>
        <w:tc>
          <w:tcPr>
            <w:tcW w:type="dxa" w:w="1729"/>
          </w:tcPr>
          <w:p>
            <w:pPr>
              <w:spacing w:before="20" w:after="20"/>
              <w:jc w:val="right"/>
            </w:pPr>
            <w:r/>
            <w:r>
              <w:rPr>
                <w:rFonts w:ascii="宋体" w:hAnsi="宋体" w:eastAsia="宋体"/>
                <w:b w:val="0"/>
                <w:sz w:val="18"/>
              </w:rPr>
              <w:t>45</w:t>
            </w:r>
          </w:p>
        </w:tc>
        <w:tc>
          <w:tcPr>
            <w:tcW w:type="dxa" w:w="1729"/>
          </w:tcPr>
          <w:p>
            <w:pPr>
              <w:spacing w:before="20" w:after="20"/>
              <w:jc w:val="left"/>
            </w:pPr>
            <w:r/>
            <w:r>
              <w:rPr>
                <w:rFonts w:ascii="宋体" w:hAnsi="宋体" w:eastAsia="宋体"/>
                <w:b w:val="0"/>
                <w:sz w:val="18"/>
              </w:rPr>
              <w:t>62.1件</w:t>
            </w:r>
          </w:p>
        </w:tc>
        <w:tc>
          <w:tcPr>
            <w:tcW w:type="dxa" w:w="1729"/>
          </w:tcPr>
          <w:p>
            <w:pPr>
              <w:spacing w:before="20" w:after="20"/>
              <w:jc w:val="left"/>
            </w:pPr>
            <w:r/>
            <w:r>
              <w:rPr>
                <w:rFonts w:ascii="宋体" w:hAnsi="宋体" w:eastAsia="宋体"/>
                <w:b w:val="0"/>
                <w:sz w:val="18"/>
              </w:rPr>
              <w:t>23.0件</w:t>
            </w:r>
          </w:p>
        </w:tc>
        <w:tc>
          <w:tcPr>
            <w:tcW w:type="dxa" w:w="1729"/>
          </w:tcPr>
          <w:p>
            <w:pPr>
              <w:spacing w:before="20" w:after="20"/>
              <w:jc w:val="right"/>
            </w:pPr>
            <w:r/>
            <w:r>
              <w:rPr>
                <w:rFonts w:ascii="宋体" w:hAnsi="宋体" w:eastAsia="宋体"/>
                <w:b w:val="0"/>
                <w:sz w:val="18"/>
              </w:rPr>
              <w:t>-20.4%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发现：超大型小区（&gt;2000户）每千户投诉量比微型小区（&lt;200户）低 35.4%。原因在于：</w:t>
            </w:r>
          </w:p>
          <w:p>
            <w:pPr>
              <w:spacing w:before="20" w:after="20" w:line="288" w:lineRule="auto"/>
            </w:pPr>
            <w:r>
              <w:rPr>
                <w:rFonts w:ascii="宋体" w:hAnsi="宋体" w:eastAsia="宋体"/>
                <w:sz w:val="20"/>
              </w:rPr>
              <w:t>① 大小区物业资源更充足，管理团队更专业；</w:t>
            </w:r>
          </w:p>
          <w:p>
            <w:pPr>
              <w:spacing w:before="20" w:after="20" w:line="288" w:lineRule="auto"/>
            </w:pPr>
            <w:r>
              <w:rPr>
                <w:rFonts w:ascii="宋体" w:hAnsi="宋体" w:eastAsia="宋体"/>
                <w:sz w:val="20"/>
              </w:rPr>
              <w:t>② 规模效应摊薄管理成本；</w:t>
            </w:r>
          </w:p>
          <w:p>
            <w:pPr>
              <w:spacing w:before="20" w:after="20" w:line="288" w:lineRule="auto"/>
            </w:pPr>
            <w:r>
              <w:rPr>
                <w:rFonts w:ascii="宋体" w:hAnsi="宋体" w:eastAsia="宋体"/>
                <w:sz w:val="20"/>
              </w:rPr>
              <w:t>③ 业主自治基础更好。微型小区（&lt;200户）是治理洼地，需重点关注。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房龄与投诉量不呈简单线性关系，但按每千户投诉量归一化后，房龄越大投诉强度越高的趋势明显。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left"/>
            </w:pPr>
            <w:r/>
            <w:r>
              <w:rPr>
                <w:rFonts w:ascii="宋体" w:hAnsi="宋体" w:eastAsia="宋体"/>
                <w:b w:val="0"/>
                <w:sz w:val="18"/>
              </w:rPr>
              <w:t>15.6件</w:t>
            </w:r>
          </w:p>
        </w:tc>
        <w:tc>
          <w:tcPr>
            <w:tcW w:type="dxa" w:w="1729"/>
          </w:tcPr>
          <w:p>
            <w:pPr>
              <w:spacing w:before="20" w:after="20"/>
              <w:jc w:val="right"/>
            </w:pPr>
            <w:r/>
            <w:r>
              <w:rPr>
                <w:rFonts w:ascii="宋体" w:hAnsi="宋体" w:eastAsia="宋体"/>
                <w:b w:val="0"/>
                <w:sz w:val="18"/>
              </w:rPr>
              <w:t>-26.5%</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48</w:t>
            </w:r>
          </w:p>
        </w:tc>
        <w:tc>
          <w:tcPr>
            <w:tcW w:type="dxa" w:w="1729"/>
            <w:shd w:val="clear" w:fill="F4F6F9"/>
          </w:tcPr>
          <w:p>
            <w:pPr>
              <w:spacing w:before="20" w:after="20"/>
              <w:jc w:val="left"/>
            </w:pPr>
            <w:r/>
            <w:r>
              <w:rPr>
                <w:rFonts w:ascii="宋体" w:hAnsi="宋体" w:eastAsia="宋体"/>
                <w:b w:val="0"/>
                <w:sz w:val="18"/>
              </w:rPr>
              <w:t>25.3件</w:t>
            </w:r>
          </w:p>
        </w:tc>
        <w:tc>
          <w:tcPr>
            <w:tcW w:type="dxa" w:w="1729"/>
            <w:shd w:val="clear" w:fill="F4F6F9"/>
          </w:tcPr>
          <w:p>
            <w:pPr>
              <w:spacing w:before="20" w:after="20"/>
              <w:jc w:val="left"/>
            </w:pPr>
            <w:r/>
            <w:r>
              <w:rPr>
                <w:rFonts w:ascii="宋体" w:hAnsi="宋体" w:eastAsia="宋体"/>
                <w:b w:val="0"/>
                <w:sz w:val="18"/>
              </w:rPr>
              <w:t>19.1件</w:t>
            </w:r>
          </w:p>
        </w:tc>
        <w:tc>
          <w:tcPr>
            <w:tcW w:type="dxa" w:w="1729"/>
            <w:shd w:val="clear" w:fill="F4F6F9"/>
          </w:tcPr>
          <w:p>
            <w:pPr>
              <w:spacing w:before="20" w:after="20"/>
              <w:jc w:val="right"/>
            </w:pPr>
            <w:r/>
            <w:r>
              <w:rPr>
                <w:rFonts w:ascii="宋体" w:hAnsi="宋体" w:eastAsia="宋体"/>
                <w:b w:val="0"/>
                <w:sz w:val="18"/>
              </w:rPr>
              <w:t>-10.1%</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332</w:t>
            </w:r>
          </w:p>
        </w:tc>
        <w:tc>
          <w:tcPr>
            <w:tcW w:type="dxa" w:w="1729"/>
          </w:tcPr>
          <w:p>
            <w:pPr>
              <w:spacing w:before="20" w:after="20"/>
              <w:jc w:val="left"/>
            </w:pPr>
            <w:r/>
            <w:r>
              <w:rPr>
                <w:rFonts w:ascii="宋体" w:hAnsi="宋体" w:eastAsia="宋体"/>
                <w:b w:val="0"/>
                <w:sz w:val="18"/>
              </w:rPr>
              <w:t>10.3件</w:t>
            </w:r>
          </w:p>
        </w:tc>
        <w:tc>
          <w:tcPr>
            <w:tcW w:type="dxa" w:w="1729"/>
          </w:tcPr>
          <w:p>
            <w:pPr>
              <w:spacing w:before="20" w:after="20"/>
              <w:jc w:val="left"/>
            </w:pPr>
            <w:r/>
            <w:r>
              <w:rPr>
                <w:rFonts w:ascii="宋体" w:hAnsi="宋体" w:eastAsia="宋体"/>
                <w:b w:val="0"/>
                <w:sz w:val="18"/>
              </w:rPr>
              <w:t>25.3件</w:t>
            </w:r>
          </w:p>
        </w:tc>
        <w:tc>
          <w:tcPr>
            <w:tcW w:type="dxa" w:w="1729"/>
          </w:tcPr>
          <w:p>
            <w:pPr>
              <w:spacing w:before="20" w:after="20"/>
              <w:jc w:val="right"/>
            </w:pPr>
            <w:r/>
            <w:r>
              <w:rPr>
                <w:rFonts w:ascii="宋体" w:hAnsi="宋体" w:eastAsia="宋体"/>
                <w:b w:val="0"/>
                <w:sz w:val="18"/>
              </w:rPr>
              <w:t>-4.3%</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371</w:t>
            </w:r>
          </w:p>
        </w:tc>
        <w:tc>
          <w:tcPr>
            <w:tcW w:type="dxa" w:w="1729"/>
            <w:shd w:val="clear" w:fill="F4F6F9"/>
          </w:tcPr>
          <w:p>
            <w:pPr>
              <w:spacing w:before="20" w:after="20"/>
              <w:jc w:val="left"/>
            </w:pPr>
            <w:r/>
            <w:r>
              <w:rPr>
                <w:rFonts w:ascii="宋体" w:hAnsi="宋体" w:eastAsia="宋体"/>
                <w:b w:val="0"/>
                <w:sz w:val="18"/>
              </w:rPr>
              <w:t>15.8件</w:t>
            </w:r>
          </w:p>
        </w:tc>
        <w:tc>
          <w:tcPr>
            <w:tcW w:type="dxa" w:w="1729"/>
            <w:shd w:val="clear" w:fill="F4F6F9"/>
          </w:tcPr>
          <w:p>
            <w:pPr>
              <w:spacing w:before="20" w:after="20"/>
              <w:jc w:val="left"/>
            </w:pPr>
            <w:r/>
            <w:r>
              <w:rPr>
                <w:rFonts w:ascii="宋体" w:hAnsi="宋体" w:eastAsia="宋体"/>
                <w:b w:val="0"/>
                <w:sz w:val="18"/>
              </w:rPr>
              <w:t>27.5件</w:t>
            </w:r>
          </w:p>
        </w:tc>
        <w:tc>
          <w:tcPr>
            <w:tcW w:type="dxa" w:w="1729"/>
            <w:shd w:val="clear" w:fill="F4F6F9"/>
          </w:tcPr>
          <w:p>
            <w:pPr>
              <w:spacing w:before="20" w:after="20"/>
              <w:jc w:val="right"/>
            </w:pPr>
            <w:r/>
            <w:r>
              <w:rPr>
                <w:rFonts w:ascii="宋体" w:hAnsi="宋体" w:eastAsia="宋体"/>
                <w:b w:val="0"/>
                <w:sz w:val="18"/>
              </w:rPr>
              <w:t>-6.2%</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209</w:t>
            </w:r>
          </w:p>
        </w:tc>
        <w:tc>
          <w:tcPr>
            <w:tcW w:type="dxa" w:w="1729"/>
          </w:tcPr>
          <w:p>
            <w:pPr>
              <w:spacing w:before="20" w:after="20"/>
              <w:jc w:val="left"/>
            </w:pPr>
            <w:r/>
            <w:r>
              <w:rPr>
                <w:rFonts w:ascii="宋体" w:hAnsi="宋体" w:eastAsia="宋体"/>
                <w:b w:val="0"/>
                <w:sz w:val="18"/>
              </w:rPr>
              <w:t>12.2件</w:t>
            </w:r>
          </w:p>
        </w:tc>
        <w:tc>
          <w:tcPr>
            <w:tcW w:type="dxa" w:w="1729"/>
          </w:tcPr>
          <w:p>
            <w:pPr>
              <w:spacing w:before="20" w:after="20"/>
              <w:jc w:val="left"/>
            </w:pPr>
            <w:r/>
            <w:r>
              <w:rPr>
                <w:rFonts w:ascii="宋体" w:hAnsi="宋体" w:eastAsia="宋体"/>
                <w:b w:val="0"/>
                <w:sz w:val="18"/>
              </w:rPr>
              <w:t>34.7件</w:t>
            </w:r>
          </w:p>
        </w:tc>
        <w:tc>
          <w:tcPr>
            <w:tcW w:type="dxa" w:w="1729"/>
          </w:tcPr>
          <w:p>
            <w:pPr>
              <w:spacing w:before="20" w:after="20"/>
              <w:jc w:val="right"/>
            </w:pPr>
            <w:r/>
            <w:r>
              <w:rPr>
                <w:rFonts w:ascii="宋体" w:hAnsi="宋体" w:eastAsia="宋体"/>
                <w:b w:val="0"/>
                <w:sz w:val="18"/>
              </w:rPr>
              <w:t>-13.9%</w:t>
            </w:r>
          </w:p>
        </w:tc>
      </w:tr>
    </w:tbl>
    <w:p>
      <w:pPr>
        <w:spacing w:after="120"/>
      </w:pPr>
    </w:p>
    <w:p>
      <w:pPr>
        <w:spacing w:after="60" w:line="324" w:lineRule="auto"/>
        <w:ind w:firstLine="440"/>
      </w:pPr>
      <w:r>
        <w:rPr>
          <w:rFonts w:ascii="宋体" w:hAnsi="宋体" w:eastAsia="宋体"/>
          <w:sz w:val="22"/>
        </w:rPr>
        <w:t>*10年以内小区仅 27个，样本量小，同比波动较大，参考性有限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发现：40年以上老小区每千户投诉量是10年以内新小区的 2.2倍。老旧小区设施老化、维修资金不足、物业管理难度大是根本原因。五档房龄在 2026 年 1-8 月同比均为下降，其中 40 年以上降幅 -13.9%，低于 10 年以内（-26.5%），说明老旧小区改善节奏相对偏慢。</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sz w:val="18"/>
              </w:rPr>
              <w:t>投诉强度最高且逆势上升</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sz w:val="18"/>
              </w:rPr>
              <w:t>基数低、降幅居中</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发现：直管公房投诉强度最高（28.9件/小区、每千户 48.5件），且 2026 年 1-8 月同比 +12.1%，是四类房屋性质中唯一上升者，需重点关注。混合类小区同期降幅最大（-17.1%）；商品房每千户投诉最低（22.1件）。</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总量维度：1元以下小区投诉总量最高（78.4件），3-5元最低（52.2件），呈U型。</w:t>
            </w:r>
          </w:p>
          <w:p>
            <w:pPr>
              <w:spacing w:before="20" w:after="20" w:line="288" w:lineRule="auto"/>
            </w:pPr>
            <w:r>
              <w:rPr>
                <w:rFonts w:ascii="宋体" w:hAnsi="宋体" w:eastAsia="宋体"/>
                <w:sz w:val="20"/>
              </w:rPr>
              <w:t>② 每千户维度：1元以下最高（222.5件），3-5元最低（118.0件），同样呈U型但差异更大（高低差88.6% vs 50.2%），说明低收费小区不仅总量高，单位投诉强度也最高。</w:t>
            </w:r>
          </w:p>
          <w:p>
            <w:pPr>
              <w:spacing w:before="20" w:after="20" w:line="288" w:lineRule="auto"/>
            </w:pPr>
            <w:r>
              <w:rPr>
                <w:rFonts w:ascii="宋体" w:hAnsi="宋体" w:eastAsia="宋体"/>
                <w:sz w:val="20"/>
              </w:rPr>
              <w:t>③ 5元以上回升：每千户156.1件高于2-3元（123.3件），高端小区业主期望更高是主因。</w:t>
            </w:r>
          </w:p>
        </w:tc>
      </w:tr>
    </w:tbl>
    <w:p>
      <w:pPr>
        <w:spacing w:after="120"/>
      </w:pPr>
    </w:p>
    <w:p>
      <w:pPr>
        <w:spacing w:after="60" w:line="324" w:lineRule="auto"/>
        <w:ind w:firstLine="440"/>
      </w:pPr>
      <w:r>
        <w:rPr>
          <w:rFonts w:ascii="宋体" w:hAnsi="宋体" w:eastAsia="宋体"/>
          <w:sz w:val="22"/>
        </w:rPr>
        <w:t>注：物业费分段沿用《纳统小区 (2026 更新版)》档案「收费标准」原始口径；本章其余分组已统一按「纳统小区 993个名单内 · 2026年1-8月 vs 2025年同期」口径重算。</w:t>
      </w: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14.3件</w:t>
            </w:r>
          </w:p>
        </w:tc>
        <w:tc>
          <w:tcPr>
            <w:tcW w:type="dxa" w:w="1441"/>
          </w:tcPr>
          <w:p>
            <w:pPr>
              <w:spacing w:before="20" w:after="20"/>
              <w:jc w:val="left"/>
            </w:pPr>
            <w:r/>
            <w:r>
              <w:rPr>
                <w:rFonts w:ascii="宋体" w:hAnsi="宋体" w:eastAsia="宋体"/>
                <w:b w:val="0"/>
                <w:sz w:val="18"/>
              </w:rPr>
              <w:t>27.2件</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11.4件</w:t>
            </w:r>
          </w:p>
        </w:tc>
        <w:tc>
          <w:tcPr>
            <w:tcW w:type="dxa" w:w="1441"/>
            <w:shd w:val="clear" w:fill="F4F6F9"/>
          </w:tcPr>
          <w:p>
            <w:pPr>
              <w:spacing w:before="20" w:after="20"/>
              <w:jc w:val="left"/>
            </w:pPr>
            <w:r/>
            <w:r>
              <w:rPr>
                <w:rFonts w:ascii="宋体" w:hAnsi="宋体" w:eastAsia="宋体"/>
                <w:b w:val="0"/>
                <w:sz w:val="18"/>
              </w:rPr>
              <w:t>18.6件</w:t>
            </w:r>
          </w:p>
        </w:tc>
        <w:tc>
          <w:tcPr>
            <w:tcW w:type="dxa" w:w="1441"/>
            <w:shd w:val="clear" w:fill="F4F6F9"/>
          </w:tcPr>
          <w:p>
            <w:pPr>
              <w:spacing w:before="20" w:after="20"/>
              <w:jc w:val="right"/>
            </w:pPr>
            <w:r/>
            <w:r>
              <w:rPr>
                <w:rFonts w:ascii="宋体" w:hAnsi="宋体" w:eastAsia="宋体"/>
                <w:b w:val="0"/>
                <w:sz w:val="18"/>
              </w:rPr>
              <w:t>+10.8%</w:t>
            </w:r>
          </w:p>
        </w:tc>
        <w:tc>
          <w:tcPr>
            <w:tcW w:type="dxa" w:w="1441"/>
            <w:shd w:val="clear" w:fill="F4F6F9"/>
          </w:tcPr>
          <w:p>
            <w:pPr>
              <w:spacing w:before="20" w:after="20"/>
              <w:jc w:val="left"/>
            </w:pPr>
            <w:r/>
            <w:r>
              <w:rPr>
                <w:rFonts w:ascii="宋体" w:hAnsi="宋体" w:eastAsia="宋体"/>
                <w:b w:val="0"/>
                <w:sz w:val="18"/>
              </w:rPr>
              <w:t>总量低20.3%</w:t>
            </w:r>
          </w:p>
        </w:tc>
      </w:tr>
      <w:tr>
        <w:tc>
          <w:tcPr>
            <w:tcW w:type="dxa" w:w="1441"/>
          </w:tcPr>
          <w:p>
            <w:pPr>
              <w:spacing w:before="20" w:after="20"/>
              <w:jc w:val="left"/>
            </w:pPr>
            <w:r/>
            <w:r>
              <w:rPr>
                <w:rFonts w:ascii="宋体" w:hAnsi="宋体" w:eastAsia="宋体"/>
                <w:b w:val="0"/>
                <w:sz w:val="18"/>
              </w:rPr>
              <w:t>其他/未标注</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8.8件</w:t>
            </w:r>
          </w:p>
        </w:tc>
        <w:tc>
          <w:tcPr>
            <w:tcW w:type="dxa" w:w="1441"/>
          </w:tcPr>
          <w:p>
            <w:pPr>
              <w:spacing w:before="20" w:after="20"/>
              <w:jc w:val="left"/>
            </w:pPr>
            <w:r/>
            <w:r>
              <w:rPr>
                <w:rFonts w:ascii="宋体" w:hAnsi="宋体" w:eastAsia="宋体"/>
                <w:b w:val="0"/>
                <w:sz w:val="18"/>
              </w:rPr>
              <w:t>26.7件</w:t>
            </w:r>
          </w:p>
        </w:tc>
        <w:tc>
          <w:tcPr>
            <w:tcW w:type="dxa" w:w="1441"/>
          </w:tcPr>
          <w:p>
            <w:pPr>
              <w:spacing w:before="20" w:after="20"/>
              <w:jc w:val="right"/>
            </w:pPr>
            <w:r/>
            <w:r>
              <w:rPr>
                <w:rFonts w:ascii="宋体" w:hAnsi="宋体" w:eastAsia="宋体"/>
                <w:b w:val="0"/>
                <w:sz w:val="18"/>
              </w:rPr>
              <w:t>-18.9%</w:t>
            </w:r>
          </w:p>
        </w:tc>
        <w:tc>
          <w:tcPr>
            <w:tcW w:type="dxa" w:w="1441"/>
          </w:tcPr>
          <w:p>
            <w:pPr>
              <w:spacing w:before="20" w:after="20"/>
              <w:jc w:val="left"/>
            </w:pPr>
            <w:r/>
            <w:r>
              <w:rPr>
                <w:rFonts w:ascii="宋体" w:hAnsi="宋体" w:eastAsia="宋体"/>
                <w:b w:val="0"/>
                <w:sz w:val="18"/>
              </w:rPr>
              <w:t>总量低38.5%</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2026年1-8月投诉量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2026同比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1,477</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left"/>
            </w:pPr>
            <w:r/>
            <w:r>
              <w:rPr>
                <w:rFonts w:ascii="宋体" w:hAnsi="宋体" w:eastAsia="宋体"/>
                <w:b w:val="0"/>
                <w:sz w:val="18"/>
              </w:rPr>
              <w:t>32.2件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1,458</w:t>
            </w:r>
          </w:p>
        </w:tc>
        <w:tc>
          <w:tcPr>
            <w:tcW w:type="dxa" w:w="1235"/>
            <w:shd w:val="clear" w:fill="F4F6F9"/>
          </w:tcPr>
          <w:p>
            <w:pPr>
              <w:spacing w:before="20" w:after="20"/>
              <w:jc w:val="left"/>
            </w:pPr>
            <w:r/>
            <w:r>
              <w:rPr>
                <w:rFonts w:ascii="宋体" w:hAnsi="宋体" w:eastAsia="宋体"/>
                <w:b w:val="0"/>
                <w:sz w:val="18"/>
              </w:rPr>
              <w:t>14.6件</w:t>
            </w:r>
          </w:p>
        </w:tc>
        <w:tc>
          <w:tcPr>
            <w:tcW w:type="dxa" w:w="1235"/>
            <w:shd w:val="clear" w:fill="F4F6F9"/>
          </w:tcPr>
          <w:p>
            <w:pPr>
              <w:spacing w:before="20" w:after="20"/>
              <w:jc w:val="left"/>
            </w:pPr>
            <w:r/>
            <w:r>
              <w:rPr>
                <w:rFonts w:ascii="宋体" w:hAnsi="宋体" w:eastAsia="宋体"/>
                <w:b w:val="0"/>
                <w:sz w:val="18"/>
              </w:rPr>
              <w:t>47.7件</w:t>
            </w:r>
          </w:p>
        </w:tc>
        <w:tc>
          <w:tcPr>
            <w:tcW w:type="dxa" w:w="1235"/>
            <w:shd w:val="clear" w:fill="F4F6F9"/>
          </w:tcPr>
          <w:p>
            <w:pPr>
              <w:spacing w:before="20" w:after="20"/>
              <w:jc w:val="right"/>
            </w:pPr>
            <w:r/>
            <w:r>
              <w:rPr>
                <w:rFonts w:ascii="宋体" w:hAnsi="宋体" w:eastAsia="宋体"/>
                <w:b w:val="0"/>
                <w:sz w:val="18"/>
              </w:rPr>
              <w:t>+0.6%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876</w:t>
            </w:r>
          </w:p>
        </w:tc>
        <w:tc>
          <w:tcPr>
            <w:tcW w:type="dxa" w:w="1235"/>
          </w:tcPr>
          <w:p>
            <w:pPr>
              <w:spacing w:before="20" w:after="20"/>
              <w:jc w:val="left"/>
            </w:pPr>
            <w:r/>
            <w:r>
              <w:rPr>
                <w:rFonts w:ascii="宋体" w:hAnsi="宋体" w:eastAsia="宋体"/>
                <w:b w:val="0"/>
                <w:sz w:val="18"/>
              </w:rPr>
              <w:t>15.6件</w:t>
            </w:r>
          </w:p>
        </w:tc>
        <w:tc>
          <w:tcPr>
            <w:tcW w:type="dxa" w:w="1235"/>
          </w:tcPr>
          <w:p>
            <w:pPr>
              <w:spacing w:before="20" w:after="20"/>
              <w:jc w:val="left"/>
            </w:pPr>
            <w:r/>
            <w:r>
              <w:rPr>
                <w:rFonts w:ascii="宋体" w:hAnsi="宋体" w:eastAsia="宋体"/>
                <w:b w:val="0"/>
                <w:sz w:val="18"/>
              </w:rPr>
              <w:t>24.7件</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450</w:t>
            </w:r>
          </w:p>
        </w:tc>
        <w:tc>
          <w:tcPr>
            <w:tcW w:type="dxa" w:w="1235"/>
            <w:shd w:val="clear" w:fill="F4F6F9"/>
          </w:tcPr>
          <w:p>
            <w:pPr>
              <w:spacing w:before="20" w:after="20"/>
              <w:jc w:val="left"/>
            </w:pPr>
            <w:r/>
            <w:r>
              <w:rPr>
                <w:rFonts w:ascii="宋体" w:hAnsi="宋体" w:eastAsia="宋体"/>
                <w:b w:val="0"/>
                <w:sz w:val="18"/>
              </w:rPr>
              <w:t>28.1件</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right"/>
            </w:pPr>
            <w:r/>
            <w:r>
              <w:rPr>
                <w:rFonts w:ascii="宋体" w:hAnsi="宋体" w:eastAsia="宋体"/>
                <w:b w:val="0"/>
                <w:sz w:val="18"/>
              </w:rPr>
              <w:t>-5.1%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left"/>
            </w:pPr>
            <w:r/>
            <w:r>
              <w:rPr>
                <w:rFonts w:ascii="宋体" w:hAnsi="宋体" w:eastAsia="宋体"/>
                <w:b w:val="0"/>
                <w:sz w:val="18"/>
              </w:rPr>
              <w:t>18.0件</w:t>
            </w:r>
          </w:p>
        </w:tc>
        <w:tc>
          <w:tcPr>
            <w:tcW w:type="dxa" w:w="1235"/>
          </w:tcPr>
          <w:p>
            <w:pPr>
              <w:spacing w:before="20" w:after="20"/>
              <w:jc w:val="left"/>
            </w:pPr>
            <w:r/>
            <w:r>
              <w:rPr>
                <w:rFonts w:ascii="宋体" w:hAnsi="宋体" w:eastAsia="宋体"/>
                <w:b w:val="0"/>
                <w:sz w:val="18"/>
              </w:rPr>
              <w:t>22.5件</w:t>
            </w:r>
          </w:p>
        </w:tc>
        <w:tc>
          <w:tcPr>
            <w:tcW w:type="dxa" w:w="1235"/>
          </w:tcPr>
          <w:p>
            <w:pPr>
              <w:spacing w:before="20" w:after="20"/>
              <w:jc w:val="right"/>
            </w:pPr>
            <w:r/>
            <w:r>
              <w:rPr>
                <w:rFonts w:ascii="宋体" w:hAnsi="宋体" w:eastAsia="宋体"/>
                <w:b w:val="0"/>
                <w:sz w:val="18"/>
              </w:rPr>
              <w:t>+205.4%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left"/>
            </w:pPr>
            <w:r/>
            <w:r>
              <w:rPr>
                <w:rFonts w:ascii="宋体" w:hAnsi="宋体" w:eastAsia="宋体"/>
                <w:b w:val="0"/>
                <w:sz w:val="18"/>
              </w:rPr>
              <w:t>25.3件</w:t>
            </w:r>
          </w:p>
        </w:tc>
        <w:tc>
          <w:tcPr>
            <w:tcW w:type="dxa" w:w="1235"/>
            <w:shd w:val="clear" w:fill="F4F6F9"/>
          </w:tcPr>
          <w:p>
            <w:pPr>
              <w:spacing w:before="20" w:after="20"/>
              <w:jc w:val="left"/>
            </w:pPr>
            <w:r/>
            <w:r>
              <w:rPr>
                <w:rFonts w:ascii="宋体" w:hAnsi="宋体" w:eastAsia="宋体"/>
                <w:b w:val="0"/>
                <w:sz w:val="18"/>
              </w:rPr>
              <w:t>30.0件</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29.9件</w:t>
            </w:r>
          </w:p>
        </w:tc>
        <w:tc>
          <w:tcPr>
            <w:tcW w:type="dxa" w:w="1235"/>
          </w:tcPr>
          <w:p>
            <w:pPr>
              <w:spacing w:before="20" w:after="20"/>
              <w:jc w:val="right"/>
            </w:pPr>
            <w:r/>
            <w:r>
              <w:rPr>
                <w:rFonts w:ascii="宋体" w:hAnsi="宋体" w:eastAsia="宋体"/>
                <w:b w:val="0"/>
                <w:sz w:val="18"/>
              </w:rPr>
              <w:t>+4.5%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294</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26.9件</w:t>
            </w:r>
          </w:p>
        </w:tc>
        <w:tc>
          <w:tcPr>
            <w:tcW w:type="dxa" w:w="1235"/>
            <w:shd w:val="clear" w:fill="F4F6F9"/>
          </w:tcPr>
          <w:p>
            <w:pPr>
              <w:spacing w:before="20" w:after="20"/>
              <w:jc w:val="right"/>
            </w:pPr>
            <w:r/>
            <w:r>
              <w:rPr>
                <w:rFonts w:ascii="宋体" w:hAnsi="宋体" w:eastAsia="宋体"/>
                <w:b w:val="0"/>
                <w:sz w:val="18"/>
              </w:rPr>
              <w:t>-15.3%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left"/>
            </w:pPr>
            <w:r/>
            <w:r>
              <w:rPr>
                <w:rFonts w:ascii="宋体" w:hAnsi="宋体" w:eastAsia="宋体"/>
                <w:b w:val="0"/>
                <w:sz w:val="18"/>
              </w:rPr>
              <w:t>78.3件</w:t>
            </w:r>
          </w:p>
        </w:tc>
        <w:tc>
          <w:tcPr>
            <w:tcW w:type="dxa" w:w="1235"/>
          </w:tcPr>
          <w:p>
            <w:pPr>
              <w:spacing w:before="20" w:after="20"/>
              <w:jc w:val="left"/>
            </w:pPr>
            <w:r/>
            <w:r>
              <w:rPr>
                <w:rFonts w:ascii="宋体" w:hAnsi="宋体" w:eastAsia="宋体"/>
                <w:b w:val="0"/>
                <w:sz w:val="18"/>
              </w:rPr>
              <w:t>33.0件</w:t>
            </w:r>
          </w:p>
        </w:tc>
        <w:tc>
          <w:tcPr>
            <w:tcW w:type="dxa" w:w="1235"/>
          </w:tcPr>
          <w:p>
            <w:pPr>
              <w:spacing w:before="20" w:after="20"/>
              <w:jc w:val="right"/>
            </w:pPr>
            <w:r/>
            <w:r>
              <w:rPr>
                <w:rFonts w:ascii="宋体" w:hAnsi="宋体" w:eastAsia="宋体"/>
                <w:b w:val="0"/>
                <w:sz w:val="18"/>
              </w:rPr>
              <w:t>+119.6%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上海华泾泾鸿物业管理有限公司</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226</w:t>
            </w:r>
          </w:p>
        </w:tc>
        <w:tc>
          <w:tcPr>
            <w:tcW w:type="dxa" w:w="1235"/>
            <w:shd w:val="clear" w:fill="F4F6F9"/>
          </w:tcPr>
          <w:p>
            <w:pPr>
              <w:spacing w:before="20" w:after="20"/>
              <w:jc w:val="left"/>
            </w:pPr>
            <w:r/>
            <w:r>
              <w:rPr>
                <w:rFonts w:ascii="宋体" w:hAnsi="宋体" w:eastAsia="宋体"/>
                <w:b w:val="0"/>
                <w:sz w:val="18"/>
              </w:rPr>
              <w:t>75.3件</w:t>
            </w:r>
          </w:p>
        </w:tc>
        <w:tc>
          <w:tcPr>
            <w:tcW w:type="dxa" w:w="1235"/>
            <w:shd w:val="clear" w:fill="F4F6F9"/>
          </w:tcPr>
          <w:p>
            <w:pPr>
              <w:spacing w:before="20" w:after="20"/>
              <w:jc w:val="left"/>
            </w:pPr>
            <w:r/>
            <w:r>
              <w:rPr>
                <w:rFonts w:ascii="宋体" w:hAnsi="宋体" w:eastAsia="宋体"/>
                <w:b w:val="0"/>
                <w:sz w:val="18"/>
              </w:rPr>
              <w:t>30.3件</w:t>
            </w:r>
          </w:p>
        </w:tc>
        <w:tc>
          <w:tcPr>
            <w:tcW w:type="dxa" w:w="1235"/>
            <w:shd w:val="clear" w:fill="F4F6F9"/>
          </w:tcPr>
          <w:p>
            <w:pPr>
              <w:spacing w:before="20" w:after="20"/>
              <w:jc w:val="right"/>
            </w:pPr>
            <w:r/>
            <w:r>
              <w:rPr>
                <w:rFonts w:ascii="宋体" w:hAnsi="宋体" w:eastAsia="宋体"/>
                <w:b w:val="0"/>
                <w:sz w:val="18"/>
              </w:rPr>
              <w:t>+93.2%</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电梯：投诉总量与电梯数量正相关，每千户投诉强度同步上升</w:t>
      </w:r>
    </w:p>
    <w:p>
      <w:pPr>
        <w:spacing w:after="60" w:line="324" w:lineRule="auto"/>
        <w:ind w:firstLine="440"/>
      </w:pPr>
      <w:r>
        <w:rPr>
          <w:rFonts w:ascii="宋体" w:hAnsi="宋体" w:eastAsia="宋体"/>
          <w:sz w:val="22"/>
        </w:rPr>
        <w:t>从投诉总量看，电梯越多的小区投诉越多（因规模更大）；从每千户投诉强度看，同样呈上升趋势——电梯体量越大，设备类与协同类诉求越密集。</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737</w:t>
            </w:r>
          </w:p>
        </w:tc>
        <w:tc>
          <w:tcPr>
            <w:tcW w:type="dxa" w:w="1729"/>
          </w:tcPr>
          <w:p>
            <w:pPr>
              <w:spacing w:before="20" w:after="20"/>
              <w:jc w:val="left"/>
            </w:pPr>
            <w:r/>
            <w:r>
              <w:rPr>
                <w:rFonts w:ascii="宋体" w:hAnsi="宋体" w:eastAsia="宋体"/>
                <w:b w:val="0"/>
                <w:sz w:val="18"/>
              </w:rPr>
              <w:t>10.1件</w:t>
            </w:r>
          </w:p>
        </w:tc>
        <w:tc>
          <w:tcPr>
            <w:tcW w:type="dxa" w:w="1729"/>
          </w:tcPr>
          <w:p>
            <w:pPr>
              <w:spacing w:before="20" w:after="20"/>
              <w:jc w:val="left"/>
            </w:pPr>
            <w:r/>
            <w:r>
              <w:rPr>
                <w:rFonts w:ascii="宋体" w:hAnsi="宋体" w:eastAsia="宋体"/>
                <w:b w:val="0"/>
                <w:sz w:val="18"/>
              </w:rPr>
              <w:t>24.6件</w:t>
            </w:r>
          </w:p>
        </w:tc>
        <w:tc>
          <w:tcPr>
            <w:tcW w:type="dxa" w:w="1729"/>
          </w:tcPr>
          <w:p>
            <w:pPr>
              <w:spacing w:before="20" w:after="20"/>
              <w:jc w:val="right"/>
            </w:pPr>
            <w:r/>
            <w:r>
              <w:rPr>
                <w:rFonts w:ascii="宋体" w:hAnsi="宋体" w:eastAsia="宋体"/>
                <w:b w:val="0"/>
                <w:sz w:val="18"/>
              </w:rPr>
              <w:t>-5.9%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24.1件</w:t>
            </w:r>
          </w:p>
        </w:tc>
        <w:tc>
          <w:tcPr>
            <w:tcW w:type="dxa" w:w="1729"/>
            <w:shd w:val="clear" w:fill="F4F6F9"/>
          </w:tcPr>
          <w:p>
            <w:pPr>
              <w:spacing w:before="20" w:after="20"/>
              <w:jc w:val="left"/>
            </w:pPr>
            <w:r/>
            <w:r>
              <w:rPr>
                <w:rFonts w:ascii="宋体" w:hAnsi="宋体" w:eastAsia="宋体"/>
                <w:b w:val="0"/>
                <w:sz w:val="18"/>
              </w:rPr>
              <w:t>28.6件</w:t>
            </w:r>
          </w:p>
        </w:tc>
        <w:tc>
          <w:tcPr>
            <w:tcW w:type="dxa" w:w="1729"/>
            <w:shd w:val="clear" w:fill="F4F6F9"/>
          </w:tcPr>
          <w:p>
            <w:pPr>
              <w:spacing w:before="20" w:after="20"/>
              <w:jc w:val="right"/>
            </w:pPr>
            <w:r/>
            <w:r>
              <w:rPr>
                <w:rFonts w:ascii="宋体" w:hAnsi="宋体" w:eastAsia="宋体"/>
                <w:b w:val="0"/>
                <w:sz w:val="18"/>
              </w:rPr>
              <w:t>-10.7%</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737</w:t>
            </w:r>
          </w:p>
        </w:tc>
        <w:tc>
          <w:tcPr>
            <w:tcW w:type="dxa" w:w="1729"/>
          </w:tcPr>
          <w:p>
            <w:pPr>
              <w:spacing w:before="20" w:after="20"/>
              <w:jc w:val="left"/>
            </w:pPr>
            <w:r/>
            <w:r>
              <w:rPr>
                <w:rFonts w:ascii="宋体" w:hAnsi="宋体" w:eastAsia="宋体"/>
                <w:b w:val="0"/>
                <w:sz w:val="18"/>
              </w:rPr>
              <w:t>10.1件</w:t>
            </w:r>
          </w:p>
        </w:tc>
        <w:tc>
          <w:tcPr>
            <w:tcW w:type="dxa" w:w="1729"/>
          </w:tcPr>
          <w:p>
            <w:pPr>
              <w:spacing w:before="20" w:after="20"/>
              <w:jc w:val="left"/>
            </w:pPr>
            <w:r/>
            <w:r>
              <w:rPr>
                <w:rFonts w:ascii="宋体" w:hAnsi="宋体" w:eastAsia="宋体"/>
                <w:b w:val="0"/>
                <w:sz w:val="18"/>
              </w:rPr>
              <w:t>24.6件</w:t>
            </w:r>
          </w:p>
        </w:tc>
        <w:tc>
          <w:tcPr>
            <w:tcW w:type="dxa" w:w="1729"/>
          </w:tcPr>
          <w:p>
            <w:pPr>
              <w:spacing w:before="20" w:after="20"/>
              <w:jc w:val="right"/>
            </w:pPr>
            <w:r/>
            <w:r>
              <w:rPr>
                <w:rFonts w:ascii="宋体" w:hAnsi="宋体" w:eastAsia="宋体"/>
                <w:b w:val="0"/>
                <w:sz w:val="18"/>
              </w:rPr>
              <w:t>-5.9%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17.4件</w:t>
            </w:r>
          </w:p>
        </w:tc>
        <w:tc>
          <w:tcPr>
            <w:tcW w:type="dxa" w:w="1729"/>
            <w:shd w:val="clear" w:fill="F4F6F9"/>
          </w:tcPr>
          <w:p>
            <w:pPr>
              <w:spacing w:before="20" w:after="20"/>
              <w:jc w:val="left"/>
            </w:pPr>
            <w:r/>
            <w:r>
              <w:rPr>
                <w:rFonts w:ascii="宋体" w:hAnsi="宋体" w:eastAsia="宋体"/>
                <w:b w:val="0"/>
                <w:sz w:val="18"/>
              </w:rPr>
              <w:t>26.9件</w:t>
            </w:r>
          </w:p>
        </w:tc>
        <w:tc>
          <w:tcPr>
            <w:tcW w:type="dxa" w:w="1729"/>
            <w:shd w:val="clear" w:fill="F4F6F9"/>
          </w:tcPr>
          <w:p>
            <w:pPr>
              <w:spacing w:before="20" w:after="20"/>
              <w:jc w:val="right"/>
            </w:pPr>
            <w:r/>
            <w:r>
              <w:rPr>
                <w:rFonts w:ascii="宋体" w:hAnsi="宋体" w:eastAsia="宋体"/>
                <w:b w:val="0"/>
                <w:sz w:val="18"/>
              </w:rPr>
              <w:t>-7.9%</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34.8件</w:t>
            </w:r>
          </w:p>
        </w:tc>
        <w:tc>
          <w:tcPr>
            <w:tcW w:type="dxa" w:w="1729"/>
          </w:tcPr>
          <w:p>
            <w:pPr>
              <w:spacing w:before="20" w:after="20"/>
              <w:jc w:val="left"/>
            </w:pPr>
            <w:r/>
            <w:r>
              <w:rPr>
                <w:rFonts w:ascii="宋体" w:hAnsi="宋体" w:eastAsia="宋体"/>
                <w:b w:val="0"/>
                <w:sz w:val="18"/>
              </w:rPr>
              <w:t>30.5件</w:t>
            </w:r>
          </w:p>
        </w:tc>
        <w:tc>
          <w:tcPr>
            <w:tcW w:type="dxa" w:w="1729"/>
          </w:tcPr>
          <w:p>
            <w:pPr>
              <w:spacing w:before="20" w:after="20"/>
              <w:jc w:val="right"/>
            </w:pPr>
            <w:r/>
            <w:r>
              <w:rPr>
                <w:rFonts w:ascii="宋体" w:hAnsi="宋体" w:eastAsia="宋体"/>
                <w:b w:val="0"/>
                <w:sz w:val="18"/>
              </w:rPr>
              <w:t>-15.6%</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46.3件</w:t>
            </w:r>
          </w:p>
        </w:tc>
        <w:tc>
          <w:tcPr>
            <w:tcW w:type="dxa" w:w="1729"/>
            <w:shd w:val="clear" w:fill="F4F6F9"/>
          </w:tcPr>
          <w:p>
            <w:pPr>
              <w:spacing w:before="20" w:after="20"/>
              <w:jc w:val="left"/>
            </w:pPr>
            <w:r/>
            <w:r>
              <w:rPr>
                <w:rFonts w:ascii="宋体" w:hAnsi="宋体" w:eastAsia="宋体"/>
                <w:b w:val="0"/>
                <w:sz w:val="18"/>
              </w:rPr>
              <w:t>32.9件</w:t>
            </w:r>
          </w:p>
        </w:tc>
        <w:tc>
          <w:tcPr>
            <w:tcW w:type="dxa" w:w="1729"/>
            <w:shd w:val="clear" w:fill="F4F6F9"/>
          </w:tcPr>
          <w:p>
            <w:pPr>
              <w:spacing w:before="20" w:after="20"/>
              <w:jc w:val="right"/>
            </w:pPr>
            <w:r/>
            <w:r>
              <w:rPr>
                <w:rFonts w:ascii="宋体" w:hAnsi="宋体" w:eastAsia="宋体"/>
                <w:b w:val="0"/>
                <w:sz w:val="18"/>
              </w:rPr>
              <w:t>-10.4%</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44.3件</w:t>
            </w:r>
          </w:p>
        </w:tc>
        <w:tc>
          <w:tcPr>
            <w:tcW w:type="dxa" w:w="1729"/>
          </w:tcPr>
          <w:p>
            <w:pPr>
              <w:spacing w:before="20" w:after="20"/>
              <w:jc w:val="left"/>
            </w:pPr>
            <w:r/>
            <w:r>
              <w:rPr>
                <w:rFonts w:ascii="宋体" w:hAnsi="宋体" w:eastAsia="宋体"/>
                <w:b w:val="0"/>
                <w:sz w:val="18"/>
              </w:rPr>
              <w:t>28.0件</w:t>
            </w:r>
          </w:p>
        </w:tc>
        <w:tc>
          <w:tcPr>
            <w:tcW w:type="dxa" w:w="1729"/>
          </w:tcPr>
          <w:p>
            <w:pPr>
              <w:spacing w:before="20" w:after="20"/>
              <w:jc w:val="right"/>
            </w:pPr>
            <w:r/>
            <w:r>
              <w:rPr>
                <w:rFonts w:ascii="宋体" w:hAnsi="宋体" w:eastAsia="宋体"/>
                <w:b w:val="0"/>
                <w:sz w:val="18"/>
              </w:rPr>
              <w:t>-14.3%</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10.1件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17.4件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34.8件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46.3件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44.3件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24.6件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26.9件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30.5件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32.9件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28.0件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总量维度：电梯越多投诉总量越高——20台以上小区 2026年1-8月均值 44.3件，是无电梯小区（10.1件）的 4.4倍，因为电梯多的小区通常规模更大（户数更多）。</w:t>
            </w:r>
          </w:p>
          <w:p>
            <w:pPr>
              <w:spacing w:before="20" w:after="20" w:line="288" w:lineRule="auto"/>
            </w:pPr>
            <w:r>
              <w:rPr>
                <w:rFonts w:ascii="宋体" w:hAnsi="宋体" w:eastAsia="宋体"/>
                <w:sz w:val="20"/>
              </w:rPr>
              <w:t>② 每千户维度：结论一致——无电梯小区每千户投诉 24.6件最低，11-20台小区 32.9件最高（高 33.7%），说明电梯体量越大、单位户数的投诉强度越高。</w:t>
            </w:r>
          </w:p>
          <w:p>
            <w:pPr>
              <w:spacing w:before="20" w:after="20" w:line="288" w:lineRule="auto"/>
            </w:pPr>
            <w:r>
              <w:rPr>
                <w:rFonts w:ascii="宋体" w:hAnsi="宋体" w:eastAsia="宋体"/>
                <w:sz w:val="20"/>
              </w:rPr>
              <w:t>③ 趋势维度：五组 2026 年 1-8 月同比均为下降，其中 6-10 台降幅最大（-15.6%），无电梯降幅最小（-5.9%），低层老旧小区改善相对滞后。</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737</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核心发现：</w:t>
            </w:r>
          </w:p>
          <w:p>
            <w:pPr>
              <w:spacing w:before="20" w:after="20" w:line="288" w:lineRule="auto"/>
            </w:pPr>
            <w:r>
              <w:rPr>
                <w:rFonts w:ascii="宋体" w:hAnsi="宋体" w:eastAsia="宋体"/>
                <w:sz w:val="20"/>
              </w:rPr>
              <w:t>① 无电梯≠无电梯投诉：737个无电梯小区中295个（40%）仍有电梯相关投诉，主要是加装诉求（1,672件，占电梯投诉38.7%）——多层住宅居民强烈要求加装电梯是最大矛盾。</w:t>
            </w:r>
          </w:p>
          <w:p>
            <w:pPr>
              <w:spacing w:before="20" w:after="20" w:line="288" w:lineRule="auto"/>
            </w:pPr>
            <w:r>
              <w:rPr>
                <w:rFonts w:ascii="宋体" w:hAnsi="宋体" w:eastAsia="宋体"/>
                <w:sz w:val="20"/>
              </w:rPr>
              <w:t>② 电梯越多，投诉占比越高：20台以上小区电梯投诉占总投诉15.6%，远高于无电梯小区的5.4%——大型高层小区的电梯维保是核心痛点。</w:t>
            </w:r>
          </w:p>
          <w:p>
            <w:pPr>
              <w:spacing w:before="20" w:after="20" w:line="288" w:lineRule="auto"/>
            </w:pPr>
            <w:r>
              <w:rPr>
                <w:rFonts w:ascii="宋体" w:hAnsi="宋体" w:eastAsia="宋体"/>
                <w:sz w:val="20"/>
              </w:rPr>
              <w:t>③ "故障"与"加装"并重：故障/停运（39.1%）和加装诉求（38.7%）几乎并列第一，说明存量电梯维保和增量电梯加装是两条并行的治理线。</w:t>
            </w:r>
          </w:p>
          <w:p>
            <w:pPr>
              <w:spacing w:before="20" w:after="20" w:line="288" w:lineRule="auto"/>
            </w:pPr>
            <w:r>
              <w:rPr>
                <w:rFonts w:ascii="宋体" w:hAnsi="宋体" w:eastAsia="宋体"/>
                <w:sz w:val="20"/>
              </w:rPr>
              <w:t>④ 异常案例：尚海湾二期（0台电梯）却有127件电梯投诉（占该小区总投诉25.3%），需重点关注其加装电梯矛盾。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797</w:t>
            </w:r>
          </w:p>
        </w:tc>
        <w:tc>
          <w:tcPr>
            <w:tcW w:type="dxa" w:w="1441"/>
          </w:tcPr>
          <w:p>
            <w:pPr>
              <w:spacing w:before="20" w:after="20"/>
              <w:jc w:val="left"/>
            </w:pPr>
            <w:r/>
            <w:r>
              <w:rPr>
                <w:rFonts w:ascii="宋体" w:hAnsi="宋体" w:eastAsia="宋体"/>
                <w:b w:val="0"/>
                <w:sz w:val="18"/>
              </w:rPr>
              <w:t>14.4件</w:t>
            </w:r>
          </w:p>
        </w:tc>
        <w:tc>
          <w:tcPr>
            <w:tcW w:type="dxa" w:w="1441"/>
          </w:tcPr>
          <w:p>
            <w:pPr>
              <w:spacing w:before="20" w:after="20"/>
              <w:jc w:val="left"/>
            </w:pPr>
            <w:r/>
            <w:r>
              <w:rPr>
                <w:rFonts w:ascii="宋体" w:hAnsi="宋体" w:eastAsia="宋体"/>
                <w:b w:val="0"/>
                <w:sz w:val="18"/>
              </w:rPr>
              <w:t>27.6件</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116</w:t>
            </w:r>
          </w:p>
        </w:tc>
        <w:tc>
          <w:tcPr>
            <w:tcW w:type="dxa" w:w="1441"/>
            <w:shd w:val="clear" w:fill="F4F6F9"/>
          </w:tcPr>
          <w:p>
            <w:pPr>
              <w:spacing w:before="20" w:after="20"/>
              <w:jc w:val="left"/>
            </w:pPr>
            <w:r/>
            <w:r>
              <w:rPr>
                <w:rFonts w:ascii="宋体" w:hAnsi="宋体" w:eastAsia="宋体"/>
                <w:b w:val="0"/>
                <w:sz w:val="18"/>
              </w:rPr>
              <w:t>12.5件</w:t>
            </w:r>
          </w:p>
        </w:tc>
        <w:tc>
          <w:tcPr>
            <w:tcW w:type="dxa" w:w="1441"/>
            <w:shd w:val="clear" w:fill="F4F6F9"/>
          </w:tcPr>
          <w:p>
            <w:pPr>
              <w:spacing w:before="20" w:after="20"/>
              <w:jc w:val="left"/>
            </w:pPr>
            <w:r/>
            <w:r>
              <w:rPr>
                <w:rFonts w:ascii="宋体" w:hAnsi="宋体" w:eastAsia="宋体"/>
                <w:b w:val="0"/>
                <w:sz w:val="18"/>
              </w:rPr>
              <w:t>19.2件</w:t>
            </w:r>
          </w:p>
        </w:tc>
        <w:tc>
          <w:tcPr>
            <w:tcW w:type="dxa" w:w="1441"/>
            <w:shd w:val="clear" w:fill="F4F6F9"/>
          </w:tcPr>
          <w:p>
            <w:pPr>
              <w:spacing w:before="20" w:after="20"/>
              <w:jc w:val="right"/>
            </w:pPr>
            <w:r/>
            <w:r>
              <w:rPr>
                <w:rFonts w:ascii="宋体" w:hAnsi="宋体" w:eastAsia="宋体"/>
                <w:b w:val="0"/>
                <w:sz w:val="18"/>
              </w:rPr>
              <w:t>-11.9%</w:t>
            </w:r>
          </w:p>
        </w:tc>
        <w:tc>
          <w:tcPr>
            <w:tcW w:type="dxa" w:w="1441"/>
            <w:shd w:val="clear" w:fill="F4F6F9"/>
          </w:tcPr>
          <w:p>
            <w:pPr>
              <w:spacing w:before="20" w:after="20"/>
              <w:jc w:val="left"/>
            </w:pPr>
            <w:r/>
            <w:r>
              <w:rPr>
                <w:rFonts w:ascii="宋体" w:hAnsi="宋体" w:eastAsia="宋体"/>
                <w:b w:val="0"/>
                <w:sz w:val="18"/>
              </w:rPr>
              <w:t>总量低13.2%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61</w:t>
            </w:r>
          </w:p>
        </w:tc>
        <w:tc>
          <w:tcPr>
            <w:tcW w:type="dxa" w:w="1441"/>
          </w:tcPr>
          <w:p>
            <w:pPr>
              <w:spacing w:before="20" w:after="20"/>
              <w:jc w:val="left"/>
            </w:pPr>
            <w:r/>
            <w:r>
              <w:rPr>
                <w:rFonts w:ascii="宋体" w:hAnsi="宋体" w:eastAsia="宋体"/>
                <w:b w:val="0"/>
                <w:sz w:val="18"/>
              </w:rPr>
              <w:t>10.0件</w:t>
            </w:r>
          </w:p>
        </w:tc>
        <w:tc>
          <w:tcPr>
            <w:tcW w:type="dxa" w:w="1441"/>
          </w:tcPr>
          <w:p>
            <w:pPr>
              <w:spacing w:before="20" w:after="20"/>
              <w:jc w:val="left"/>
            </w:pPr>
            <w:r/>
            <w:r>
              <w:rPr>
                <w:rFonts w:ascii="宋体" w:hAnsi="宋体" w:eastAsia="宋体"/>
                <w:b w:val="0"/>
                <w:sz w:val="18"/>
              </w:rPr>
              <w:t>24.4件</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left"/>
            </w:pPr>
            <w:r/>
            <w:r>
              <w:rPr>
                <w:rFonts w:ascii="宋体" w:hAnsi="宋体" w:eastAsia="宋体"/>
                <w:b w:val="0"/>
                <w:sz w:val="18"/>
              </w:rPr>
              <w:t>总量低30.6%</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4.3件</w:t>
            </w:r>
          </w:p>
        </w:tc>
        <w:tc>
          <w:tcPr>
            <w:tcW w:type="dxa" w:w="1441"/>
            <w:shd w:val="clear" w:fill="F4F6F9"/>
          </w:tcPr>
          <w:p>
            <w:pPr>
              <w:spacing w:before="20" w:after="20"/>
              <w:jc w:val="left"/>
            </w:pPr>
            <w:r/>
            <w:r>
              <w:rPr>
                <w:rFonts w:ascii="宋体" w:hAnsi="宋体" w:eastAsia="宋体"/>
                <w:b w:val="0"/>
                <w:sz w:val="18"/>
              </w:rPr>
              <w:t>29.6件</w:t>
            </w:r>
          </w:p>
        </w:tc>
        <w:tc>
          <w:tcPr>
            <w:tcW w:type="dxa" w:w="1441"/>
            <w:shd w:val="clear" w:fill="F4F6F9"/>
          </w:tcPr>
          <w:p>
            <w:pPr>
              <w:spacing w:before="20" w:after="20"/>
              <w:jc w:val="right"/>
            </w:pPr>
            <w:r/>
            <w:r>
              <w:rPr>
                <w:rFonts w:ascii="宋体" w:hAnsi="宋体" w:eastAsia="宋体"/>
                <w:b w:val="0"/>
                <w:sz w:val="18"/>
              </w:rPr>
              <w:t>+146.2%</w:t>
            </w:r>
          </w:p>
        </w:tc>
        <w:tc>
          <w:tcPr>
            <w:tcW w:type="dxa" w:w="1441"/>
            <w:shd w:val="clear" w:fill="F4F6F9"/>
          </w:tcPr>
          <w:p>
            <w:pPr>
              <w:spacing w:before="20" w:after="20"/>
              <w:jc w:val="left"/>
            </w:pPr>
            <w:r/>
            <w:r>
              <w:rPr>
                <w:rFonts w:ascii="宋体" w:hAnsi="宋体" w:eastAsia="宋体"/>
                <w:b w:val="0"/>
                <w:sz w:val="18"/>
              </w:rPr>
              <w:t>总量低70.1%</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发现：车位充足小区的投诉量仅为严重不足小区的 29.9%（4.3件 vs 14.4件）。停车是物业投诉的第一大类别，车位供给直接决定了停车管理的难度和投诉量。增加车位供给是降低投诉的最有效硬件手段之一。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修缮状况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2026年1-8月均值</w:t>
            </w:r>
          </w:p>
        </w:tc>
        <w:tc>
          <w:tcPr>
            <w:tcW w:type="dxa" w:w="1729"/>
            <w:shd w:val="clear" w:fill="1A3A5F"/>
          </w:tcPr>
          <w:p>
            <w:pPr>
              <w:spacing w:before="20" w:after="20"/>
              <w:jc w:val="center"/>
            </w:pPr>
            <w:r/>
            <w:r>
              <w:rPr>
                <w:rFonts w:ascii="宋体" w:hAnsi="宋体" w:eastAsia="宋体"/>
                <w:b/>
                <w:color w:val="FFFFFF"/>
                <w:sz w:val="18"/>
              </w:rPr>
              <w:t>每千户(2026年1-8月)</w:t>
            </w:r>
          </w:p>
        </w:tc>
        <w:tc>
          <w:tcPr>
            <w:tcW w:type="dxa" w:w="1729"/>
            <w:shd w:val="clear" w:fill="1A3A5F"/>
          </w:tcPr>
          <w:p>
            <w:pPr>
              <w:spacing w:before="20" w:after="20"/>
              <w:jc w:val="center"/>
            </w:pPr>
            <w:r/>
            <w:r>
              <w:rPr>
                <w:rFonts w:ascii="宋体" w:hAnsi="宋体" w:eastAsia="宋体"/>
                <w:b/>
                <w:color w:val="FFFFFF"/>
                <w:sz w:val="18"/>
              </w:rPr>
              <w:t>2026同比</w:t>
            </w:r>
          </w:p>
        </w:tc>
      </w:tr>
      <w:tr>
        <w:tc>
          <w:tcPr>
            <w:tcW w:type="dxa" w:w="1729"/>
          </w:tcPr>
          <w:p>
            <w:pPr>
              <w:spacing w:before="20" w:after="20"/>
              <w:jc w:val="left"/>
            </w:pPr>
            <w:r/>
            <w:r>
              <w:rPr>
                <w:rFonts w:ascii="宋体" w:hAnsi="宋体" w:eastAsia="宋体"/>
                <w:b w:val="0"/>
                <w:sz w:val="18"/>
              </w:rPr>
              <w:t>无修缮项目</w:t>
            </w:r>
          </w:p>
        </w:tc>
        <w:tc>
          <w:tcPr>
            <w:tcW w:type="dxa" w:w="1729"/>
          </w:tcPr>
          <w:p>
            <w:pPr>
              <w:spacing w:before="20" w:after="20"/>
              <w:jc w:val="right"/>
            </w:pPr>
            <w:r/>
            <w:r>
              <w:rPr>
                <w:rFonts w:ascii="宋体" w:hAnsi="宋体" w:eastAsia="宋体"/>
                <w:b w:val="0"/>
                <w:sz w:val="18"/>
              </w:rPr>
              <w:t>709</w:t>
            </w:r>
          </w:p>
        </w:tc>
        <w:tc>
          <w:tcPr>
            <w:tcW w:type="dxa" w:w="1729"/>
          </w:tcPr>
          <w:p>
            <w:pPr>
              <w:spacing w:before="20" w:after="20"/>
              <w:jc w:val="left"/>
            </w:pPr>
            <w:r/>
            <w:r>
              <w:rPr>
                <w:rFonts w:ascii="宋体" w:hAnsi="宋体" w:eastAsia="宋体"/>
                <w:b w:val="0"/>
                <w:sz w:val="18"/>
              </w:rPr>
              <w:t>11.6件</w:t>
            </w:r>
          </w:p>
        </w:tc>
        <w:tc>
          <w:tcPr>
            <w:tcW w:type="dxa" w:w="1729"/>
          </w:tcPr>
          <w:p>
            <w:pPr>
              <w:spacing w:before="20" w:after="20"/>
              <w:jc w:val="left"/>
            </w:pPr>
            <w:r/>
            <w:r>
              <w:rPr>
                <w:rFonts w:ascii="宋体" w:hAnsi="宋体" w:eastAsia="宋体"/>
                <w:b w:val="0"/>
                <w:sz w:val="18"/>
              </w:rPr>
              <w:t>24.7件</w:t>
            </w:r>
          </w:p>
        </w:tc>
        <w:tc>
          <w:tcPr>
            <w:tcW w:type="dxa" w:w="1729"/>
          </w:tcPr>
          <w:p>
            <w:pPr>
              <w:spacing w:before="20" w:after="20"/>
              <w:jc w:val="right"/>
            </w:pPr>
            <w:r/>
            <w:r>
              <w:rPr>
                <w:rFonts w:ascii="宋体" w:hAnsi="宋体" w:eastAsia="宋体"/>
                <w:b w:val="0"/>
                <w:sz w:val="18"/>
              </w:rPr>
              <w:t>-5.2%</w:t>
            </w:r>
          </w:p>
        </w:tc>
      </w:tr>
      <w:tr>
        <w:tc>
          <w:tcPr>
            <w:tcW w:type="dxa" w:w="1729"/>
            <w:shd w:val="clear" w:fill="F4F6F9"/>
          </w:tcPr>
          <w:p>
            <w:pPr>
              <w:spacing w:before="20" w:after="20"/>
              <w:jc w:val="left"/>
            </w:pPr>
            <w:r/>
            <w:r>
              <w:rPr>
                <w:rFonts w:ascii="宋体" w:hAnsi="宋体" w:eastAsia="宋体"/>
                <w:b w:val="0"/>
                <w:sz w:val="18"/>
              </w:rPr>
              <w:t>有修缮项目</w:t>
            </w:r>
          </w:p>
        </w:tc>
        <w:tc>
          <w:tcPr>
            <w:tcW w:type="dxa" w:w="1729"/>
            <w:shd w:val="clear" w:fill="F4F6F9"/>
          </w:tcPr>
          <w:p>
            <w:pPr>
              <w:spacing w:before="20" w:after="20"/>
              <w:jc w:val="right"/>
            </w:pPr>
            <w:r/>
            <w:r>
              <w:rPr>
                <w:rFonts w:ascii="宋体" w:hAnsi="宋体" w:eastAsia="宋体"/>
                <w:b w:val="0"/>
                <w:sz w:val="18"/>
              </w:rPr>
              <w:t>284</w:t>
            </w:r>
          </w:p>
        </w:tc>
        <w:tc>
          <w:tcPr>
            <w:tcW w:type="dxa" w:w="1729"/>
            <w:shd w:val="clear" w:fill="F4F6F9"/>
          </w:tcPr>
          <w:p>
            <w:pPr>
              <w:spacing w:before="20" w:after="20"/>
              <w:jc w:val="left"/>
            </w:pPr>
            <w:r/>
            <w:r>
              <w:rPr>
                <w:rFonts w:ascii="宋体" w:hAnsi="宋体" w:eastAsia="宋体"/>
                <w:b w:val="0"/>
                <w:sz w:val="18"/>
              </w:rPr>
              <w:t>19.0件</w:t>
            </w:r>
          </w:p>
        </w:tc>
        <w:tc>
          <w:tcPr>
            <w:tcW w:type="dxa" w:w="1729"/>
            <w:shd w:val="clear" w:fill="F4F6F9"/>
          </w:tcPr>
          <w:p>
            <w:pPr>
              <w:spacing w:before="20" w:after="20"/>
              <w:jc w:val="left"/>
            </w:pPr>
            <w:r/>
            <w:r>
              <w:rPr>
                <w:rFonts w:ascii="宋体" w:hAnsi="宋体" w:eastAsia="宋体"/>
                <w:b w:val="0"/>
                <w:sz w:val="18"/>
              </w:rPr>
              <w:t>29.0件</w:t>
            </w:r>
          </w:p>
        </w:tc>
        <w:tc>
          <w:tcPr>
            <w:tcW w:type="dxa" w:w="1729"/>
            <w:shd w:val="clear" w:fill="F4F6F9"/>
          </w:tcPr>
          <w:p>
            <w:pPr>
              <w:spacing w:before="20" w:after="20"/>
              <w:jc w:val="right"/>
            </w:pPr>
            <w:r/>
            <w:r>
              <w:rPr>
                <w:rFonts w:ascii="宋体" w:hAnsi="宋体" w:eastAsia="宋体"/>
                <w:b w:val="0"/>
                <w:sz w:val="18"/>
              </w:rPr>
              <w:t>-12.3%</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-5.2%</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2个项目及以上</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发现：有修缮项目的小区投诉量（19.0件）远高于无修缮小区（11.6件，高 63.8%）——这是"逆向选择"：问题越多的小区越容易获得修缮资源。但关键在于：有修缮的小区 2026 年 1-8 月同比 -12.3%，降幅明显大于无修缮小区（-5.2%）。修缮项目数越多，改善效果越明显（2个项目及以上的小区同比下降 18.8%）。修缮投入是治理房屋维修类投诉的根本手段。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left"/>
            </w:pPr>
            <w:r/>
            <w:r>
              <w:rPr>
                <w:rFonts w:ascii="宋体" w:hAnsi="宋体" w:eastAsia="宋体"/>
                <w:b w:val="0"/>
                <w:sz w:val="18"/>
              </w:rPr>
              <w:t>17.2件</w:t>
            </w:r>
          </w:p>
        </w:tc>
        <w:tc>
          <w:tcPr>
            <w:tcW w:type="dxa" w:w="1441"/>
          </w:tcPr>
          <w:p>
            <w:pPr>
              <w:spacing w:before="20" w:after="20"/>
              <w:jc w:val="left"/>
            </w:pPr>
            <w:r/>
            <w:r>
              <w:rPr>
                <w:rFonts w:ascii="宋体" w:hAnsi="宋体" w:eastAsia="宋体"/>
                <w:b w:val="0"/>
                <w:sz w:val="18"/>
              </w:rPr>
              <w:t>30.2件</w:t>
            </w:r>
          </w:p>
        </w:tc>
        <w:tc>
          <w:tcPr>
            <w:tcW w:type="dxa" w:w="1441"/>
          </w:tcPr>
          <w:p>
            <w:pPr>
              <w:spacing w:before="20" w:after="20"/>
              <w:jc w:val="right"/>
            </w:pPr>
            <w:r/>
            <w:r>
              <w:rPr>
                <w:rFonts w:ascii="宋体" w:hAnsi="宋体" w:eastAsia="宋体"/>
                <w:b w:val="0"/>
                <w:sz w:val="18"/>
              </w:rPr>
              <w:t>+17.4%</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871</w:t>
            </w:r>
          </w:p>
        </w:tc>
        <w:tc>
          <w:tcPr>
            <w:tcW w:type="dxa" w:w="1441"/>
            <w:shd w:val="clear" w:fill="F4F6F9"/>
          </w:tcPr>
          <w:p>
            <w:pPr>
              <w:spacing w:before="20" w:after="20"/>
              <w:jc w:val="left"/>
            </w:pPr>
            <w:r/>
            <w:r>
              <w:rPr>
                <w:rFonts w:ascii="宋体" w:hAnsi="宋体" w:eastAsia="宋体"/>
                <w:b w:val="0"/>
                <w:sz w:val="18"/>
              </w:rPr>
              <w:t>13.2件</w:t>
            </w:r>
          </w:p>
        </w:tc>
        <w:tc>
          <w:tcPr>
            <w:tcW w:type="dxa" w:w="1441"/>
            <w:shd w:val="clear" w:fill="F4F6F9"/>
          </w:tcPr>
          <w:p>
            <w:pPr>
              <w:spacing w:before="20" w:after="20"/>
              <w:jc w:val="left"/>
            </w:pPr>
            <w:r/>
            <w:r>
              <w:rPr>
                <w:rFonts w:ascii="宋体" w:hAnsi="宋体" w:eastAsia="宋体"/>
                <w:b w:val="0"/>
                <w:sz w:val="18"/>
              </w:rPr>
              <w:t>25.6件</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总量低23.3%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发现：有业委会的小区投诉量比无业主大会小区低 23.3%（13.2件 vs 17.2件），且同比方向相反（-11.7% vs +17.4%）。业委会作为业主自治组织，能够有效协调业主与物业的关系，减少矛盾激化。推进业委会组建是降低投诉的重要治理手段。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底部抬升小区：投诉强度是普通小区的2.4倍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968个有投诉记录者；「平均投诉量」＝2024+2025+2026（1-8月）三年累计均值；「每千户投诉量」＝sum(投诉量)/sum(总户数)×1000（2026年1-8月）；「2026同比」＝2026年1-8月 vs 2025年1-8月。底部抬升＝名单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发现：底部抬升小区三年累计平均投诉量是普通小区的 2.4倍（136.0 vs 56.7件），每千户投诉量同样更高（32.7 vs 25.2件，高 29.8%）—— 底部抬升小区户数更多（870户 vs 491户），且单位投诉强度并未低于普通小区，说明这批重点小区的治理压力仍显著高于面上。2026 年 1-8 月同比（-17.4% vs -6.0%）降幅略大，改善速度快于面上，但绝对投诉强度仍显著偏高，印证「底部抬升」攻坚尚处于相持阶段。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w:t>
            </w:r>
          </w:p>
          <w:p>
            <w:pPr>
              <w:spacing w:before="20" w:after="20"/>
              <w:jc w:val="left"/>
            </w:pPr>
            <w:r>
              <w:rPr>
                <w:rFonts w:ascii="宋体" w:hAnsi="宋体" w:eastAsia="宋体"/>
                <w:b w:val="0"/>
                <w:sz w:val="18"/>
              </w:rPr>
              <w:t>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w:t>
            </w:r>
          </w:p>
          <w:p>
            <w:pPr>
              <w:spacing w:before="20" w:after="20"/>
              <w:jc w:val="left"/>
            </w:pPr>
            <w:r>
              <w:rPr>
                <w:rFonts w:ascii="宋体" w:hAnsi="宋体" w:eastAsia="宋体"/>
                <w:b w:val="0"/>
                <w:sz w:val="18"/>
              </w:rPr>
              <w:t>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w:t>
            </w:r>
          </w:p>
          <w:p>
            <w:pPr>
              <w:spacing w:before="20" w:after="20"/>
              <w:jc w:val="left"/>
            </w:pPr>
            <w:r>
              <w:rPr>
                <w:rFonts w:ascii="宋体" w:hAnsi="宋体" w:eastAsia="宋体"/>
                <w:b w:val="0"/>
                <w:sz w:val="18"/>
              </w:rPr>
              <w:t>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房龄越大投诉强度越高，40年以上老小区每千户投诉是10年以内的2.2倍。直管公房每千户投诉48.5件，为各类房屋性质最高。</w:t>
            </w:r>
          </w:p>
          <w:p>
            <w:pPr>
              <w:spacing w:before="20" w:after="20"/>
              <w:jc w:val="left"/>
            </w:pPr>
            <w:r>
              <w:rPr>
                <w:rFonts w:ascii="宋体" w:hAnsi="宋体" w:eastAsia="宋体"/>
                <w:b w:val="0"/>
                <w:sz w:val="18"/>
              </w:rPr>
              <w:t>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有业委会小区投诉低23.3%，街道间相差5倍。治理能力差异显著影响投诉量。</w:t>
            </w:r>
          </w:p>
          <w:p>
            <w:pPr>
              <w:spacing w:before="20" w:after="20"/>
              <w:jc w:val="left"/>
            </w:pPr>
            <w:r>
              <w:rPr>
                <w:rFonts w:ascii="宋体" w:hAnsi="宋体" w:eastAsia="宋体"/>
                <w:b w:val="0"/>
                <w:sz w:val="18"/>
              </w:rPr>
              <w:t>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w:t>
            </w:r>
          </w:p>
          <w:p>
            <w:pPr>
              <w:spacing w:before="20" w:after="20"/>
              <w:jc w:val="left"/>
            </w:pPr>
            <w:r>
              <w:rPr>
                <w:rFonts w:ascii="宋体" w:hAnsi="宋体" w:eastAsia="宋体"/>
                <w:b w:val="0"/>
                <w:sz w:val="18"/>
              </w:rPr>
              <w:t>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规模是最大影响因素，但归一化后有"规模经济"。户数相关系数0.782，但每千户投诉量从微型小区（&lt;200户）35.6件降至大型小区（1000-2000户）22.8件，大小区管理效率更高。微型小区（&lt;200户）是治理洼地。</w:t>
      </w:r>
    </w:p>
    <w:p>
      <w:pPr>
        <w:pStyle w:val="ListBullet"/>
        <w:spacing w:after="40"/>
      </w:pPr>
      <w:r>
        <w:rPr>
          <w:rFonts w:ascii="宋体" w:hAnsi="宋体" w:eastAsia="宋体"/>
          <w:sz w:val="22"/>
        </w:rPr>
        <w:t>设施硬件是"硬约束"，投入产出比最高。车位配比由严重不足（&lt;0.3）改善至基本平衡（0.5-0.8），投诉量可降30.6%；有修缮的小区2026年1-8月同比-12.3%，降幅大于无修缮小区（-5.2%）。电梯加装虽然短期增加投诉，但长期改善居住品质。</w:t>
      </w:r>
    </w:p>
    <w:p>
      <w:pPr>
        <w:pStyle w:val="ListBullet"/>
        <w:spacing w:after="40"/>
      </w:pPr>
      <w:r>
        <w:rPr>
          <w:rFonts w:ascii="宋体" w:hAnsi="宋体" w:eastAsia="宋体"/>
          <w:sz w:val="22"/>
        </w:rPr>
        <w:t>物业服务是"软因素"，但存在最优价位区间。3-5元/㎡物业费区间投诉最低，过高和过低都容易引发投诉。酬金制投诉比包干制低20.3%。大型物业企业管理的小区投诉总量高主要是因为管理规模更大更复杂。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老旧小区是"深水区"，投诉强度是新小区的2.2倍。40年以上小区每千户投诉34.7件，直管公房每千户投诉48.5件、为各类房屋性质最高，且是唯一同比上升的性质（+12.1%）。旧改是破解老小区投诉问题的根本路径。</w:t>
      </w:r>
    </w:p>
    <w:p>
      <w:pPr>
        <w:pStyle w:val="ListBullet"/>
        <w:spacing w:after="40"/>
      </w:pPr>
      <w:r>
        <w:rPr>
          <w:rFonts w:ascii="宋体" w:hAnsi="宋体" w:eastAsia="宋体"/>
          <w:sz w:val="22"/>
        </w:rPr>
        <w:t>治理能力差异巨大，街道是关键变量。街道间投诉强度相差5倍，凌云路、田林、天平路已实现同比下降。业委会可降低投诉23.3%。底部抬升小区2026年1-8月同比-17.4%，降幅大于普通小区的-6.0%。</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420个小区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对200户以下的小型小区开展专项治理，探索"多小区联合管理""区域化物业"模式，摊薄管理成本，提升服务质量。微型小区每千户投诉量（35.6件）是超大型小区（23.0件）的1.5倍，是治理洼地。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车位严重不足 797个 · 待修缮 709个</w:t>
      </w:r>
    </w:p>
    <w:p>
      <w:pPr>
        <w:spacing w:after="60" w:line="324" w:lineRule="auto"/>
      </w:pPr>
      <w:r>
        <w:rPr>
          <w:rFonts w:ascii="宋体" w:hAnsi="宋体" w:eastAsia="宋体"/>
          <w:sz w:val="21"/>
        </w:rPr>
        <w:t>对车位配比0.3以下的小区推动车位挖潜和共享停车（车位充足小区投诉仅为严重不足的29.9%）；对20年以上房龄且无修缮项目的重点小区加快修缮立项（有修缮小区2026年同期同比-12.3%，降幅大于无修缮的-5.2%）；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研究制定分层次物业服务费指导价格，推动1元/㎡以下低收费小区逐步提升至2-3元合理区间（3-5元区间投诉最低）；推广酬金制收费模式，提高物业服务透明度（酬金制投诉比包干制低20.3%）。</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209个小区</w:t>
      </w:r>
    </w:p>
    <w:p>
      <w:pPr>
        <w:spacing w:after="60" w:line="324" w:lineRule="auto"/>
      </w:pPr>
      <w:r>
        <w:rPr>
          <w:rFonts w:ascii="宋体" w:hAnsi="宋体" w:eastAsia="宋体"/>
          <w:sz w:val="21"/>
        </w:rPr>
        <w:t>对40年以上的老小区，结合旧改、成套改造、修缮等政策打组合拳（40年以上小区每千户投诉34.7件，是10年以内新小区的2.2倍）；直管公房每千户投诉48.5件、为各类房屋性质最高（同期同比+12.1%），其治理经验可优先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122个小区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对无业主大会的小区制定组建时间表；加强业委会规范化运作培训；推广"红色业委会"经验，发挥党建引领作用。有业委会小区投诉量比无业主大会小区低23.3%，同比增速低29.1个百分点。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 年 1-8 月投诉总量同比下降 13.1%，但8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近期管理建议：三年累计数据中表现好的部分群体在 2026 年近期出现趋势反转，说明治理红利正在消退。建议部门重点关注上述红色预警维度，启动专项督导。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纳统小区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追踪结果显示：55.6%的小区治理效果显著（2026年1-8月较2025年同期下降超10%），28.5%的小区投诉恶化（上升超10%，其中 58个为“2025年改善但2026年反弹”），15.4%基本稳定。另有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w:t>
      </w:r>
    </w:p>
    <w:p>
      <w:pPr>
        <w:spacing w:after="60" w:line="324" w:lineRule="auto"/>
        <w:ind w:firstLine="440"/>
      </w:pPr>
      <w:r>
        <w:rPr>
          <w:rFonts w:ascii="宋体" w:hAnsi="宋体" w:eastAsia="宋体"/>
          <w:sz w:val="22"/>
        </w:rPr>
        <w:t>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需关注：田林街道2026年趋势转差（+15.2%），虹梅路改善幅度最小。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493件（2025年同期 406件，+21.4%）。该类别在十四类中属逆势上升项，故单独拆出两个排名维度。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124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上海中誉城市运营服务有限公司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上海轻工物业管理有限公司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10</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上海华晅投资管理有限公司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7</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上海抚远物业管理有限公司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1</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4</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上海益镇物业管理有限公司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9</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上海锐翔上房物业管理有限公司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上海汇虹物业管理有限公司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2</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上海万科物业服务有限公司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保利城市建设服务有限公司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2</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绿城物业服务集团有限公司上海分公司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4</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上海中誉城市运营服务有限公司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217个改善小区的成功经验，按问题类型分类提炼。例如"长桥三村东区停车规约改革模式"、"百汇园旧改集中修缮模式"、"松风花园业委会换届模式"，在同类小区中推广。目标：将成功案例从217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2026年1-8月同比；（390个追踪小区合计，非全区）</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趋势反转预警：以下小区在三年数据中表现良好（2025同比改善），但在2026年1-8月出现趋势反转，需重点关注：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近期治理建议：2026年1-8月，390个纳入治理追踪的小区整体降幅 -15.7%（全区口径为-13.1%），但8月单月同比转为上升（+2.8%），治理红利正在消退。建议：(1)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注：pp = 百分点（percentage point），指两个百分数直接相减的差值，而非百分比的百分比。 例：2025年底部抬升同比 -5.5%、全区 -19.9%，差距 =（-5.5）-（-19.9）＝ +14.4pp， 表示底部抬升降幅比全区少14.4个百分点（治理滞后）； 2026年1-8月为（-16.9）-（-13.1）＝ -3.8pp，表示降幅比全区多3.8个百分点（优于全区）。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趋势解读：</w:t>
            </w:r>
          </w:p>
          <w:p>
            <w:pPr>
              <w:spacing w:before="20" w:after="20" w:line="288" w:lineRule="auto"/>
            </w:pPr>
            <w:r>
              <w:rPr>
                <w:rFonts w:ascii="宋体" w:hAnsi="宋体" w:eastAsia="宋体"/>
                <w:sz w:val="20"/>
              </w:rPr>
              <w:t>① 2024年投诉量"前低后高"，11月达峰值546件；</w:t>
            </w:r>
          </w:p>
          <w:p>
            <w:pPr>
              <w:spacing w:before="20" w:after="20" w:line="288" w:lineRule="auto"/>
            </w:pPr>
            <w:r>
              <w:rPr>
                <w:rFonts w:ascii="宋体" w:hAnsi="宋体" w:eastAsia="宋体"/>
                <w:sz w:val="20"/>
              </w:rPr>
              <w:t>② 2025年治理介入后呈"中间高两端低"，3-4月仍高位；</w:t>
            </w:r>
          </w:p>
          <w:p>
            <w:pPr>
              <w:spacing w:before="20" w:after="20" w:line="288" w:lineRule="auto"/>
            </w:pPr>
            <w:r>
              <w:rPr>
                <w:rFonts w:ascii="宋体" w:hAnsi="宋体" w:eastAsia="宋体"/>
                <w:sz w:val="20"/>
              </w:rPr>
              <w:t>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结论：2026年1-8月二类矛盾（35个小区、1,324件、占56.2%）受益于旧改与维修资金推进，同比降幅达-30.5%，已由"硬骨头"转为改善主力；三类矛盾（22个小区、819件）同比+20.3%，是唯一上升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关键判断：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口径说明：本节与全报告一致，采用全量热线工单口径（底部抬升84个重点小区，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核心发现：2026年1-8月底部抬升小区投诉2,354件， 同比2025年1-8月（2,832件）下降16.9%， 降幅大于普通小区（-9.1%），底部抬升专项治理成效优于面上。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注：底部抬升＝党建引领物业治理重点小区名单 84个，其中 78个可在热线数据中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近期管理建议：底部抬升小区整体治理成效优于普通小区 （-16.9% vs -9.1%）， 但华欣家园（+7.9%）、新湖云庭（+228.6%）、尚海湾二期（+89.1%）、华东花苑（+29.5%）逆势恶化，需立即启动专项督导；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一、分类施策精准攻坚</w:t>
            </w:r>
          </w:p>
          <w:p>
            <w:pPr>
              <w:spacing w:before="20" w:after="20" w:line="288" w:lineRule="auto"/>
            </w:pPr>
            <w:r>
              <w:rPr>
                <w:rFonts w:ascii="宋体" w:hAnsi="宋体" w:eastAsia="宋体"/>
                <w:sz w:val="20"/>
              </w:rPr>
              <w:t>一类矛盾：强化物业履约考核，推广"红黑榜"</w:t>
            </w:r>
          </w:p>
          <w:p>
            <w:pPr>
              <w:spacing w:before="20" w:after="20" w:line="288" w:lineRule="auto"/>
            </w:pPr>
            <w:r>
              <w:rPr>
                <w:rFonts w:ascii="宋体" w:hAnsi="宋体" w:eastAsia="宋体"/>
                <w:sz w:val="20"/>
              </w:rPr>
              <w:t>二类矛盾：对接旧改计划，加快维修资金续筹</w:t>
            </w:r>
          </w:p>
          <w:p>
            <w:pPr>
              <w:spacing w:before="20" w:after="20" w:line="288" w:lineRule="auto"/>
            </w:pPr>
            <w:r>
              <w:rPr>
                <w:rFonts w:ascii="宋体" w:hAnsi="宋体" w:eastAsia="宋体"/>
                <w:sz w:val="20"/>
              </w:rPr>
              <w:t>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二、街道间经验复制推广</w:t>
            </w:r>
          </w:p>
          <w:p>
            <w:pPr>
              <w:spacing w:before="20" w:after="20" w:line="288" w:lineRule="auto"/>
            </w:pPr>
            <w:r>
              <w:rPr>
                <w:rFonts w:ascii="宋体" w:hAnsi="宋体" w:eastAsia="宋体"/>
                <w:sz w:val="20"/>
              </w:rPr>
              <w:t>总结凌云路、漕河泾、康健新村的成功经验</w:t>
            </w:r>
          </w:p>
          <w:p>
            <w:pPr>
              <w:spacing w:before="20" w:after="20" w:line="288" w:lineRule="auto"/>
            </w:pPr>
            <w:r>
              <w:rPr>
                <w:rFonts w:ascii="宋体" w:hAnsi="宋体" w:eastAsia="宋体"/>
                <w:sz w:val="20"/>
              </w:rPr>
              <w:t>对虹梅路、龙华等反弹街道开展专项督导</w:t>
            </w:r>
          </w:p>
          <w:p>
            <w:pPr>
              <w:spacing w:before="20" w:after="20" w:line="288" w:lineRule="auto"/>
            </w:pPr>
            <w:r>
              <w:rPr>
                <w:rFonts w:ascii="宋体" w:hAnsi="宋体" w:eastAsia="宋体"/>
                <w:sz w:val="20"/>
              </w:rPr>
              <w:t>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三、重点问题专项突破</w:t>
            </w:r>
          </w:p>
          <w:p>
            <w:pPr>
              <w:spacing w:before="20" w:after="20" w:line="288" w:lineRule="auto"/>
            </w:pPr>
            <w:r>
              <w:rPr>
                <w:rFonts w:ascii="宋体" w:hAnsi="宋体" w:eastAsia="宋体"/>
                <w:sz w:val="20"/>
              </w:rPr>
              <w:t>停车管理：推广"潮汐共享+智能管理"模式</w:t>
            </w:r>
          </w:p>
          <w:p>
            <w:pPr>
              <w:spacing w:before="20" w:after="20" w:line="288" w:lineRule="auto"/>
            </w:pPr>
            <w:r>
              <w:rPr>
                <w:rFonts w:ascii="宋体" w:hAnsi="宋体" w:eastAsia="宋体"/>
                <w:sz w:val="20"/>
              </w:rPr>
              <w:t>邻里纠纷：引入社区调解+心理服务资源</w:t>
            </w:r>
          </w:p>
          <w:p>
            <w:pPr>
              <w:spacing w:before="20" w:after="20" w:line="288" w:lineRule="auto"/>
            </w:pPr>
            <w:r>
              <w:rPr>
                <w:rFonts w:ascii="宋体" w:hAnsi="宋体" w:eastAsia="宋体"/>
                <w:sz w:val="20"/>
              </w:rPr>
              <w:t>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四、建立长效跟踪机制</w:t>
            </w:r>
          </w:p>
          <w:p>
            <w:pPr>
              <w:spacing w:before="20" w:after="20" w:line="288" w:lineRule="auto"/>
            </w:pPr>
            <w:r>
              <w:rPr>
                <w:rFonts w:ascii="宋体" w:hAnsi="宋体" w:eastAsia="宋体"/>
                <w:sz w:val="20"/>
              </w:rPr>
              <w:t>每月监测底部小区投诉量变化</w:t>
            </w:r>
          </w:p>
          <w:p>
            <w:pPr>
              <w:spacing w:before="20" w:after="20" w:line="288" w:lineRule="auto"/>
            </w:pPr>
            <w:r>
              <w:rPr>
                <w:rFonts w:ascii="宋体" w:hAnsi="宋体" w:eastAsia="宋体"/>
                <w:sz w:val="20"/>
              </w:rPr>
              <w:t>季度评估治理成效，动态调整名单</w:t>
            </w:r>
          </w:p>
          <w:p>
            <w:pPr>
              <w:spacing w:before="20" w:after="20" w:line="288" w:lineRule="auto"/>
            </w:pPr>
            <w:r>
              <w:rPr>
                <w:rFonts w:ascii="宋体" w:hAnsi="宋体" w:eastAsia="宋体"/>
                <w:sz w:val="20"/>
              </w:rPr>
              <w:t>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核心矛盾解读：底部抬升小区的物业费与维修资金矛盾呈现三条主线：</w:t>
            </w:r>
          </w:p>
          <w:p>
            <w:pPr>
              <w:spacing w:before="20" w:after="20" w:line="288" w:lineRule="auto"/>
            </w:pPr>
            <w:r>
              <w:rPr>
                <w:rFonts w:ascii="宋体" w:hAnsi="宋体" w:eastAsia="宋体"/>
                <w:sz w:val="20"/>
              </w:rPr>
              <w:t>① 调价程序不透明——茶花园等小区物业未召开业主大会即擅自调价，触发集体维权；</w:t>
            </w:r>
          </w:p>
          <w:p>
            <w:pPr>
              <w:spacing w:before="20" w:after="20" w:line="288" w:lineRule="auto"/>
            </w:pPr>
            <w:r>
              <w:rPr>
                <w:rFonts w:ascii="宋体" w:hAnsi="宋体" w:eastAsia="宋体"/>
                <w:sz w:val="20"/>
              </w:rPr>
              <w:t>② 维修资金"有钱用不了"——华东花苑等老旧小区急需维修但2/3表决门槛过高，资金沉淀与房屋老化并存；</w:t>
            </w:r>
          </w:p>
          <w:p>
            <w:pPr>
              <w:spacing w:before="20" w:after="20" w:line="288" w:lineRule="auto"/>
            </w:pPr>
            <w:r>
              <w:rPr>
                <w:rFonts w:ascii="宋体" w:hAnsi="宋体" w:eastAsia="宋体"/>
                <w:sz w:val="20"/>
              </w:rPr>
              <w:t>③ 物业费与服务不匹配——尚湾区二期等高端小区物业费高但服务缩水，引发"值不值"争议。</w:t>
            </w:r>
          </w:p>
          <w:p>
            <w:pPr>
              <w:spacing w:before="20" w:after="20" w:line="288" w:lineRule="auto"/>
            </w:pPr>
            <w:r>
              <w:rPr>
                <w:rFonts w:ascii="宋体" w:hAnsi="宋体" w:eastAsia="宋体"/>
                <w:sz w:val="20"/>
              </w:rPr>
              <w:t>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持续恶化（+4.4%），是5个专题中唯一同比正增长类别。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总体判断：业委会纠纷类投诉中约28%具有组织化特征（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89.9%集中在2024年10-12月（峰值11月单月119件），为新旧业委会交接和物业选续聘节点。投诉内容高度集中在"业委会暗箱操作""维修基金千万去向不明""物业合同违规签订"等，大量工单使用相似表述。初步判断为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峰值出现在2026年7月（15件），呈持续上升趋势。核心矛盾为业委会运作纠纷和物业选续聘争议。该小区2025年投诉量曾大幅下降（改善小区），2026年出现反弹，与本次组织化投诉直接相关。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隐患真实存在、影响面广（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逐年下降态势。2024年为基期（月均2,456件），2025年月均降至1,968件（-19.9%），2026年1-8月月均1,716件（较2025年同期-13.1%）。8月单月同比+2.8%，今年首次转正，需警惕反弹风险。 投诉量呈现明显的季节性波动：每年2月为全年最低（春节因素），9-11月为全年高峰；2024年9月达到峰值3,070件，此后逐年走低。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核心结论</w:t>
            </w:r>
          </w:p>
          <w:p>
            <w:pPr>
              <w:spacing w:before="20" w:after="20" w:line="288" w:lineRule="auto"/>
            </w:pPr>
            <w:r>
              <w:rPr>
                <w:rFonts w:ascii="宋体" w:hAnsi="宋体" w:eastAsia="宋体"/>
                <w:sz w:val="20"/>
              </w:rPr>
              <w:t>① 2026年1-8月月均投诉量较基期下降30.1%，物业投诉治理取得显著成效；</w:t>
            </w:r>
          </w:p>
          <w:p>
            <w:pPr>
              <w:spacing w:before="20" w:after="20" w:line="288" w:lineRule="auto"/>
            </w:pPr>
            <w:r>
              <w:rPr>
                <w:rFonts w:ascii="宋体" w:hAnsi="宋体" w:eastAsia="宋体"/>
                <w:sz w:val="20"/>
              </w:rPr>
              <w:t>② 季节性特征明显，需在每年Q3提前部署应对高峰；</w:t>
            </w:r>
          </w:p>
          <w:p>
            <w:pPr>
              <w:spacing w:before="20" w:after="20" w:line="288" w:lineRule="auto"/>
            </w:pPr>
            <w:r>
              <w:rPr>
                <w:rFonts w:ascii="宋体" w:hAnsi="宋体" w:eastAsia="宋体"/>
                <w:sz w:val="20"/>
              </w:rPr>
              <w:t>③ 2026年降幅收窄，建议加大底部抬升小区治理、老旧小区修缮、业委会组建等治本措施，巩固治理成果；</w:t>
            </w:r>
          </w:p>
          <w:p>
            <w:pPr>
              <w:spacing w:before="20" w:after="20" w:line="288" w:lineRule="auto"/>
            </w:pPr>
            <w:r>
              <w:rPr>
                <w:rFonts w:ascii="宋体" w:hAnsi="宋体" w:eastAsia="宋体"/>
                <w:sz w:val="20"/>
              </w:rPr>
              <w:t>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件，同比下降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w:t>
            </w:r>
          </w:p>
        </w:tc>
      </w:tr>
      <w:tr>
        <w:tc>
          <w:tcPr>
            <w:tcW w:type="dxa" w:w="4323"/>
            <w:shd w:val="clear" w:fill="F4F6F9"/>
          </w:tcPr>
          <w:p>
            <w:pPr>
              <w:spacing w:before="20" w:after="20"/>
              <w:jc w:val="center"/>
            </w:pPr>
            <w:r/>
            <w:r>
              <w:rPr>
                <w:rFonts w:ascii="宋体" w:hAnsi="宋体" w:eastAsia="宋体"/>
                <w:b w:val="0"/>
                <w:sz w:val="18"/>
              </w:rPr>
              <w:t>工单总量两组数字</w:t>
            </w:r>
          </w:p>
        </w:tc>
        <w:tc>
          <w:tcPr>
            <w:tcW w:type="dxa" w:w="4323"/>
            <w:shd w:val="clear" w:fill="F4F6F9"/>
          </w:tcPr>
          <w:p>
            <w:pPr>
              <w:spacing w:before="20" w:after="20"/>
              <w:jc w:val="center"/>
            </w:pPr>
            <w:r/>
            <w:r>
              <w:rPr>
                <w:rFonts w:ascii="宋体" w:hAnsi="宋体" w:eastAsia="宋体"/>
                <w:b w:val="0"/>
                <w:sz w:val="18"/>
              </w:rPr>
              <w:t>66,812件＝本课题清洗去重后的物业类工单（主口径）；70,748条＝市局三批次原始记录（35,646＋33,005＋2,097）。两者统计范围与处理环节不同，不互相换算（详见第 5 章）</w:t>
            </w:r>
          </w:p>
        </w:tc>
      </w:tr>
      <w:tr>
        <w:tc>
          <w:tcPr>
            <w:tcW w:type="dxa" w:w="4323"/>
          </w:tcPr>
          <w:p>
            <w:pPr>
              <w:spacing w:before="20" w:after="20"/>
              <w:jc w:val="center"/>
            </w:pPr>
            <w:r/>
            <w:r>
              <w:rPr>
                <w:rFonts w:ascii="宋体" w:hAnsi="宋体" w:eastAsia="宋体"/>
                <w:b w:val="0"/>
                <w:sz w:val="18"/>
              </w:rPr>
              <w:t>同期总量两组数字</w:t>
            </w:r>
          </w:p>
        </w:tc>
        <w:tc>
          <w:tcPr>
            <w:tcW w:type="dxa" w:w="4323"/>
          </w:tcPr>
          <w:p>
            <w:pPr>
              <w:spacing w:before="20" w:after="20"/>
              <w:jc w:val="center"/>
            </w:pPr>
            <w:r/>
            <w:r>
              <w:rPr>
                <w:rFonts w:ascii="宋体" w:hAnsi="宋体" w:eastAsia="宋体"/>
                <w:b w:val="0"/>
                <w:sz w:val="18"/>
              </w:rPr>
              <w:t>13,726件＝市局十四类口径（全区与全市对比，第 7、8 章）；13,627件＝课题主数据口径（街镇间对比，第 9 章）</w:t>
            </w:r>
          </w:p>
        </w:tc>
      </w:tr>
      <w:tr>
        <w:tc>
          <w:tcPr>
            <w:tcW w:type="dxa" w:w="4323"/>
            <w:shd w:val="clear" w:fill="F4F6F9"/>
          </w:tcPr>
          <w:p>
            <w:pPr>
              <w:spacing w:before="20" w:after="20"/>
              <w:jc w:val="center"/>
            </w:pPr>
            <w:r/>
            <w:r>
              <w:rPr>
                <w:rFonts w:ascii="宋体" w:hAnsi="宋体" w:eastAsia="宋体"/>
                <w:b w:val="0"/>
                <w:sz w:val="18"/>
              </w:rPr>
              <w:t>底部抬升小区数</w:t>
            </w:r>
          </w:p>
        </w:tc>
        <w:tc>
          <w:tcPr>
            <w:tcW w:type="dxa" w:w="4323"/>
            <w:shd w:val="clear" w:fill="F4F6F9"/>
          </w:tcPr>
          <w:p>
            <w:pPr>
              <w:spacing w:before="20" w:after="20"/>
              <w:jc w:val="center"/>
            </w:pPr>
            <w:r/>
            <w:r>
              <w:rPr>
                <w:rFonts w:ascii="宋体" w:hAnsi="宋体" w:eastAsia="宋体"/>
                <w:b w:val="0"/>
                <w:sz w:val="18"/>
              </w:rPr>
              <w:t>名单 84个；其中关联库匹配 83个（匹配率 98.8%）、在纳统档案内 82个、可匹配到热线数据 78个，各章按用途分别采用</w:t>
            </w:r>
          </w:p>
        </w:tc>
      </w:tr>
      <w:tr>
        <w:tc>
          <w:tcPr>
            <w:tcW w:type="dxa" w:w="4323"/>
          </w:tcPr>
          <w:p>
            <w:pPr>
              <w:spacing w:before="20" w:after="20"/>
              <w:jc w:val="center"/>
            </w:pPr>
            <w:r/>
            <w:r>
              <w:rPr>
                <w:rFonts w:ascii="宋体" w:hAnsi="宋体" w:eastAsia="宋体"/>
                <w:b w:val="0"/>
                <w:sz w:val="18"/>
              </w:rPr>
              <w:t>问题分类</w:t>
            </w:r>
          </w:p>
        </w:tc>
        <w:tc>
          <w:tcPr>
            <w:tcW w:type="dxa" w:w="4323"/>
          </w:tcPr>
          <w:p>
            <w:pPr>
              <w:spacing w:before="20" w:after="20"/>
              <w:jc w:val="center"/>
            </w:pPr>
            <w:r/>
            <w:r>
              <w:rPr>
                <w:rFonts w:ascii="宋体" w:hAnsi="宋体" w:eastAsia="宋体"/>
                <w:b w:val="0"/>
                <w:sz w:val="18"/>
              </w:rPr>
              <w:t>市局十四类标准分类</w:t>
            </w:r>
          </w:p>
        </w:tc>
      </w:tr>
      <w:tr>
        <w:tc>
          <w:tcPr>
            <w:tcW w:type="dxa" w:w="4323"/>
            <w:shd w:val="clear" w:fill="F4F6F9"/>
          </w:tcPr>
          <w:p>
            <w:pPr>
              <w:spacing w:before="20" w:after="20"/>
              <w:jc w:val="center"/>
            </w:pPr>
            <w:r/>
            <w:r>
              <w:rPr>
                <w:rFonts w:ascii="宋体" w:hAnsi="宋体" w:eastAsia="宋体"/>
                <w:b w:val="0"/>
                <w:sz w:val="18"/>
              </w:rPr>
              <w:t>重复投诉判定</w:t>
            </w:r>
          </w:p>
        </w:tc>
        <w:tc>
          <w:tcPr>
            <w:tcW w:type="dxa" w:w="4323"/>
            <w:shd w:val="clear" w:fill="F4F6F9"/>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本项目交付成果分为三类：</w:t>
      </w:r>
    </w:p>
    <w:p>
      <w:pPr>
        <w:spacing w:after="60" w:line="324" w:lineRule="auto"/>
      </w:pPr>
      <w:r>
        <w:rPr>
          <w:rFonts w:ascii="宋体" w:hAnsi="宋体" w:eastAsia="宋体"/>
          <w:sz w:val="22"/>
        </w:rPr>
        <w:t>① 本成果汇编（正文，17 章 + 附录 A—G）：Word 版与 PDF 版各 1 份；</w:t>
      </w:r>
    </w:p>
    <w:p>
      <w:pPr>
        <w:spacing w:after="60" w:line="324" w:lineRule="auto"/>
      </w:pPr>
      <w:r>
        <w:rPr>
          <w:rFonts w:ascii="宋体" w:hAnsi="宋体" w:eastAsia="宋体"/>
          <w:sz w:val="22"/>
        </w:rPr>
        <w:t>② 随附电子附件 4 份；</w:t>
      </w:r>
    </w:p>
    <w:p>
      <w:pPr>
        <w:spacing w:after="60" w:line="324" w:lineRule="auto"/>
      </w:pPr>
      <w:r>
        <w:rPr>
          <w:rFonts w:ascii="宋体" w:hAnsi="宋体" w:eastAsia="宋体"/>
          <w:sz w:val="22"/>
        </w:rPr>
        <w:t>③ 过程成果报告 34 份（月度 19 份、年度 15 份）。</w:t>
      </w:r>
    </w:p>
    <w:p>
      <w:pPr>
        <w:spacing w:after="60" w:line="324" w:lineRule="auto"/>
      </w:pPr>
      <w:r>
        <w:rPr>
          <w:rFonts w:ascii="宋体" w:hAnsi="宋体" w:eastAsia="宋体"/>
          <w:sz w:val="22"/>
        </w:rPr>
        <w:t>全部文件存放于交付物目录，以下逐项列出。汇编 PDF 版由 Word 版直接导出，正文、图表与附录内容一致，目录条目及页码已生成，供打印与分发使用。另有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