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АКТ ОБСЛЕДОВАНИЯ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пожарных гидрантов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${documentNumber}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${documentCreatedAt} г.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город ${city}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НАИМЕНОВАНИЕ ОРГАНИЗАЦИИ, ПРОВОДИВШЕЙ ОБСЛЕДОВАНИЕ: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${organizationName.organizationName}, ${organizationName.BIN}.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ПРЕДСЕДАТЕЛЬ КОМИССИИ: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br/>
        <w:t xml:space="preserve">${chairmanOfCommision.IIN}, ${chairmanOfCommision.name}, ${chairmanOfCommision.jobTitle}, ${chairmanOfCommision.BIN}, ${chairmanOfCommision.organizationName}.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ЧЛЕНЫ КОМИССИИ: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${commisionMembers}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ХАРАКТЕРИСТИКИ И МАРКИРОВКА ПОЖАРНОГО ГИДРАНТА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наименование: ${fireHydrantCharacteristics.name}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изготовителя: ${fireHydrantCharacteristics.manufacturerAddress}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товарный знак изготовителя: ${fireHydrantCharacteristics.manufacturerTrademark}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условное обозначение по системе изготовителя: ${fireHydrantCharacteristics.manufacturerDesignation}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заводской номер: ${fireHydrantCharacteristics.serialNumber}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высота пожарного гидранта: ${fireHydrantCharacteristics.height} мм.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условный проход внутреннего диаметра корпуса: ${fireHydrantCharacteristics.internalDiameterPassage}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 выпуска: ${fireHydrantCharacteristics.manufacturingYear}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УСЛОВИЯ ОБСЛЕДОВАНИЯ: ${inspectionConditions}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ДАННЫЕ О СРЕДСТВАХ ИЗМЕРЕНИЙ И ИСПЫТАТЕЛЬНОМ ОБОРУДОВАНИИ: ${measurementAndTestingEquipment}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РЕЗУЛЬТАТЫ ОБСЛЕДОВАНИЙ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исправность люка и крышки водопроводного колодца, крышек и резьбы ниппеля, верхнего квадрата штанги и корпуса пожарного гидранта: ${coverAndThreadCondition}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работоспособность сливного устройства: ${drainDeviceFunctionality}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наличие воды в корпусе пожарного гидранта и в колодце:  ${waterPresence}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герметичность клапана (задвижки), а также соединений и уплотнений при рабочем давлении: ${valveSeal}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работоспособность пожарного гидранта при установке на него пожарной колонки:  ${hydrantFunctionality}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усилия открытия или закрытия пожарного гидранта:  ${hydrantOperationEffort}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расход воды (водоотдача) в диапазоне давления в водопроводной сети от 0,4 до 0,6 МПа:  ${waterDischarge}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 обследования на водоотдачу:  ${waterInspectionMethod}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Фактическая водоотдача:  ${actualWaterYield} л/с.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Требуемая водоотдача:  ${requiredWaterYield} л/с.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 КОМИССИИ: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${commissionC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onclusion}.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Председатель комиссии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${formattedChairmanOfCommision}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Члены комиссии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${formattedCommisionMembers}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