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РАЗРЕШЕНИЕ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производство огневых работ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${documentNumber}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выдачи ${documentCreatedAt} г.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ОБЪЕКТА: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${objectName.BIN}, ${objectName.objectName}.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ВЫДАН: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${issuedMember.IIN}, ${issuedMember.name}, ${issuedMember.jobTitle}, ${issuedMember.BIN}, ${issuedMember.organizationName}.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РАЗРЕШЕНО ПРОИЗВОДСТВО: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${fireWorksName}, ${location}</w:t>
        <w:br w:type="textWrapping"/>
        <w:br w:type="textWrapping"/>
        <w:t xml:space="preserve">после выполнения следующих мероприятий, обеспечивающих пожарную безопасность работ: ${eventNames}.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РАЗРЕШЕНИЕ ДЕЙСТВИТЕЛЬНО с ${permissionValidFromTime} час. ${permissionValidFromDate} г. до ${permissionValidToTime} час. ${permissionValidToDate} г.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РАЗРЕШЕНИЕ ПРОДЛЕНО с ${extendedFromTime} час. ${extendedFromDate} г. до ${extendedToTime} час. ${extendedToDate} г.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Инструктаж о мерах пожарной безопасности и выполнении предложенных в разрешении мероприятий получил  ${carryOutWorker.IIN}, ${carryOutWorker.name}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инженер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${formattedIssuedMember}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Лицо, проводящее работы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${formattedCarryOutWorker}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