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48"/>
        <w:pBdr/>
        <w:spacing/>
        <w:ind/>
        <w:jc w:val="both"/>
        <w:rPr/>
      </w:pPr>
      <w:r/>
      <w:bookmarkStart w:id="10" w:name="_rrdm0loanvir"/>
      <w:r/>
      <w:bookmarkEnd w:id="10"/>
      <w:r>
        <w:rPr>
          <w:rtl w:val="0"/>
        </w:rPr>
        <w:t xml:space="preserve">Individual Assignment 2: </w:t>
      </w:r>
      <w:r>
        <w:rPr>
          <w:rtl w:val="0"/>
        </w:rPr>
        <w:t xml:space="preserve">Deceptive Visualization</w:t>
      </w:r>
      <w:r/>
    </w:p>
    <w:p>
      <w:pPr>
        <w:pBdr/>
        <w:spacing/>
        <w:ind/>
        <w:jc w:val="both"/>
        <w:rPr>
          <w:b/>
          <w:color w:val="ff0000"/>
        </w:rPr>
      </w:pPr>
      <w:r>
        <w:rPr>
          <w:b/>
          <w:color w:val="ff0000"/>
          <w:rtl w:val="0"/>
        </w:rPr>
        <w:t xml:space="preserve">This is an individual assignment. You cannot work in groups.</w:t>
      </w:r>
      <w:r>
        <w:rPr>
          <w:b/>
          <w:color w:val="ff0000"/>
        </w:rPr>
      </w:r>
      <w:r>
        <w:rPr>
          <w:b/>
          <w:color w:val="ff0000"/>
        </w:rPr>
      </w:r>
    </w:p>
    <w:p>
      <w:pPr>
        <w:pBdr/>
        <w:spacing/>
        <w:ind/>
        <w:jc w:val="both"/>
        <w:rPr/>
      </w:pPr>
      <w:r>
        <w:rPr>
          <w:rtl w:val="0"/>
        </w:rPr>
      </w:r>
      <w:r/>
    </w:p>
    <w:p>
      <w:pPr>
        <w:pBdr/>
        <w:spacing/>
        <w:ind/>
        <w:jc w:val="both"/>
        <w:rPr/>
      </w:pPr>
      <w:r>
        <w:rPr>
          <w:rtl w:val="0"/>
        </w:rPr>
        <w:t xml:space="preserve">As visualizations increasingly play a role in how the general public consumes news and information, it is important to realize how a visualization design may influence what a viewer concludes and remembers about the data.</w:t>
      </w:r>
      <w:r/>
    </w:p>
    <w:p>
      <w:pPr>
        <w:pBdr/>
        <w:spacing/>
        <w:ind/>
        <w:jc w:val="both"/>
        <w:rPr/>
      </w:pPr>
      <w:r>
        <w:rPr>
          <w:rtl w:val="0"/>
        </w:rPr>
      </w:r>
      <w:r/>
    </w:p>
    <w:p>
      <w:pPr>
        <w:pBdr/>
        <w:spacing/>
        <w:ind/>
        <w:jc w:val="both"/>
        <w:rPr/>
      </w:pPr>
      <w:r>
        <w:rPr>
          <w:rtl w:val="0"/>
        </w:rPr>
        <w:t xml:space="preserve">In this assignment, you will design two static visualizations to communicate th</w:t>
      </w:r>
      <w:r>
        <w:rPr>
          <w:rtl w:val="0"/>
        </w:rPr>
        <w:t xml:space="preserve">e data. One design will be an earnest representation of the data, whereas the other will be a deceptive visualization that aims to mislead the viewer. For this second image, the design challenge is to mislead without using obvious distortions or omissions.</w:t>
      </w:r>
      <w:r/>
    </w:p>
    <w:p>
      <w:pPr>
        <w:pStyle w:val="950"/>
        <w:pBdr/>
        <w:spacing/>
        <w:ind/>
        <w:jc w:val="both"/>
        <w:rPr/>
      </w:pPr>
      <w:r/>
      <w:bookmarkStart w:id="11" w:name="_3vjwl098m02"/>
      <w:r/>
      <w:bookmarkEnd w:id="11"/>
      <w:r>
        <w:rPr>
          <w:rtl w:val="0"/>
        </w:rPr>
        <w:t xml:space="preserve">Your Tasks</w:t>
      </w:r>
      <w:r/>
    </w:p>
    <w:p>
      <w:pPr>
        <w:pBdr/>
        <w:spacing/>
        <w:ind w:firstLine="0" w:left="0"/>
        <w:jc w:val="both"/>
        <w:rPr/>
      </w:pPr>
      <w:r>
        <w:rPr>
          <w:rtl w:val="0"/>
        </w:rPr>
        <w:t xml:space="preserve">Your task is to design two static </w:t>
      </w:r>
      <w:r>
        <w:rPr>
          <w:rtl w:val="0"/>
        </w:rPr>
        <w:t xml:space="preserve">(single-image) visualizations of your chosen dataset. One visualization should aim to effectively and earnestly communicate insights about the data, whereas the other visualization design should aim to mislead the viewer into drawing the wrong conclusions.</w:t>
      </w:r>
      <w:r/>
    </w:p>
    <w:p>
      <w:pPr>
        <w:pBdr/>
        <w:spacing/>
        <w:ind/>
        <w:jc w:val="both"/>
        <w:rPr/>
      </w:pPr>
      <w:r>
        <w:rPr>
          <w:rtl w:val="0"/>
        </w:rPr>
      </w:r>
      <w:r/>
    </w:p>
    <w:p>
      <w:pPr>
        <w:pBdr/>
        <w:spacing/>
        <w:ind/>
        <w:jc w:val="both"/>
        <w:rPr/>
      </w:pPr>
      <w:r>
        <w:rPr>
          <w:rtl w:val="0"/>
        </w:rPr>
        <w:t xml:space="preserve">For this assignment, we will consider </w:t>
      </w:r>
      <w:r>
        <w:rPr>
          <w:b/>
          <w:rtl w:val="0"/>
        </w:rPr>
        <w:t xml:space="preserve">an earnest visualization</w:t>
      </w:r>
      <w:r>
        <w:rPr>
          <w:rtl w:val="0"/>
        </w:rPr>
        <w:t xml:space="preserve"> to be one where:</w:t>
      </w:r>
      <w:r/>
    </w:p>
    <w:p>
      <w:pPr>
        <w:numPr>
          <w:ilvl w:val="0"/>
          <w:numId w:val="2"/>
        </w:numPr>
        <w:pBdr/>
        <w:spacing/>
        <w:ind w:hanging="360" w:left="720"/>
        <w:jc w:val="both"/>
        <w:rPr>
          <w:u w:val="none"/>
        </w:rPr>
      </w:pPr>
      <w:r>
        <w:rPr>
          <w:rtl w:val="0"/>
        </w:rPr>
        <w:t xml:space="preserve">The visualization is clear and interpretable by the general population.</w:t>
      </w:r>
      <w:r>
        <w:rPr>
          <w:u w:val="none"/>
        </w:rPr>
      </w:r>
      <w:r>
        <w:rPr>
          <w:u w:val="none"/>
        </w:rPr>
      </w:r>
    </w:p>
    <w:p>
      <w:pPr>
        <w:numPr>
          <w:ilvl w:val="0"/>
          <w:numId w:val="2"/>
        </w:numPr>
        <w:pBdr/>
        <w:spacing/>
        <w:ind w:hanging="360" w:left="720"/>
        <w:jc w:val="both"/>
        <w:rPr>
          <w:u w:val="none"/>
        </w:rPr>
      </w:pPr>
      <w:r>
        <w:rPr>
          <w:rtl w:val="0"/>
        </w:rPr>
        <w:t xml:space="preserve">The visual encodings are appropriate and effective for the intended task.</w:t>
      </w:r>
      <w:r>
        <w:rPr>
          <w:u w:val="none"/>
        </w:rPr>
      </w:r>
      <w:r>
        <w:rPr>
          <w:u w:val="none"/>
        </w:rPr>
      </w:r>
    </w:p>
    <w:p>
      <w:pPr>
        <w:numPr>
          <w:ilvl w:val="0"/>
          <w:numId w:val="2"/>
        </w:numPr>
        <w:pBdr/>
        <w:spacing/>
        <w:ind w:hanging="360" w:left="720"/>
        <w:jc w:val="both"/>
        <w:rPr>
          <w:u w:val="none"/>
        </w:rPr>
      </w:pPr>
      <w:r>
        <w:rPr>
          <w:rtl w:val="0"/>
        </w:rPr>
        <w:t xml:space="preserve">Data transformations are clearly and transparently communicated.</w:t>
      </w:r>
      <w:r>
        <w:rPr>
          <w:u w:val="none"/>
        </w:rPr>
      </w:r>
      <w:r>
        <w:rPr>
          <w:u w:val="none"/>
        </w:rPr>
      </w:r>
    </w:p>
    <w:p>
      <w:pPr>
        <w:numPr>
          <w:ilvl w:val="0"/>
          <w:numId w:val="2"/>
        </w:numPr>
        <w:pBdr/>
        <w:spacing/>
        <w:ind w:hanging="360" w:left="720"/>
        <w:jc w:val="both"/>
        <w:rPr>
          <w:u w:val="none"/>
        </w:rPr>
      </w:pPr>
      <w:r>
        <w:rPr>
          <w:rtl w:val="0"/>
        </w:rPr>
        <w:t xml:space="preserve">The underlying data source (and any potential bias) is clearly communicated.</w:t>
      </w:r>
      <w:r>
        <w:rPr>
          <w:u w:val="none"/>
        </w:rPr>
      </w:r>
      <w:r>
        <w:rPr>
          <w:u w:val="none"/>
        </w:rPr>
      </w:r>
    </w:p>
    <w:p>
      <w:pPr>
        <w:pBdr/>
        <w:spacing/>
        <w:ind/>
        <w:jc w:val="both"/>
        <w:rPr/>
      </w:pPr>
      <w:r>
        <w:rPr>
          <w:rtl w:val="0"/>
        </w:rPr>
      </w:r>
      <w:r/>
    </w:p>
    <w:p>
      <w:pPr>
        <w:pBdr/>
        <w:spacing/>
        <w:ind/>
        <w:jc w:val="both"/>
        <w:rPr/>
      </w:pPr>
      <w:r>
        <w:rPr>
          <w:rtl w:val="0"/>
        </w:rPr>
        <w:t xml:space="preserve">On the other hand,</w:t>
      </w:r>
      <w:r>
        <w:rPr>
          <w:b/>
          <w:rtl w:val="0"/>
        </w:rPr>
        <w:t xml:space="preserve"> a deceptive visualization</w:t>
      </w:r>
      <w:r>
        <w:rPr>
          <w:rtl w:val="0"/>
        </w:rPr>
        <w:t xml:space="preserve"> may exhibit the following properties:</w:t>
      </w:r>
      <w:r/>
    </w:p>
    <w:p>
      <w:pPr>
        <w:numPr>
          <w:ilvl w:val="0"/>
          <w:numId w:val="16"/>
        </w:numPr>
        <w:pBdr/>
        <w:spacing/>
        <w:ind w:hanging="360" w:left="720"/>
        <w:jc w:val="both"/>
        <w:rPr>
          <w:u w:val="none"/>
        </w:rPr>
      </w:pPr>
      <w:r>
        <w:rPr>
          <w:rtl w:val="0"/>
        </w:rPr>
        <w:t xml:space="preserve">The visual representation is intentionally inappropriate or misleading.</w:t>
      </w:r>
      <w:r>
        <w:rPr>
          <w:u w:val="none"/>
        </w:rPr>
      </w:r>
      <w:r>
        <w:rPr>
          <w:u w:val="none"/>
        </w:rPr>
      </w:r>
    </w:p>
    <w:p>
      <w:pPr>
        <w:numPr>
          <w:ilvl w:val="0"/>
          <w:numId w:val="16"/>
        </w:numPr>
        <w:pBdr/>
        <w:spacing/>
        <w:ind w:hanging="360" w:left="720"/>
        <w:jc w:val="both"/>
        <w:rPr>
          <w:u w:val="none"/>
        </w:rPr>
      </w:pPr>
      <w:r>
        <w:rPr>
          <w:rtl w:val="0"/>
        </w:rPr>
        <w:t xml:space="preserve">Titles are skewed to intentionally influence the viewer's perception.</w:t>
      </w:r>
      <w:r>
        <w:rPr>
          <w:u w:val="none"/>
        </w:rPr>
      </w:r>
      <w:r>
        <w:rPr>
          <w:u w:val="none"/>
        </w:rPr>
      </w:r>
    </w:p>
    <w:p>
      <w:pPr>
        <w:numPr>
          <w:ilvl w:val="0"/>
          <w:numId w:val="16"/>
        </w:numPr>
        <w:pBdr/>
        <w:spacing/>
        <w:ind w:hanging="360" w:left="720"/>
        <w:jc w:val="both"/>
        <w:rPr>
          <w:u w:val="none"/>
        </w:rPr>
      </w:pPr>
      <w:r>
        <w:rPr>
          <w:rtl w:val="0"/>
        </w:rPr>
        <w:t xml:space="preserve">The data has been transformed or filtered in an intentionally misleading way.</w:t>
      </w:r>
      <w:r>
        <w:rPr>
          <w:u w:val="none"/>
        </w:rPr>
      </w:r>
      <w:r>
        <w:rPr>
          <w:u w:val="none"/>
        </w:rPr>
      </w:r>
    </w:p>
    <w:p>
      <w:pPr>
        <w:numPr>
          <w:ilvl w:val="0"/>
          <w:numId w:val="16"/>
        </w:numPr>
        <w:pBdr/>
        <w:spacing/>
        <w:ind w:hanging="360" w:left="720"/>
        <w:jc w:val="both"/>
        <w:rPr>
          <w:u w:val="none"/>
        </w:rPr>
      </w:pPr>
      <w:r>
        <w:rPr>
          <w:rtl w:val="0"/>
        </w:rPr>
        <w:t xml:space="preserve">The existence or source of bias in the underlying data is unclear.</w:t>
      </w:r>
      <w:r>
        <w:rPr>
          <w:u w:val="none"/>
        </w:rPr>
      </w:r>
      <w:r>
        <w:rPr>
          <w:u w:val="none"/>
        </w:rPr>
      </w:r>
    </w:p>
    <w:p>
      <w:pPr>
        <w:pBdr/>
        <w:spacing/>
        <w:ind/>
        <w:jc w:val="both"/>
        <w:rPr/>
      </w:pPr>
      <w:r>
        <w:rPr>
          <w:rtl w:val="0"/>
        </w:rPr>
      </w:r>
      <w:r/>
    </w:p>
    <w:p>
      <w:pPr>
        <w:pBdr/>
        <w:spacing/>
        <w:ind/>
        <w:jc w:val="both"/>
        <w:rPr/>
      </w:pPr>
      <w:r>
        <w:rPr>
          <w:rtl w:val="0"/>
        </w:rPr>
        <w:t xml:space="preserve">For the </w:t>
      </w:r>
      <w:r>
        <w:rPr>
          <w:b/>
          <w:rtl w:val="0"/>
        </w:rPr>
        <w:t xml:space="preserve">earnest visualization</w:t>
      </w:r>
      <w:r>
        <w:rPr>
          <w:rtl w:val="0"/>
        </w:rPr>
        <w:t xml:space="preserve">, your go</w:t>
      </w:r>
      <w:r>
        <w:rPr>
          <w:rtl w:val="0"/>
        </w:rPr>
        <w:t xml:space="preserve">al is to be as clear and transparent as possible to help viewers answer your intended question. For the deceptive visualization, your goal is to trick the viewer (including the course staff!) into believing that the visualization is legitimate and earnest.</w:t>
      </w:r>
      <w:r>
        <w:rPr>
          <w:b/>
          <w:rtl w:val="0"/>
        </w:rPr>
        <w:t xml:space="preserve"> It should not be immediately obvious which visualization is trying to be deceptive. </w:t>
      </w:r>
      <w:r>
        <w:rPr>
          <w:rtl w:val="0"/>
        </w:rPr>
        <w:t xml:space="preserve">Subtle, ineffective choices in the design should require close and careful reading to be identified.</w:t>
      </w:r>
      <w:r/>
    </w:p>
    <w:p>
      <w:pPr>
        <w:pBdr/>
        <w:spacing/>
        <w:ind/>
        <w:jc w:val="both"/>
        <w:rPr/>
      </w:pPr>
      <w:r>
        <w:rPr>
          <w:rtl w:val="0"/>
        </w:rPr>
      </w:r>
      <w:r/>
    </w:p>
    <w:p>
      <w:pPr>
        <w:pBdr/>
        <w:spacing/>
        <w:ind/>
        <w:jc w:val="both"/>
        <w:rPr/>
      </w:pPr>
      <w:r>
        <w:rPr>
          <w:rtl w:val="0"/>
        </w:rPr>
        <w:t xml:space="preserve">For the </w:t>
      </w:r>
      <w:r>
        <w:rPr>
          <w:b/>
          <w:rtl w:val="0"/>
        </w:rPr>
        <w:t xml:space="preserve">deceptive visualization</w:t>
      </w:r>
      <w:r>
        <w:rPr>
          <w:rtl w:val="0"/>
        </w:rPr>
        <w:t xml:space="preserve">, misleading strategies are fine, but outright lying is not. For example, sketchy, unreliable, or untrustworthy input datasets are discouraged, </w:t>
      </w:r>
      <w:r>
        <w:rPr>
          <w:rtl w:val="0"/>
        </w:rPr>
        <w:t xml:space="preserve">but misleading omission, filtering, or transformation of trustworthy data records is fine. Deliberate lies in the title, axes, labels, or annotations are discouraged, but technically true/relevant but otherwise misleading text in the visualization is fine.</w:t>
      </w:r>
      <w:r/>
    </w:p>
    <w:p>
      <w:pPr>
        <w:pBdr/>
        <w:spacing/>
        <w:ind/>
        <w:jc w:val="both"/>
        <w:rPr/>
      </w:pPr>
      <w:r/>
      <w:r/>
      <w:r/>
    </w:p>
    <w:p>
      <w:pPr>
        <w:pBdr/>
        <w:spacing/>
        <w:ind/>
        <w:jc w:val="both"/>
        <w:rPr/>
      </w:pPr>
      <w:r>
        <w:rPr>
          <w:rtl w:val="0"/>
        </w:rPr>
      </w:r>
      <w:r/>
    </w:p>
    <w:p>
      <w:pPr>
        <w:pBdr/>
        <w:spacing/>
        <w:ind/>
        <w:jc w:val="both"/>
        <w:rPr>
          <w:b/>
        </w:rPr>
      </w:pPr>
      <w:r>
        <w:rPr>
          <w:b/>
          <w:rtl w:val="0"/>
        </w:rPr>
        <w:t xml:space="preserve">Resources</w:t>
      </w:r>
      <w:r>
        <w:rPr>
          <w:b/>
        </w:rPr>
      </w:r>
      <w:r>
        <w:rPr>
          <w:b/>
        </w:rPr>
      </w:r>
    </w:p>
    <w:p>
      <w:pPr>
        <w:numPr>
          <w:ilvl w:val="0"/>
          <w:numId w:val="28"/>
        </w:numPr>
        <w:pBdr/>
        <w:spacing/>
        <w:ind w:hanging="360" w:left="720"/>
        <w:rPr>
          <w:u w:val="none"/>
        </w:rPr>
      </w:pPr>
      <w:r>
        <w:rPr>
          <w:rtl w:val="0"/>
        </w:rPr>
        <w:t xml:space="preserve">How Deceptive are Deceptive Visualizations?: An Empirical Analysis of Common Distortion Techniques </w:t>
      </w:r>
      <w:hyperlink r:id="rId9" w:tooltip="https://www.youtube.com/watch?v=y24Nn7_y7s4" w:history="1">
        <w:r>
          <w:rPr>
            <w:color w:val="1155cc"/>
            <w:u w:val="single"/>
            <w:rtl w:val="0"/>
          </w:rPr>
          <w:t xml:space="preserve">https://www.youtube.com/watch?v=y24Nn7_y7s4</w:t>
        </w:r>
      </w:hyperlink>
      <w:r>
        <w:rPr>
          <w:u w:val="none"/>
        </w:rPr>
      </w:r>
      <w:r>
        <w:rPr>
          <w:u w:val="none"/>
        </w:rPr>
      </w:r>
    </w:p>
    <w:p>
      <w:pPr>
        <w:numPr>
          <w:ilvl w:val="0"/>
          <w:numId w:val="28"/>
        </w:numPr>
        <w:pBdr/>
        <w:spacing/>
        <w:ind w:hanging="360" w:left="720"/>
        <w:rPr>
          <w:u w:val="none"/>
        </w:rPr>
      </w:pPr>
      <w:r>
        <w:rPr>
          <w:rtl w:val="0"/>
        </w:rPr>
        <w:t xml:space="preserve">Misleading Beyond Visual Tricks: How People Actually Lie with Charts </w:t>
      </w:r>
      <w:hyperlink r:id="rId10" w:tooltip="https://www.youtube.com/watch?v=4DhBAYvDnzk" w:history="1">
        <w:r>
          <w:rPr>
            <w:color w:val="1155cc"/>
            <w:u w:val="single"/>
            <w:rtl w:val="0"/>
          </w:rPr>
          <w:t xml:space="preserve">https://www.youtube.com/watch?v=4DhBAYvDnzk</w:t>
        </w:r>
      </w:hyperlink>
      <w:r>
        <w:rPr>
          <w:rtl w:val="0"/>
        </w:rPr>
        <w:t xml:space="preserve"> </w:t>
      </w:r>
      <w:r>
        <w:rPr>
          <w:u w:val="none"/>
        </w:rPr>
      </w:r>
      <w:r>
        <w:rPr>
          <w:u w:val="none"/>
        </w:rPr>
      </w:r>
    </w:p>
    <w:p>
      <w:pPr>
        <w:pStyle w:val="950"/>
        <w:pBdr/>
        <w:spacing/>
        <w:ind/>
        <w:jc w:val="both"/>
        <w:rPr/>
      </w:pPr>
      <w:r/>
      <w:bookmarkStart w:id="12" w:name="_a8wde0tpjr0p"/>
      <w:r/>
      <w:bookmarkEnd w:id="12"/>
      <w:r>
        <w:rPr>
          <w:rtl w:val="0"/>
        </w:rPr>
        <w:t xml:space="preserve">Submission</w:t>
      </w:r>
      <w:r/>
    </w:p>
    <w:p>
      <w:pPr>
        <w:pBdr/>
        <w:spacing/>
        <w:ind/>
        <w:jc w:val="both"/>
        <w:rPr/>
      </w:pPr>
      <w:r>
        <w:rPr>
          <w:rtl w:val="0"/>
        </w:rPr>
        <w:t xml:space="preserve">For both visualization designs, start by choosing a question you would like to answer. Design your visualization to answer that question either correctly (for the earnest visualization) </w:t>
      </w:r>
      <w:r>
        <w:rPr>
          <w:rtl w:val="0"/>
        </w:rPr>
        <w:t xml:space="preserve">or incorrectly (for the deceptive visualization). You may choose to address a different question with each visualization. Be sure to document the question as part of the visualization design (e.g., title, subtitle, or caption) and your assignment write-up.</w:t>
      </w:r>
      <w:r/>
    </w:p>
    <w:p>
      <w:pPr>
        <w:pBdr/>
        <w:spacing/>
        <w:ind/>
        <w:jc w:val="both"/>
        <w:rPr/>
      </w:pPr>
      <w:r>
        <w:rPr>
          <w:rtl w:val="0"/>
        </w:rPr>
      </w:r>
      <w:r/>
    </w:p>
    <w:p>
      <w:pPr>
        <w:pBdr/>
        <w:spacing/>
        <w:ind/>
        <w:jc w:val="both"/>
        <w:rPr>
          <w:b/>
        </w:rPr>
      </w:pPr>
      <w:r>
        <w:rPr>
          <w:rtl w:val="0"/>
        </w:rPr>
        <w:t xml:space="preserve">Your submission must include </w:t>
      </w:r>
      <w:r>
        <w:rPr>
          <w:b/>
          <w:rtl w:val="0"/>
        </w:rPr>
        <w:t xml:space="preserve">a PDF write-up</w:t>
      </w:r>
      <w:r>
        <w:rPr>
          <w:rtl w:val="0"/>
        </w:rPr>
        <w:t xml:space="preserve"> containing the following:</w:t>
      </w:r>
      <w:r>
        <w:rPr>
          <w:b/>
        </w:rPr>
      </w:r>
      <w:r>
        <w:rPr>
          <w:b/>
        </w:rPr>
      </w:r>
    </w:p>
    <w:p>
      <w:pPr>
        <w:numPr>
          <w:ilvl w:val="0"/>
          <w:numId w:val="11"/>
        </w:numPr>
        <w:pBdr/>
        <w:spacing/>
        <w:ind w:hanging="360" w:left="720"/>
        <w:jc w:val="both"/>
        <w:rPr>
          <w:u w:val="none"/>
        </w:rPr>
      </w:pPr>
      <w:r>
        <w:rPr>
          <w:b/>
          <w:rtl w:val="0"/>
        </w:rPr>
        <w:t xml:space="preserve">Dataset Description:</w:t>
      </w:r>
      <w:r>
        <w:rPr>
          <w:rtl w:val="0"/>
        </w:rPr>
        <w:t xml:space="preserve"> A brief description of the dataset used, along with a link to the data source.</w:t>
      </w:r>
      <w:r>
        <w:rPr>
          <w:u w:val="none"/>
        </w:rPr>
      </w:r>
      <w:r>
        <w:rPr>
          <w:u w:val="none"/>
        </w:rPr>
      </w:r>
    </w:p>
    <w:p>
      <w:pPr>
        <w:numPr>
          <w:ilvl w:val="0"/>
          <w:numId w:val="11"/>
        </w:numPr>
        <w:pBdr/>
        <w:spacing/>
        <w:ind w:hanging="360" w:left="720"/>
        <w:jc w:val="both"/>
        <w:rPr>
          <w:u w:val="none"/>
        </w:rPr>
      </w:pPr>
      <w:r>
        <w:rPr>
          <w:b/>
          <w:rtl w:val="0"/>
        </w:rPr>
        <w:t xml:space="preserve">Data Question(s): </w:t>
      </w:r>
      <w:r>
        <w:rPr>
          <w:rtl w:val="0"/>
        </w:rPr>
        <w:t xml:space="preserve">The specific question that each visualization aims to answer.</w:t>
      </w:r>
      <w:r>
        <w:rPr>
          <w:u w:val="none"/>
        </w:rPr>
      </w:r>
      <w:r>
        <w:rPr>
          <w:u w:val="none"/>
        </w:rPr>
      </w:r>
    </w:p>
    <w:p>
      <w:pPr>
        <w:numPr>
          <w:ilvl w:val="0"/>
          <w:numId w:val="11"/>
        </w:numPr>
        <w:pBdr/>
        <w:spacing/>
        <w:ind w:hanging="360" w:left="720"/>
        <w:jc w:val="both"/>
        <w:rPr>
          <w:u w:val="none"/>
        </w:rPr>
      </w:pPr>
      <w:r>
        <w:rPr>
          <w:b/>
          <w:rtl w:val="0"/>
        </w:rPr>
        <w:t xml:space="preserve">Visualization Figures and Rationale: </w:t>
      </w:r>
      <w:r>
        <w:rPr>
          <w:rtl w:val="0"/>
        </w:rPr>
        <w:t xml:space="preserve">The earnest and deceptive visualizations, each accompanied by a 1-2 paragraph explanation of your design rationale and important considerations.</w:t>
      </w:r>
      <w:r>
        <w:rPr>
          <w:u w:val="none"/>
        </w:rPr>
      </w:r>
      <w:r>
        <w:rPr>
          <w:u w:val="none"/>
        </w:rPr>
      </w:r>
    </w:p>
    <w:p>
      <w:pPr>
        <w:pStyle w:val="950"/>
        <w:pBdr/>
        <w:spacing/>
        <w:ind/>
        <w:jc w:val="both"/>
        <w:rPr/>
      </w:pPr>
      <w:r/>
      <w:bookmarkStart w:id="13" w:name="_pr9upkdlmr6c"/>
      <w:r/>
      <w:bookmarkEnd w:id="13"/>
      <w:r>
        <w:rPr>
          <w:rtl w:val="0"/>
        </w:rPr>
        <w:t xml:space="preserve">Possible Datasets</w:t>
      </w:r>
      <w:r/>
    </w:p>
    <w:p>
      <w:pPr>
        <w:pBdr/>
        <w:spacing/>
        <w:ind/>
        <w:jc w:val="both"/>
        <w:rPr/>
      </w:pPr>
      <w:r>
        <w:rPr>
          <w:rtl w:val="0"/>
        </w:rPr>
        <w:t xml:space="preserve">You may reuse the dataset from Assignment 1 or select a new dataset of your own choosing. </w:t>
      </w:r>
      <w:r>
        <w:rPr>
          <w:b/>
          <w:rtl w:val="0"/>
        </w:rPr>
        <w:t xml:space="preserve">You must use the same dataset for both the earnest and deceptive visualizations.</w:t>
      </w:r>
      <w:r>
        <w:rPr>
          <w:rtl w:val="0"/>
        </w:rPr>
        <w:t xml:space="preserve"> However, you are free to transform the data differently or address different questions in each design.</w:t>
      </w:r>
      <w:r/>
    </w:p>
    <w:p>
      <w:pPr>
        <w:pBdr/>
        <w:spacing/>
        <w:ind/>
        <w:jc w:val="both"/>
        <w:rPr/>
      </w:pPr>
      <w:r>
        <w:rPr>
          <w:rtl w:val="0"/>
        </w:rPr>
      </w:r>
      <w:r/>
    </w:p>
    <w:p>
      <w:pPr>
        <w:pBdr/>
        <w:spacing/>
        <w:ind/>
        <w:jc w:val="both"/>
        <w:rPr/>
      </w:pPr>
      <w:r>
        <w:rPr>
          <w:rtl w:val="0"/>
        </w:rPr>
        <w:t xml:space="preserve">To help you get started quickly, we also recommend considering one of the provided datasets or suggested sources.</w:t>
      </w:r>
      <w:r/>
    </w:p>
    <w:p>
      <w:pPr>
        <w:numPr>
          <w:ilvl w:val="0"/>
          <w:numId w:val="7"/>
        </w:numPr>
        <w:pBdr/>
        <w:spacing/>
        <w:ind w:hanging="360" w:left="720"/>
        <w:jc w:val="both"/>
        <w:rPr>
          <w:u w:val="none"/>
        </w:rPr>
      </w:pPr>
      <w:r>
        <w:rPr>
          <w:b/>
          <w:rtl w:val="0"/>
        </w:rPr>
        <w:t xml:space="preserve">The World Bank Data:</w:t>
      </w:r>
      <w:r>
        <w:rPr>
          <w:rtl w:val="0"/>
        </w:rPr>
        <w:t xml:space="preserve"> The World Bank has tracked global human development by indicators such as climate change, economy, education, environment, gender equality, health, and science and technology since 1960. You can browse the data </w:t>
      </w:r>
      <w:hyperlink r:id="rId11" w:tooltip="https://data.worldbank.org/indicator" w:history="1">
        <w:r>
          <w:rPr>
            <w:color w:val="1155cc"/>
            <w:u w:val="single"/>
            <w:rtl w:val="0"/>
          </w:rPr>
          <w:t xml:space="preserve">by indicators</w:t>
        </w:r>
      </w:hyperlink>
      <w:r>
        <w:rPr>
          <w:rtl w:val="0"/>
        </w:rPr>
        <w:t xml:space="preserve"> or </w:t>
      </w:r>
      <w:hyperlink r:id="rId12" w:tooltip="https://data.worldbank.org/country" w:history="1">
        <w:r>
          <w:rPr>
            <w:color w:val="1155cc"/>
            <w:u w:val="single"/>
            <w:rtl w:val="0"/>
          </w:rPr>
          <w:t xml:space="preserve">by countries</w:t>
        </w:r>
      </w:hyperlink>
      <w:r>
        <w:rPr>
          <w:rtl w:val="0"/>
        </w:rPr>
        <w:t xml:space="preserve">.</w:t>
      </w:r>
      <w:r>
        <w:rPr>
          <w:u w:val="none"/>
        </w:rPr>
      </w:r>
      <w:r>
        <w:rPr>
          <w:u w:val="none"/>
        </w:rPr>
      </w:r>
    </w:p>
    <w:p>
      <w:pPr>
        <w:numPr>
          <w:ilvl w:val="0"/>
          <w:numId w:val="7"/>
        </w:numPr>
        <w:pBdr/>
        <w:spacing/>
        <w:ind w:hanging="360" w:left="720"/>
        <w:jc w:val="both"/>
        <w:rPr>
          <w:u w:val="none"/>
        </w:rPr>
      </w:pPr>
      <w:r>
        <w:rPr>
          <w:b/>
          <w:rtl w:val="0"/>
        </w:rPr>
        <w:t xml:space="preserve">Climate Change Indicators:</w:t>
      </w:r>
      <w:r>
        <w:rPr>
          <w:rtl w:val="0"/>
        </w:rPr>
        <w:t xml:space="preserve"> The International Monetary </w:t>
      </w:r>
      <w:r>
        <w:rPr>
          <w:rtl w:val="0"/>
        </w:rPr>
        <w:t xml:space="preserve">Fund (IMF) tracks a number of metrics related to climate change, including greenhouse gas emissions, strategies for mitigating or adapting to the impacts of climate change, transitioning to a low-carbon economy, climate finance, and the impact on weather. </w:t>
      </w:r>
      <w:hyperlink r:id="rId13" w:tooltip="https://climatedata.imf.org/" w:history="1">
        <w:r>
          <w:rPr>
            <w:color w:val="1155cc"/>
            <w:u w:val="single"/>
            <w:rtl w:val="0"/>
          </w:rPr>
          <w:t xml:space="preserve">Data Source</w:t>
        </w:r>
      </w:hyperlink>
      <w:r>
        <w:rPr>
          <w:u w:val="none"/>
        </w:rPr>
      </w:r>
      <w:r>
        <w:rPr>
          <w:u w:val="none"/>
        </w:rPr>
      </w:r>
    </w:p>
    <w:p>
      <w:pPr>
        <w:numPr>
          <w:ilvl w:val="0"/>
          <w:numId w:val="7"/>
        </w:numPr>
        <w:pBdr/>
        <w:spacing/>
        <w:ind w:hanging="360" w:left="720"/>
        <w:jc w:val="both"/>
        <w:rPr>
          <w:u w:val="none"/>
        </w:rPr>
      </w:pPr>
      <w:r>
        <w:rPr>
          <w:b/>
          <w:rtl w:val="0"/>
        </w:rPr>
        <w:t xml:space="preserve">Greenhouse Gas Emissions:</w:t>
      </w:r>
      <w:r>
        <w:rPr>
          <w:rtl w:val="0"/>
        </w:rPr>
        <w:t xml:space="preserve"> The O</w:t>
      </w:r>
      <w:r>
        <w:rPr>
          <w:rtl w:val="0"/>
        </w:rPr>
        <w:t xml:space="preserve">rganization for Economic Co-operation and Development (OECD) has compiled data for the emissions of all participating countries, broken out by the pollutant (e.g., carbon monoxide, methane, etc.) and by different sources (e.g., energy, agriculture, etc.). </w:t>
      </w:r>
      <w:hyperlink r:id="rId14" w:tooltip="https://data-explorer.oecd.org/vis?df%5Bds%5D=DisseminateFinalDMZ&amp;df%5Bid%5D=DSD_AIR_GHG@DF_AIR_GHG&amp;df%5Bag%5D=OECD.ENV.EPI" w:history="1">
        <w:r>
          <w:rPr>
            <w:color w:val="1155cc"/>
            <w:u w:val="single"/>
            <w:rtl w:val="0"/>
          </w:rPr>
          <w:t xml:space="preserve">Data Source</w:t>
        </w:r>
      </w:hyperlink>
      <w:r>
        <w:rPr>
          <w:u w:val="none"/>
        </w:rPr>
      </w:r>
      <w:r>
        <w:rPr>
          <w:u w:val="none"/>
        </w:rPr>
      </w:r>
    </w:p>
    <w:p>
      <w:pPr>
        <w:numPr>
          <w:ilvl w:val="0"/>
          <w:numId w:val="7"/>
        </w:numPr>
        <w:pBdr/>
        <w:spacing/>
        <w:ind w:hanging="360" w:left="720"/>
        <w:jc w:val="both"/>
        <w:rPr>
          <w:b/>
        </w:rPr>
      </w:pPr>
      <w:r>
        <w:rPr>
          <w:b/>
          <w:rtl w:val="0"/>
        </w:rPr>
        <w:t xml:space="preserve">Civilian Complaints Against New York City Police Officers:</w:t>
      </w:r>
      <w:r>
        <w:rPr>
          <w:rtl w:val="0"/>
        </w:rPr>
        <w:t xml:space="preserve"> ProPublica, an independe</w:t>
      </w:r>
      <w:r>
        <w:rPr>
          <w:rtl w:val="0"/>
        </w:rPr>
        <w:t xml:space="preserve">nt, nonprofit investigative journalism newsroom, provides more than 12,000 civilian complaints filed against the NYPD, with demographic information about the complainant and officer, the category of the alleged misconduct, and the result of the complaint. </w:t>
      </w:r>
      <w:hyperlink r:id="rId15" w:tooltip="https://projects.propublica.org/datastore/#civilian-complaints-against-new-york-city-police-officers" w:history="1">
        <w:r>
          <w:rPr>
            <w:color w:val="1155cc"/>
            <w:u w:val="single"/>
            <w:rtl w:val="0"/>
          </w:rPr>
          <w:t xml:space="preserve">Data Source</w:t>
        </w:r>
      </w:hyperlink>
      <w:r>
        <w:rPr>
          <w:b/>
        </w:rPr>
      </w:r>
      <w:r>
        <w:rPr>
          <w:b/>
        </w:rPr>
      </w:r>
    </w:p>
    <w:p>
      <w:pPr>
        <w:numPr>
          <w:ilvl w:val="0"/>
          <w:numId w:val="7"/>
        </w:numPr>
        <w:pBdr/>
        <w:spacing/>
        <w:ind w:hanging="360" w:left="720"/>
        <w:jc w:val="both"/>
        <w:rPr>
          <w:u w:val="none"/>
        </w:rPr>
      </w:pPr>
      <w:r>
        <w:rPr>
          <w:b/>
          <w:rtl w:val="0"/>
        </w:rPr>
        <w:t xml:space="preserve">DEA Pain Pills Database:</w:t>
      </w:r>
      <w:r>
        <w:rPr>
          <w:rtl w:val="0"/>
        </w:rPr>
        <w:t xml:space="preserve"> The Washi</w:t>
      </w:r>
      <w:r>
        <w:rPr>
          <w:rtl w:val="0"/>
        </w:rPr>
        <w:t xml:space="preserve">ngton Post has published a significant portion of a database maintained by the Drug Enforcement Administration (DEA) that tracks every opioid from its manufacturer, through to distributors, and into pharmacies in towns and cities across the United States. </w:t>
      </w:r>
      <w:hyperlink r:id="rId16" w:tooltip="https://www.washingtonpost.com/national/2019/07/18/how-download-use-dea-pain-pills-database/?arc404=true" w:history="1">
        <w:r>
          <w:rPr>
            <w:color w:val="1155cc"/>
            <w:u w:val="single"/>
            <w:rtl w:val="0"/>
          </w:rPr>
          <w:t xml:space="preserve">Data Source</w:t>
        </w:r>
      </w:hyperlink>
      <w:r>
        <w:rPr>
          <w:u w:val="none"/>
        </w:rPr>
      </w:r>
      <w:r>
        <w:rPr>
          <w:u w:val="none"/>
        </w:rPr>
      </w:r>
    </w:p>
    <w:p>
      <w:pPr>
        <w:numPr>
          <w:ilvl w:val="0"/>
          <w:numId w:val="7"/>
        </w:numPr>
        <w:pBdr/>
        <w:spacing/>
        <w:ind w:hanging="360" w:left="720"/>
        <w:jc w:val="both"/>
        <w:rPr>
          <w:u w:val="none"/>
        </w:rPr>
      </w:pPr>
      <w:r>
        <w:rPr>
          <w:b/>
          <w:rtl w:val="0"/>
        </w:rPr>
        <w:t xml:space="preserve">Abortion Data by U.S. State:</w:t>
      </w:r>
      <w:r>
        <w:rPr>
          <w:rtl w:val="0"/>
        </w:rPr>
        <w:t xml:space="preserve"> The Guttmacher Institute is a research and policy organization committed t</w:t>
      </w:r>
      <w:r>
        <w:rPr>
          <w:rtl w:val="0"/>
        </w:rPr>
        <w:t xml:space="preserve">o advancing sexual and reproductive health and rights. They maintain a variety of global data related to global reproductive rights. This data set contains data about abortion rates, abortion providers, and abortion seekers, aggregated to the state level. </w:t>
      </w:r>
      <w:hyperlink r:id="rId17" w:tooltip="https://vis-society.github.io/assignments/GuttmacherInstituteAbortionDataByState.xlsx" w:history="1">
        <w:r>
          <w:rPr>
            <w:color w:val="1155cc"/>
            <w:u w:val="single"/>
            <w:rtl w:val="0"/>
          </w:rPr>
          <w:t xml:space="preserve">Excel Data File</w:t>
        </w:r>
      </w:hyperlink>
      <w:r>
        <w:rPr>
          <w:u w:val="none"/>
        </w:rPr>
      </w:r>
      <w:r>
        <w:rPr>
          <w:u w:val="none"/>
        </w:rPr>
      </w:r>
    </w:p>
    <w:sectPr>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lvl w:ilvl="0">
      <w:isLgl w:val="false"/>
      <w:lvlJc w:val="left"/>
      <w:lvlText w:val="%1."/>
      <w:numFmt w:val="decimal"/>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de"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Table Grid"/>
    <w:basedOn w:val="7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Table Grid Light"/>
    <w:basedOn w:val="7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1"/>
    <w:basedOn w:val="7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2"/>
    <w:basedOn w:val="7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3"/>
    <w:basedOn w:val="7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4"/>
    <w:basedOn w:val="7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5"/>
    <w:basedOn w:val="7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w:basedOn w:val="7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1"/>
    <w:basedOn w:val="7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2"/>
    <w:basedOn w:val="7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3"/>
    <w:basedOn w:val="7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4"/>
    <w:basedOn w:val="7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5"/>
    <w:basedOn w:val="7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6"/>
    <w:basedOn w:val="7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w:basedOn w:val="7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1"/>
    <w:basedOn w:val="7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2"/>
    <w:basedOn w:val="7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3"/>
    <w:basedOn w:val="7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4"/>
    <w:basedOn w:val="7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5"/>
    <w:basedOn w:val="7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6"/>
    <w:basedOn w:val="7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w:basedOn w:val="7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1"/>
    <w:basedOn w:val="7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2"/>
    <w:basedOn w:val="7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3"/>
    <w:basedOn w:val="7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4"/>
    <w:basedOn w:val="7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5"/>
    <w:basedOn w:val="7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6"/>
    <w:basedOn w:val="7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w:basedOn w:val="7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1"/>
    <w:basedOn w:val="7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2"/>
    <w:basedOn w:val="7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3"/>
    <w:basedOn w:val="7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4"/>
    <w:basedOn w:val="7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5"/>
    <w:basedOn w:val="7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6"/>
    <w:basedOn w:val="7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Accent 1"/>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2"/>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3"/>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Accent 4"/>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5"/>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6"/>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6 Colorful"/>
    <w:basedOn w:val="7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9">
    <w:name w:val="Grid Table 6 Colorful - Accent 1"/>
    <w:basedOn w:val="7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0">
    <w:name w:val="Grid Table 6 Colorful - Accent 2"/>
    <w:basedOn w:val="7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1">
    <w:name w:val="Grid Table 6 Colorful - Accent 3"/>
    <w:basedOn w:val="7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2">
    <w:name w:val="Grid Table 6 Colorful - Accent 4"/>
    <w:basedOn w:val="7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3">
    <w:name w:val="Grid Table 6 Colorful - Accent 5"/>
    <w:basedOn w:val="7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4">
    <w:name w:val="Grid Table 6 Colorful - Accent 6"/>
    <w:basedOn w:val="7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5">
    <w:name w:val="Grid Table 7 Colorful"/>
    <w:basedOn w:val="7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1"/>
    <w:basedOn w:val="7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2"/>
    <w:basedOn w:val="7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3"/>
    <w:basedOn w:val="7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4"/>
    <w:basedOn w:val="7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5"/>
    <w:basedOn w:val="7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6"/>
    <w:basedOn w:val="7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1"/>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2"/>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3"/>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4"/>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5"/>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6"/>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w:basedOn w:val="7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1"/>
    <w:basedOn w:val="7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2"/>
    <w:basedOn w:val="7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3"/>
    <w:basedOn w:val="7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4"/>
    <w:basedOn w:val="7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5"/>
    <w:basedOn w:val="7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6"/>
    <w:basedOn w:val="7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w:basedOn w:val="7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1"/>
    <w:basedOn w:val="7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2"/>
    <w:basedOn w:val="7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3"/>
    <w:basedOn w:val="7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4"/>
    <w:basedOn w:val="7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5"/>
    <w:basedOn w:val="7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6"/>
    <w:basedOn w:val="7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w:basedOn w:val="7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1"/>
    <w:basedOn w:val="7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2"/>
    <w:basedOn w:val="7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3"/>
    <w:basedOn w:val="7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4"/>
    <w:basedOn w:val="7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5"/>
    <w:basedOn w:val="7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6"/>
    <w:basedOn w:val="7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5 Dark"/>
    <w:basedOn w:val="7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1"/>
    <w:basedOn w:val="7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2"/>
    <w:basedOn w:val="7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3"/>
    <w:basedOn w:val="7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4"/>
    <w:basedOn w:val="7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5"/>
    <w:basedOn w:val="7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6"/>
    <w:basedOn w:val="7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6 Colorful"/>
    <w:basedOn w:val="7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1"/>
    <w:basedOn w:val="7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2"/>
    <w:basedOn w:val="7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3"/>
    <w:basedOn w:val="7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4"/>
    <w:basedOn w:val="7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5"/>
    <w:basedOn w:val="7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6"/>
    <w:basedOn w:val="7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7 Colorful"/>
    <w:basedOn w:val="7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5">
    <w:name w:val="List Table 7 Colorful - Accent 1"/>
    <w:basedOn w:val="7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6">
    <w:name w:val="List Table 7 Colorful - Accent 2"/>
    <w:basedOn w:val="7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67">
    <w:name w:val="List Table 7 Colorful - Accent 3"/>
    <w:basedOn w:val="7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68">
    <w:name w:val="List Table 7 Colorful - Accent 4"/>
    <w:basedOn w:val="7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69">
    <w:name w:val="List Table 7 Colorful - Accent 5"/>
    <w:basedOn w:val="7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70">
    <w:name w:val="List Table 7 Colorful - Accent 6"/>
    <w:basedOn w:val="7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71">
    <w:name w:val="Lined - Accent"/>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1"/>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2"/>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3"/>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4"/>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5"/>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6"/>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w:basedOn w:val="7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1"/>
    <w:basedOn w:val="7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2"/>
    <w:basedOn w:val="7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3"/>
    <w:basedOn w:val="7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4"/>
    <w:basedOn w:val="7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5"/>
    <w:basedOn w:val="7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6"/>
    <w:basedOn w:val="7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w:basedOn w:val="7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1"/>
    <w:basedOn w:val="7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2"/>
    <w:basedOn w:val="7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3"/>
    <w:basedOn w:val="7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4"/>
    <w:basedOn w:val="7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5"/>
    <w:basedOn w:val="7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6"/>
    <w:basedOn w:val="7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2">
    <w:name w:val="Heading 7"/>
    <w:basedOn w:val="947"/>
    <w:next w:val="947"/>
    <w:link w:val="90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3">
    <w:name w:val="Heading 8"/>
    <w:basedOn w:val="947"/>
    <w:next w:val="947"/>
    <w:link w:val="90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4">
    <w:name w:val="Heading 9"/>
    <w:basedOn w:val="947"/>
    <w:next w:val="947"/>
    <w:link w:val="90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5" w:default="1">
    <w:name w:val="Default Paragraph Font"/>
    <w:uiPriority w:val="1"/>
    <w:semiHidden/>
    <w:unhideWhenUsed/>
    <w:pPr>
      <w:pBdr/>
      <w:spacing/>
      <w:ind/>
    </w:pPr>
  </w:style>
  <w:style w:type="numbering" w:styleId="896" w:default="1">
    <w:name w:val="No List"/>
    <w:uiPriority w:val="99"/>
    <w:semiHidden/>
    <w:unhideWhenUsed/>
    <w:pPr>
      <w:pBdr/>
      <w:spacing/>
      <w:ind/>
    </w:pPr>
  </w:style>
  <w:style w:type="character" w:styleId="897">
    <w:name w:val="Heading 1 Char"/>
    <w:basedOn w:val="895"/>
    <w:link w:val="948"/>
    <w:uiPriority w:val="9"/>
    <w:pPr>
      <w:pBdr/>
      <w:spacing/>
      <w:ind/>
    </w:pPr>
    <w:rPr>
      <w:rFonts w:ascii="Arial" w:hAnsi="Arial" w:eastAsia="Arial" w:cs="Arial"/>
      <w:color w:val="0f4761" w:themeColor="accent1" w:themeShade="BF"/>
      <w:sz w:val="40"/>
      <w:szCs w:val="40"/>
    </w:rPr>
  </w:style>
  <w:style w:type="character" w:styleId="898">
    <w:name w:val="Heading 2 Char"/>
    <w:basedOn w:val="895"/>
    <w:link w:val="949"/>
    <w:uiPriority w:val="9"/>
    <w:pPr>
      <w:pBdr/>
      <w:spacing/>
      <w:ind/>
    </w:pPr>
    <w:rPr>
      <w:rFonts w:ascii="Arial" w:hAnsi="Arial" w:eastAsia="Arial" w:cs="Arial"/>
      <w:color w:val="0f4761" w:themeColor="accent1" w:themeShade="BF"/>
      <w:sz w:val="32"/>
      <w:szCs w:val="32"/>
    </w:rPr>
  </w:style>
  <w:style w:type="character" w:styleId="899">
    <w:name w:val="Heading 3 Char"/>
    <w:basedOn w:val="895"/>
    <w:link w:val="950"/>
    <w:uiPriority w:val="9"/>
    <w:pPr>
      <w:pBdr/>
      <w:spacing/>
      <w:ind/>
    </w:pPr>
    <w:rPr>
      <w:rFonts w:ascii="Arial" w:hAnsi="Arial" w:eastAsia="Arial" w:cs="Arial"/>
      <w:color w:val="0f4761" w:themeColor="accent1" w:themeShade="BF"/>
      <w:sz w:val="28"/>
      <w:szCs w:val="28"/>
    </w:rPr>
  </w:style>
  <w:style w:type="character" w:styleId="900">
    <w:name w:val="Heading 4 Char"/>
    <w:basedOn w:val="895"/>
    <w:link w:val="951"/>
    <w:uiPriority w:val="9"/>
    <w:pPr>
      <w:pBdr/>
      <w:spacing/>
      <w:ind/>
    </w:pPr>
    <w:rPr>
      <w:rFonts w:ascii="Arial" w:hAnsi="Arial" w:eastAsia="Arial" w:cs="Arial"/>
      <w:i/>
      <w:iCs/>
      <w:color w:val="0f4761" w:themeColor="accent1" w:themeShade="BF"/>
    </w:rPr>
  </w:style>
  <w:style w:type="character" w:styleId="901">
    <w:name w:val="Heading 5 Char"/>
    <w:basedOn w:val="895"/>
    <w:link w:val="952"/>
    <w:uiPriority w:val="9"/>
    <w:pPr>
      <w:pBdr/>
      <w:spacing/>
      <w:ind/>
    </w:pPr>
    <w:rPr>
      <w:rFonts w:ascii="Arial" w:hAnsi="Arial" w:eastAsia="Arial" w:cs="Arial"/>
      <w:color w:val="0f4761" w:themeColor="accent1" w:themeShade="BF"/>
    </w:rPr>
  </w:style>
  <w:style w:type="character" w:styleId="902">
    <w:name w:val="Heading 6 Char"/>
    <w:basedOn w:val="895"/>
    <w:link w:val="953"/>
    <w:uiPriority w:val="9"/>
    <w:pPr>
      <w:pBdr/>
      <w:spacing/>
      <w:ind/>
    </w:pPr>
    <w:rPr>
      <w:rFonts w:ascii="Arial" w:hAnsi="Arial" w:eastAsia="Arial" w:cs="Arial"/>
      <w:i/>
      <w:iCs/>
      <w:color w:val="595959" w:themeColor="text1" w:themeTint="A6"/>
    </w:rPr>
  </w:style>
  <w:style w:type="character" w:styleId="903">
    <w:name w:val="Heading 7 Char"/>
    <w:basedOn w:val="895"/>
    <w:link w:val="892"/>
    <w:uiPriority w:val="9"/>
    <w:pPr>
      <w:pBdr/>
      <w:spacing/>
      <w:ind/>
    </w:pPr>
    <w:rPr>
      <w:rFonts w:ascii="Arial" w:hAnsi="Arial" w:eastAsia="Arial" w:cs="Arial"/>
      <w:color w:val="595959" w:themeColor="text1" w:themeTint="A6"/>
    </w:rPr>
  </w:style>
  <w:style w:type="character" w:styleId="904">
    <w:name w:val="Heading 8 Char"/>
    <w:basedOn w:val="895"/>
    <w:link w:val="893"/>
    <w:uiPriority w:val="9"/>
    <w:pPr>
      <w:pBdr/>
      <w:spacing/>
      <w:ind/>
    </w:pPr>
    <w:rPr>
      <w:rFonts w:ascii="Arial" w:hAnsi="Arial" w:eastAsia="Arial" w:cs="Arial"/>
      <w:i/>
      <w:iCs/>
      <w:color w:val="272727" w:themeColor="text1" w:themeTint="D8"/>
    </w:rPr>
  </w:style>
  <w:style w:type="character" w:styleId="905">
    <w:name w:val="Heading 9 Char"/>
    <w:basedOn w:val="895"/>
    <w:link w:val="894"/>
    <w:uiPriority w:val="9"/>
    <w:pPr>
      <w:pBdr/>
      <w:spacing/>
      <w:ind/>
    </w:pPr>
    <w:rPr>
      <w:rFonts w:ascii="Arial" w:hAnsi="Arial" w:eastAsia="Arial" w:cs="Arial"/>
      <w:i/>
      <w:iCs/>
      <w:color w:val="272727" w:themeColor="text1" w:themeTint="D8"/>
    </w:rPr>
  </w:style>
  <w:style w:type="character" w:styleId="906">
    <w:name w:val="Title Char"/>
    <w:basedOn w:val="895"/>
    <w:link w:val="954"/>
    <w:uiPriority w:val="10"/>
    <w:pPr>
      <w:pBdr/>
      <w:spacing/>
      <w:ind/>
    </w:pPr>
    <w:rPr>
      <w:rFonts w:ascii="Arial" w:hAnsi="Arial" w:eastAsia="Arial" w:cs="Arial"/>
      <w:spacing w:val="-10"/>
      <w:sz w:val="56"/>
      <w:szCs w:val="56"/>
    </w:rPr>
  </w:style>
  <w:style w:type="character" w:styleId="907">
    <w:name w:val="Subtitle Char"/>
    <w:basedOn w:val="895"/>
    <w:link w:val="955"/>
    <w:uiPriority w:val="11"/>
    <w:pPr>
      <w:pBdr/>
      <w:spacing/>
      <w:ind/>
    </w:pPr>
    <w:rPr>
      <w:color w:val="595959" w:themeColor="text1" w:themeTint="A6"/>
      <w:spacing w:val="15"/>
      <w:sz w:val="28"/>
      <w:szCs w:val="28"/>
    </w:rPr>
  </w:style>
  <w:style w:type="paragraph" w:styleId="908">
    <w:name w:val="Quote"/>
    <w:basedOn w:val="947"/>
    <w:next w:val="947"/>
    <w:link w:val="909"/>
    <w:uiPriority w:val="29"/>
    <w:qFormat/>
    <w:pPr>
      <w:pBdr/>
      <w:spacing w:before="160"/>
      <w:ind/>
      <w:jc w:val="center"/>
    </w:pPr>
    <w:rPr>
      <w:i/>
      <w:iCs/>
      <w:color w:val="404040" w:themeColor="text1" w:themeTint="BF"/>
    </w:rPr>
  </w:style>
  <w:style w:type="character" w:styleId="909">
    <w:name w:val="Quote Char"/>
    <w:basedOn w:val="895"/>
    <w:link w:val="908"/>
    <w:uiPriority w:val="29"/>
    <w:pPr>
      <w:pBdr/>
      <w:spacing/>
      <w:ind/>
    </w:pPr>
    <w:rPr>
      <w:i/>
      <w:iCs/>
      <w:color w:val="404040" w:themeColor="text1" w:themeTint="BF"/>
    </w:rPr>
  </w:style>
  <w:style w:type="paragraph" w:styleId="910">
    <w:name w:val="List Paragraph"/>
    <w:basedOn w:val="947"/>
    <w:uiPriority w:val="34"/>
    <w:qFormat/>
    <w:pPr>
      <w:pBdr/>
      <w:spacing/>
      <w:ind w:left="720"/>
      <w:contextualSpacing w:val="true"/>
    </w:pPr>
  </w:style>
  <w:style w:type="character" w:styleId="911">
    <w:name w:val="Intense Emphasis"/>
    <w:basedOn w:val="895"/>
    <w:uiPriority w:val="21"/>
    <w:qFormat/>
    <w:pPr>
      <w:pBdr/>
      <w:spacing/>
      <w:ind/>
    </w:pPr>
    <w:rPr>
      <w:i/>
      <w:iCs/>
      <w:color w:val="0f4761" w:themeColor="accent1" w:themeShade="BF"/>
    </w:rPr>
  </w:style>
  <w:style w:type="paragraph" w:styleId="912">
    <w:name w:val="Intense Quote"/>
    <w:basedOn w:val="947"/>
    <w:next w:val="947"/>
    <w:link w:val="91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3">
    <w:name w:val="Intense Quote Char"/>
    <w:basedOn w:val="895"/>
    <w:link w:val="912"/>
    <w:uiPriority w:val="30"/>
    <w:pPr>
      <w:pBdr/>
      <w:spacing/>
      <w:ind/>
    </w:pPr>
    <w:rPr>
      <w:i/>
      <w:iCs/>
      <w:color w:val="0f4761" w:themeColor="accent1" w:themeShade="BF"/>
    </w:rPr>
  </w:style>
  <w:style w:type="character" w:styleId="914">
    <w:name w:val="Intense Reference"/>
    <w:basedOn w:val="895"/>
    <w:uiPriority w:val="32"/>
    <w:qFormat/>
    <w:pPr>
      <w:pBdr/>
      <w:spacing/>
      <w:ind/>
    </w:pPr>
    <w:rPr>
      <w:b/>
      <w:bCs/>
      <w:smallCaps/>
      <w:color w:val="0f4761" w:themeColor="accent1" w:themeShade="BF"/>
      <w:spacing w:val="5"/>
    </w:rPr>
  </w:style>
  <w:style w:type="paragraph" w:styleId="915">
    <w:name w:val="No Spacing"/>
    <w:basedOn w:val="947"/>
    <w:uiPriority w:val="1"/>
    <w:qFormat/>
    <w:pPr>
      <w:pBdr/>
      <w:spacing w:after="0" w:line="240" w:lineRule="auto"/>
      <w:ind/>
    </w:pPr>
  </w:style>
  <w:style w:type="character" w:styleId="916">
    <w:name w:val="Subtle Emphasis"/>
    <w:basedOn w:val="895"/>
    <w:uiPriority w:val="19"/>
    <w:qFormat/>
    <w:pPr>
      <w:pBdr/>
      <w:spacing/>
      <w:ind/>
    </w:pPr>
    <w:rPr>
      <w:i/>
      <w:iCs/>
      <w:color w:val="404040" w:themeColor="text1" w:themeTint="BF"/>
    </w:rPr>
  </w:style>
  <w:style w:type="character" w:styleId="917">
    <w:name w:val="Emphasis"/>
    <w:basedOn w:val="895"/>
    <w:uiPriority w:val="20"/>
    <w:qFormat/>
    <w:pPr>
      <w:pBdr/>
      <w:spacing/>
      <w:ind/>
    </w:pPr>
    <w:rPr>
      <w:i/>
      <w:iCs/>
    </w:rPr>
  </w:style>
  <w:style w:type="character" w:styleId="918">
    <w:name w:val="Strong"/>
    <w:basedOn w:val="895"/>
    <w:uiPriority w:val="22"/>
    <w:qFormat/>
    <w:pPr>
      <w:pBdr/>
      <w:spacing/>
      <w:ind/>
    </w:pPr>
    <w:rPr>
      <w:b/>
      <w:bCs/>
    </w:rPr>
  </w:style>
  <w:style w:type="character" w:styleId="919">
    <w:name w:val="Subtle Reference"/>
    <w:basedOn w:val="895"/>
    <w:uiPriority w:val="31"/>
    <w:qFormat/>
    <w:pPr>
      <w:pBdr/>
      <w:spacing/>
      <w:ind/>
    </w:pPr>
    <w:rPr>
      <w:smallCaps/>
      <w:color w:val="5a5a5a" w:themeColor="text1" w:themeTint="A5"/>
    </w:rPr>
  </w:style>
  <w:style w:type="character" w:styleId="920">
    <w:name w:val="Book Title"/>
    <w:basedOn w:val="895"/>
    <w:uiPriority w:val="33"/>
    <w:qFormat/>
    <w:pPr>
      <w:pBdr/>
      <w:spacing/>
      <w:ind/>
    </w:pPr>
    <w:rPr>
      <w:b/>
      <w:bCs/>
      <w:i/>
      <w:iCs/>
      <w:spacing w:val="5"/>
    </w:rPr>
  </w:style>
  <w:style w:type="paragraph" w:styleId="921">
    <w:name w:val="Header"/>
    <w:basedOn w:val="947"/>
    <w:link w:val="922"/>
    <w:uiPriority w:val="99"/>
    <w:unhideWhenUsed/>
    <w:pPr>
      <w:pBdr/>
      <w:tabs>
        <w:tab w:val="center" w:leader="none" w:pos="4844"/>
        <w:tab w:val="right" w:leader="none" w:pos="9689"/>
      </w:tabs>
      <w:spacing w:after="0" w:line="240" w:lineRule="auto"/>
      <w:ind/>
    </w:pPr>
  </w:style>
  <w:style w:type="character" w:styleId="922">
    <w:name w:val="Header Char"/>
    <w:basedOn w:val="895"/>
    <w:link w:val="921"/>
    <w:uiPriority w:val="99"/>
    <w:pPr>
      <w:pBdr/>
      <w:spacing/>
      <w:ind/>
    </w:pPr>
  </w:style>
  <w:style w:type="paragraph" w:styleId="923">
    <w:name w:val="Footer"/>
    <w:basedOn w:val="947"/>
    <w:link w:val="924"/>
    <w:uiPriority w:val="99"/>
    <w:unhideWhenUsed/>
    <w:pPr>
      <w:pBdr/>
      <w:tabs>
        <w:tab w:val="center" w:leader="none" w:pos="4844"/>
        <w:tab w:val="right" w:leader="none" w:pos="9689"/>
      </w:tabs>
      <w:spacing w:after="0" w:line="240" w:lineRule="auto"/>
      <w:ind/>
    </w:pPr>
  </w:style>
  <w:style w:type="character" w:styleId="924">
    <w:name w:val="Footer Char"/>
    <w:basedOn w:val="895"/>
    <w:link w:val="923"/>
    <w:uiPriority w:val="99"/>
    <w:pPr>
      <w:pBdr/>
      <w:spacing/>
      <w:ind/>
    </w:pPr>
  </w:style>
  <w:style w:type="paragraph" w:styleId="925">
    <w:name w:val="Caption"/>
    <w:basedOn w:val="947"/>
    <w:next w:val="947"/>
    <w:uiPriority w:val="35"/>
    <w:unhideWhenUsed/>
    <w:qFormat/>
    <w:pPr>
      <w:pBdr/>
      <w:spacing w:after="200" w:line="240" w:lineRule="auto"/>
      <w:ind/>
    </w:pPr>
    <w:rPr>
      <w:i/>
      <w:iCs/>
      <w:color w:val="0e2841" w:themeColor="text2"/>
      <w:sz w:val="18"/>
      <w:szCs w:val="18"/>
    </w:rPr>
  </w:style>
  <w:style w:type="paragraph" w:styleId="926">
    <w:name w:val="footnote text"/>
    <w:basedOn w:val="947"/>
    <w:link w:val="927"/>
    <w:uiPriority w:val="99"/>
    <w:semiHidden/>
    <w:unhideWhenUsed/>
    <w:pPr>
      <w:pBdr/>
      <w:spacing w:after="0" w:line="240" w:lineRule="auto"/>
      <w:ind/>
    </w:pPr>
    <w:rPr>
      <w:sz w:val="20"/>
      <w:szCs w:val="20"/>
    </w:rPr>
  </w:style>
  <w:style w:type="character" w:styleId="927">
    <w:name w:val="Footnote Text Char"/>
    <w:basedOn w:val="895"/>
    <w:link w:val="926"/>
    <w:uiPriority w:val="99"/>
    <w:semiHidden/>
    <w:pPr>
      <w:pBdr/>
      <w:spacing/>
      <w:ind/>
    </w:pPr>
    <w:rPr>
      <w:sz w:val="20"/>
      <w:szCs w:val="20"/>
    </w:rPr>
  </w:style>
  <w:style w:type="character" w:styleId="928">
    <w:name w:val="footnote reference"/>
    <w:basedOn w:val="895"/>
    <w:uiPriority w:val="99"/>
    <w:semiHidden/>
    <w:unhideWhenUsed/>
    <w:pPr>
      <w:pBdr/>
      <w:spacing/>
      <w:ind/>
    </w:pPr>
    <w:rPr>
      <w:vertAlign w:val="superscript"/>
    </w:rPr>
  </w:style>
  <w:style w:type="paragraph" w:styleId="929">
    <w:name w:val="endnote text"/>
    <w:basedOn w:val="947"/>
    <w:link w:val="930"/>
    <w:uiPriority w:val="99"/>
    <w:semiHidden/>
    <w:unhideWhenUsed/>
    <w:pPr>
      <w:pBdr/>
      <w:spacing w:after="0" w:line="240" w:lineRule="auto"/>
      <w:ind/>
    </w:pPr>
    <w:rPr>
      <w:sz w:val="20"/>
      <w:szCs w:val="20"/>
    </w:rPr>
  </w:style>
  <w:style w:type="character" w:styleId="930">
    <w:name w:val="Endnote Text Char"/>
    <w:basedOn w:val="895"/>
    <w:link w:val="929"/>
    <w:uiPriority w:val="99"/>
    <w:semiHidden/>
    <w:pPr>
      <w:pBdr/>
      <w:spacing/>
      <w:ind/>
    </w:pPr>
    <w:rPr>
      <w:sz w:val="20"/>
      <w:szCs w:val="20"/>
    </w:rPr>
  </w:style>
  <w:style w:type="character" w:styleId="931">
    <w:name w:val="endnote reference"/>
    <w:basedOn w:val="895"/>
    <w:uiPriority w:val="99"/>
    <w:semiHidden/>
    <w:unhideWhenUsed/>
    <w:pPr>
      <w:pBdr/>
      <w:spacing/>
      <w:ind/>
    </w:pPr>
    <w:rPr>
      <w:vertAlign w:val="superscript"/>
    </w:rPr>
  </w:style>
  <w:style w:type="character" w:styleId="932">
    <w:name w:val="Hyperlink"/>
    <w:basedOn w:val="895"/>
    <w:uiPriority w:val="99"/>
    <w:unhideWhenUsed/>
    <w:pPr>
      <w:pBdr/>
      <w:spacing/>
      <w:ind/>
    </w:pPr>
    <w:rPr>
      <w:color w:val="0563c1" w:themeColor="hyperlink"/>
      <w:u w:val="single"/>
    </w:rPr>
  </w:style>
  <w:style w:type="character" w:styleId="933">
    <w:name w:val="FollowedHyperlink"/>
    <w:basedOn w:val="895"/>
    <w:uiPriority w:val="99"/>
    <w:semiHidden/>
    <w:unhideWhenUsed/>
    <w:pPr>
      <w:pBdr/>
      <w:spacing/>
      <w:ind/>
    </w:pPr>
    <w:rPr>
      <w:color w:val="954f72" w:themeColor="followedHyperlink"/>
      <w:u w:val="single"/>
    </w:rPr>
  </w:style>
  <w:style w:type="paragraph" w:styleId="934">
    <w:name w:val="toc 1"/>
    <w:basedOn w:val="947"/>
    <w:next w:val="947"/>
    <w:uiPriority w:val="39"/>
    <w:unhideWhenUsed/>
    <w:pPr>
      <w:pBdr/>
      <w:spacing w:after="100"/>
      <w:ind/>
    </w:pPr>
  </w:style>
  <w:style w:type="paragraph" w:styleId="935">
    <w:name w:val="toc 2"/>
    <w:basedOn w:val="947"/>
    <w:next w:val="947"/>
    <w:uiPriority w:val="39"/>
    <w:unhideWhenUsed/>
    <w:pPr>
      <w:pBdr/>
      <w:spacing w:after="100"/>
      <w:ind w:left="220"/>
    </w:pPr>
  </w:style>
  <w:style w:type="paragraph" w:styleId="936">
    <w:name w:val="toc 3"/>
    <w:basedOn w:val="947"/>
    <w:next w:val="947"/>
    <w:uiPriority w:val="39"/>
    <w:unhideWhenUsed/>
    <w:pPr>
      <w:pBdr/>
      <w:spacing w:after="100"/>
      <w:ind w:left="440"/>
    </w:pPr>
  </w:style>
  <w:style w:type="paragraph" w:styleId="937">
    <w:name w:val="toc 4"/>
    <w:basedOn w:val="947"/>
    <w:next w:val="947"/>
    <w:uiPriority w:val="39"/>
    <w:unhideWhenUsed/>
    <w:pPr>
      <w:pBdr/>
      <w:spacing w:after="100"/>
      <w:ind w:left="660"/>
    </w:pPr>
  </w:style>
  <w:style w:type="paragraph" w:styleId="938">
    <w:name w:val="toc 5"/>
    <w:basedOn w:val="947"/>
    <w:next w:val="947"/>
    <w:uiPriority w:val="39"/>
    <w:unhideWhenUsed/>
    <w:pPr>
      <w:pBdr/>
      <w:spacing w:after="100"/>
      <w:ind w:left="880"/>
    </w:pPr>
  </w:style>
  <w:style w:type="paragraph" w:styleId="939">
    <w:name w:val="toc 6"/>
    <w:basedOn w:val="947"/>
    <w:next w:val="947"/>
    <w:uiPriority w:val="39"/>
    <w:unhideWhenUsed/>
    <w:pPr>
      <w:pBdr/>
      <w:spacing w:after="100"/>
      <w:ind w:left="1100"/>
    </w:pPr>
  </w:style>
  <w:style w:type="paragraph" w:styleId="940">
    <w:name w:val="toc 7"/>
    <w:basedOn w:val="947"/>
    <w:next w:val="947"/>
    <w:uiPriority w:val="39"/>
    <w:unhideWhenUsed/>
    <w:pPr>
      <w:pBdr/>
      <w:spacing w:after="100"/>
      <w:ind w:left="1320"/>
    </w:pPr>
  </w:style>
  <w:style w:type="paragraph" w:styleId="941">
    <w:name w:val="toc 8"/>
    <w:basedOn w:val="947"/>
    <w:next w:val="947"/>
    <w:uiPriority w:val="39"/>
    <w:unhideWhenUsed/>
    <w:pPr>
      <w:pBdr/>
      <w:spacing w:after="100"/>
      <w:ind w:left="1540"/>
    </w:pPr>
  </w:style>
  <w:style w:type="paragraph" w:styleId="942">
    <w:name w:val="toc 9"/>
    <w:basedOn w:val="947"/>
    <w:next w:val="947"/>
    <w:uiPriority w:val="39"/>
    <w:unhideWhenUsed/>
    <w:pPr>
      <w:pBdr/>
      <w:spacing w:after="100"/>
      <w:ind w:left="1760"/>
    </w:pPr>
  </w:style>
  <w:style w:type="character" w:styleId="943">
    <w:name w:val="Placeholder Text"/>
    <w:basedOn w:val="895"/>
    <w:uiPriority w:val="99"/>
    <w:semiHidden/>
    <w:pPr>
      <w:pBdr/>
      <w:spacing/>
      <w:ind/>
    </w:pPr>
    <w:rPr>
      <w:color w:val="666666"/>
    </w:rPr>
  </w:style>
  <w:style w:type="paragraph" w:styleId="944">
    <w:name w:val="TOC Heading"/>
    <w:uiPriority w:val="39"/>
    <w:unhideWhenUsed/>
    <w:pPr>
      <w:pBdr/>
      <w:spacing/>
      <w:ind/>
    </w:pPr>
  </w:style>
  <w:style w:type="paragraph" w:styleId="945">
    <w:name w:val="table of figures"/>
    <w:basedOn w:val="947"/>
    <w:next w:val="947"/>
    <w:uiPriority w:val="99"/>
    <w:unhideWhenUsed/>
    <w:pPr>
      <w:pBdr/>
      <w:spacing w:after="0" w:afterAutospacing="0"/>
      <w:ind/>
    </w:pPr>
  </w:style>
  <w:style w:type="table" w:styleId="946">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7" w:default="1">
    <w:name w:val="Normal"/>
    <w:pPr>
      <w:pBdr/>
      <w:spacing/>
      <w:ind/>
    </w:pPr>
  </w:style>
  <w:style w:type="paragraph" w:styleId="948">
    <w:name w:val="Heading 1"/>
    <w:basedOn w:val="947"/>
    <w:next w:val="947"/>
    <w:pPr>
      <w:keepNext w:val="true"/>
      <w:keepLines w:val="true"/>
      <w:pageBreakBefore w:val="false"/>
      <w:pBdr/>
      <w:spacing w:after="120" w:before="400"/>
      <w:ind/>
    </w:pPr>
    <w:rPr>
      <w:sz w:val="40"/>
      <w:szCs w:val="40"/>
    </w:rPr>
  </w:style>
  <w:style w:type="paragraph" w:styleId="949">
    <w:name w:val="Heading 2"/>
    <w:basedOn w:val="947"/>
    <w:next w:val="947"/>
    <w:pPr>
      <w:keepNext w:val="true"/>
      <w:keepLines w:val="true"/>
      <w:pageBreakBefore w:val="false"/>
      <w:pBdr/>
      <w:spacing w:after="120" w:before="360"/>
      <w:ind/>
    </w:pPr>
    <w:rPr>
      <w:b w:val="0"/>
      <w:sz w:val="32"/>
      <w:szCs w:val="32"/>
    </w:rPr>
  </w:style>
  <w:style w:type="paragraph" w:styleId="950">
    <w:name w:val="Heading 3"/>
    <w:basedOn w:val="947"/>
    <w:next w:val="947"/>
    <w:pPr>
      <w:keepNext w:val="true"/>
      <w:keepLines w:val="true"/>
      <w:pageBreakBefore w:val="false"/>
      <w:pBdr/>
      <w:spacing w:after="80" w:before="320"/>
      <w:ind/>
    </w:pPr>
    <w:rPr>
      <w:b w:val="0"/>
      <w:color w:val="434343"/>
      <w:sz w:val="28"/>
      <w:szCs w:val="28"/>
    </w:rPr>
  </w:style>
  <w:style w:type="paragraph" w:styleId="951">
    <w:name w:val="Heading 4"/>
    <w:basedOn w:val="947"/>
    <w:next w:val="947"/>
    <w:pPr>
      <w:keepNext w:val="true"/>
      <w:keepLines w:val="true"/>
      <w:pageBreakBefore w:val="false"/>
      <w:pBdr/>
      <w:spacing w:after="80" w:before="280"/>
      <w:ind/>
    </w:pPr>
    <w:rPr>
      <w:color w:val="666666"/>
      <w:sz w:val="24"/>
      <w:szCs w:val="24"/>
    </w:rPr>
  </w:style>
  <w:style w:type="paragraph" w:styleId="952">
    <w:name w:val="Heading 5"/>
    <w:basedOn w:val="947"/>
    <w:next w:val="947"/>
    <w:pPr>
      <w:keepNext w:val="true"/>
      <w:keepLines w:val="true"/>
      <w:pageBreakBefore w:val="false"/>
      <w:pBdr/>
      <w:spacing w:after="80" w:before="240"/>
      <w:ind/>
    </w:pPr>
    <w:rPr>
      <w:color w:val="666666"/>
      <w:sz w:val="22"/>
      <w:szCs w:val="22"/>
    </w:rPr>
  </w:style>
  <w:style w:type="paragraph" w:styleId="953">
    <w:name w:val="Heading 6"/>
    <w:basedOn w:val="947"/>
    <w:next w:val="947"/>
    <w:pPr>
      <w:keepNext w:val="true"/>
      <w:keepLines w:val="true"/>
      <w:pageBreakBefore w:val="false"/>
      <w:pBdr/>
      <w:spacing w:after="80" w:before="240"/>
      <w:ind/>
    </w:pPr>
    <w:rPr>
      <w:i/>
      <w:color w:val="666666"/>
      <w:sz w:val="22"/>
      <w:szCs w:val="22"/>
    </w:rPr>
  </w:style>
  <w:style w:type="paragraph" w:styleId="954">
    <w:name w:val="Title"/>
    <w:basedOn w:val="947"/>
    <w:next w:val="947"/>
    <w:pPr>
      <w:keepNext w:val="true"/>
      <w:keepLines w:val="true"/>
      <w:pageBreakBefore w:val="false"/>
      <w:pBdr/>
      <w:spacing w:after="60" w:before="0"/>
      <w:ind/>
    </w:pPr>
    <w:rPr>
      <w:sz w:val="52"/>
      <w:szCs w:val="52"/>
    </w:rPr>
  </w:style>
  <w:style w:type="paragraph" w:styleId="955">
    <w:name w:val="Subtitle"/>
    <w:basedOn w:val="947"/>
    <w:next w:val="947"/>
    <w:pPr>
      <w:keepNext w:val="true"/>
      <w:keepLines w:val="true"/>
      <w:pageBreakBefore w:val="false"/>
      <w:pBdr/>
      <w:spacing w:after="320" w:before="0"/>
      <w:ind/>
    </w:pPr>
    <w:rPr>
      <w:rFonts w:ascii="Arial" w:hAnsi="Arial" w:eastAsia="Arial" w:cs="Arial"/>
      <w:i w:val="0"/>
      <w:color w:val="666666"/>
      <w:sz w:val="30"/>
      <w:szCs w:val="30"/>
    </w:rPr>
  </w:style>
  <w:style w:type="table" w:styleId="956">
    <w:name w:val="StGen0"/>
    <w:basedOn w:val="9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StGen1"/>
    <w:basedOn w:val="9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StGen2"/>
    <w:basedOn w:val="9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StGen3"/>
    <w:basedOn w:val="9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StGen4"/>
    <w:basedOn w:val="9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StGen5"/>
    <w:basedOn w:val="9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youtube.com/watch?v=y24Nn7_y7s4" TargetMode="External"/><Relationship Id="rId10" Type="http://schemas.openxmlformats.org/officeDocument/2006/relationships/hyperlink" Target="https://www.youtube.com/watch?v=4DhBAYvDnzk" TargetMode="External"/><Relationship Id="rId11" Type="http://schemas.openxmlformats.org/officeDocument/2006/relationships/hyperlink" Target="https://data.worldbank.org/indicator" TargetMode="External"/><Relationship Id="rId12" Type="http://schemas.openxmlformats.org/officeDocument/2006/relationships/hyperlink" Target="https://data.worldbank.org/country" TargetMode="External"/><Relationship Id="rId13" Type="http://schemas.openxmlformats.org/officeDocument/2006/relationships/hyperlink" Target="https://climatedata.imf.org/" TargetMode="External"/><Relationship Id="rId14" Type="http://schemas.openxmlformats.org/officeDocument/2006/relationships/hyperlink" Target="https://data-explorer.oecd.org/vis?df%5Bds%5D=DisseminateFinalDMZ&amp;df%5Bid%5D=DSD_AIR_GHG@DF_AIR_GHG&amp;df%5Bag%5D=OECD.ENV.EPI" TargetMode="External"/><Relationship Id="rId15" Type="http://schemas.openxmlformats.org/officeDocument/2006/relationships/hyperlink" Target="https://projects.propublica.org/datastore/#civilian-complaints-against-new-york-city-police-officers" TargetMode="External"/><Relationship Id="rId16" Type="http://schemas.openxmlformats.org/officeDocument/2006/relationships/hyperlink" Target="https://www.washingtonpost.com/national/2019/07/18/how-download-use-dea-pain-pills-database/?arc404=true" TargetMode="External"/><Relationship Id="rId17" Type="http://schemas.openxmlformats.org/officeDocument/2006/relationships/hyperlink" Target="https://vis-society.github.io/assignments/GuttmacherInstituteAbortionDataByState.xlsx"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Tovanich Natkamon (ntovanic)</cp:lastModifiedBy>
  <cp:revision>4</cp:revision>
  <dcterms:modified xsi:type="dcterms:W3CDTF">2025-10-02T14:42:00Z</dcterms:modified>
</cp:coreProperties>
</file>