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F4D78"/>
          <w:sz w:val="48"/>
        </w:rPr>
        <w:t>LytGuide Deployment Quotation</w:t>
      </w:r>
    </w:p>
    <w:p>
      <w:pPr>
        <w:spacing w:after="200"/>
      </w:pPr>
      <w:r>
        <w:rPr>
          <w:color w:val="5B6470"/>
          <w:sz w:val="24"/>
        </w:rPr>
        <w:t>Smart Inventory Management System | One Warehouse LED-Guided Deployment | Bathinda, Punjab</w:t>
      </w:r>
    </w:p>
    <w:tbl>
      <w:tblPr>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2500"/>
        <w:gridCol w:w="6860"/>
      </w:tblGrid>
      <w:tr>
        <w:tc>
          <w:tcPr>
            <w:tcW w:type="dxa" w:w="250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shd w:fill="F2F4F7"/>
          </w:tcPr>
          <w:p>
            <w:pPr>
              <w:spacing w:after="0"/>
            </w:pPr>
            <w:r>
              <w:rPr>
                <w:b/>
              </w:rPr>
              <w:t>Project name</w:t>
            </w:r>
          </w:p>
        </w:tc>
        <w:tc>
          <w:tcPr>
            <w:tcW w:type="dxa" w:w="686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tcPr>
          <w:p>
            <w:pPr>
              <w:spacing w:after="0"/>
            </w:pPr>
            <w:r>
              <w:t>LytGuide</w:t>
            </w:r>
          </w:p>
        </w:tc>
      </w:tr>
      <w:tr>
        <w:tc>
          <w:tcPr>
            <w:tcW w:type="dxa" w:w="250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shd w:fill="F2F4F7"/>
          </w:tcPr>
          <w:p>
            <w:pPr>
              <w:spacing w:after="0"/>
            </w:pPr>
            <w:r>
              <w:rPr>
                <w:b/>
              </w:rPr>
              <w:t>Prepared for</w:t>
            </w:r>
          </w:p>
        </w:tc>
        <w:tc>
          <w:tcPr>
            <w:tcW w:type="dxa" w:w="686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tcPr>
          <w:p>
            <w:pPr>
              <w:spacing w:after="0"/>
            </w:pPr>
            <w:r>
              <w:t>Army warehouse unit, Bathinda, Punjab</w:t>
            </w:r>
          </w:p>
        </w:tc>
      </w:tr>
      <w:tr>
        <w:tc>
          <w:tcPr>
            <w:tcW w:type="dxa" w:w="250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shd w:fill="F2F4F7"/>
          </w:tcPr>
          <w:p>
            <w:pPr>
              <w:spacing w:after="0"/>
            </w:pPr>
            <w:r>
              <w:rPr>
                <w:b/>
              </w:rPr>
              <w:t>Quote date</w:t>
            </w:r>
          </w:p>
        </w:tc>
        <w:tc>
          <w:tcPr>
            <w:tcW w:type="dxa" w:w="686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tcPr>
          <w:p>
            <w:pPr>
              <w:spacing w:after="0"/>
            </w:pPr>
            <w:r>
              <w:t>09 June 2026</w:t>
            </w:r>
          </w:p>
        </w:tc>
      </w:tr>
      <w:tr>
        <w:tc>
          <w:tcPr>
            <w:tcW w:type="dxa" w:w="250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shd w:fill="F2F4F7"/>
          </w:tcPr>
          <w:p>
            <w:pPr>
              <w:spacing w:after="0"/>
            </w:pPr>
            <w:r>
              <w:rPr>
                <w:b/>
              </w:rPr>
              <w:t>Deployment model</w:t>
            </w:r>
          </w:p>
        </w:tc>
        <w:tc>
          <w:tcPr>
            <w:tcW w:type="dxa" w:w="686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tcPr>
          <w:p>
            <w:pPr>
              <w:spacing w:after="0"/>
            </w:pPr>
            <w:r>
              <w:t>Local Raspberry Pi kiosk with RS485 LED module guidance</w:t>
            </w:r>
          </w:p>
        </w:tc>
      </w:tr>
    </w:tbl>
    <w:p/>
    <w:tbl>
      <w:tblPr>
        <w:tblW w:type="dxa" w:w="9360"/>
        <w:jc w:val="center"/>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8EEF5"/>
            <w:tcBorders>
              <w:top w:val="single" w:sz="8" w:space="0" w:color="CAD6E2"/>
              <w:left w:val="single" w:sz="8" w:space="0" w:color="CAD6E2"/>
              <w:bottom w:val="single" w:sz="8" w:space="0" w:color="CAD6E2"/>
              <w:right w:val="single" w:sz="8" w:space="0" w:color="CAD6E2"/>
              <w:insideH w:val="single" w:sz="8" w:space="0" w:color="CAD6E2"/>
              <w:insideV w:val="single" w:sz="8" w:space="0" w:color="CAD6E2"/>
            </w:tcBorders>
          </w:tcPr>
          <w:p>
            <w:pPr>
              <w:spacing w:after="60"/>
            </w:pPr>
            <w:r>
              <w:rPr>
                <w:b/>
                <w:color w:val="1F4D78"/>
              </w:rPr>
              <w:t>Quoted project value</w:t>
            </w:r>
          </w:p>
          <w:p>
            <w:pPr>
              <w:spacing w:after="0"/>
            </w:pPr>
            <w:r>
              <w:t>Total implementation price for LytGuide is INR 6,50,000 inclusive of GST for one local warehouse pilot deployment. Hardware material, cell fabrication, wiring, enclosures, controller boxes, Raspberry Pi peripherals, and replacement parts are quoted separately.</w:t>
            </w:r>
          </w:p>
        </w:tc>
      </w:tr>
    </w:tbl>
    <w:p>
      <w:pPr>
        <w:pStyle w:val="Heading1"/>
        <w:keepNext/>
      </w:pPr>
      <w:r>
        <w:t>Commercial Summary</w:t>
      </w:r>
    </w:p>
    <w:tbl>
      <w:tblPr>
        <w:tblW w:type="dxa" w:w="9360"/>
        <w:jc w:val="center"/>
        <w:tblLook w:firstColumn="1" w:firstRow="1" w:lastColumn="0" w:lastRow="0" w:noHBand="0" w:noVBand="1" w:val="04A0"/>
        <w:tblInd w:w="120" w:type="dxa"/>
        <w:tblCellMar>
          <w:top w:w="100" w:type="dxa"/>
          <w:start w:w="160" w:type="dxa"/>
          <w:bottom w:w="100" w:type="dxa"/>
          <w:end w:w="160" w:type="dxa"/>
        </w:tblCellMar>
      </w:tblPr>
      <w:tblGrid>
        <w:gridCol w:w="5600"/>
        <w:gridCol w:w="3760"/>
      </w:tblGrid>
      <w:tr>
        <w:tc>
          <w:tcPr>
            <w:tcW w:type="dxa" w:w="56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pPr>
            <w:r>
              <w:rPr>
                <w:b/>
              </w:rPr>
              <w:t>Taxable project value</w:t>
            </w:r>
          </w:p>
        </w:tc>
        <w:tc>
          <w:tcPr>
            <w:tcW w:type="dxa" w:w="376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550,847</w:t>
            </w:r>
          </w:p>
        </w:tc>
      </w:tr>
      <w:tr>
        <w:tc>
          <w:tcPr>
            <w:tcW w:type="dxa" w:w="56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pPr>
            <w:r>
              <w:rPr>
                <w:b/>
              </w:rPr>
              <w:t>GST @ 18%</w:t>
            </w:r>
          </w:p>
        </w:tc>
        <w:tc>
          <w:tcPr>
            <w:tcW w:type="dxa" w:w="376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99,153</w:t>
            </w:r>
          </w:p>
        </w:tc>
      </w:tr>
      <w:tr>
        <w:tc>
          <w:tcPr>
            <w:tcW w:type="dxa" w:w="56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shd w:fill="1F4D78"/>
          </w:tcPr>
          <w:p>
            <w:pPr>
              <w:spacing w:after="0"/>
            </w:pPr>
            <w:r>
              <w:rPr>
                <w:b/>
                <w:color w:val="FFFFFF"/>
              </w:rPr>
              <w:t>Total quoted amount</w:t>
            </w:r>
          </w:p>
        </w:tc>
        <w:tc>
          <w:tcPr>
            <w:tcW w:type="dxa" w:w="376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shd w:fill="1F4D78"/>
          </w:tcPr>
          <w:p>
            <w:pPr>
              <w:spacing w:after="0"/>
              <w:jc w:val="right"/>
            </w:pPr>
            <w:r>
              <w:rPr>
                <w:b/>
                <w:color w:val="FFFFFF"/>
              </w:rPr>
              <w:t>INR 650,000</w:t>
            </w:r>
          </w:p>
        </w:tc>
      </w:tr>
      <w:tr>
        <w:tc>
          <w:tcPr>
            <w:tcW w:type="dxa" w:w="56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shd w:fill="F2F4F7"/>
          </w:tcPr>
          <w:p>
            <w:pPr>
              <w:spacing w:after="0"/>
            </w:pPr>
            <w:r>
              <w:rPr>
                <w:b/>
              </w:rPr>
              <w:t>Hardware/material/fabrication</w:t>
            </w:r>
          </w:p>
        </w:tc>
        <w:tc>
          <w:tcPr>
            <w:tcW w:type="dxa" w:w="376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shd w:fill="F2F4F7"/>
          </w:tcPr>
          <w:p>
            <w:pPr>
              <w:spacing w:after="0"/>
              <w:jc w:val="right"/>
            </w:pPr>
            <w:r>
              <w:t>Quoted separately</w:t>
            </w:r>
          </w:p>
        </w:tc>
      </w:tr>
    </w:tbl>
    <w:p>
      <w:pPr>
        <w:pStyle w:val="Heading1"/>
        <w:keepNext/>
      </w:pPr>
      <w:r>
        <w:t>Scope Included</w:t>
      </w:r>
    </w:p>
    <w:p>
      <w:pPr>
        <w:pStyle w:val="ListBullet"/>
      </w:pPr>
      <w:r>
        <w:t>LytGuide local Smart IMS application for one warehouse, intended for approximately 45-50 cells and 2 controllers.</w:t>
      </w:r>
    </w:p>
    <w:p>
      <w:pPr>
        <w:pStyle w:val="ListBullet"/>
      </w:pPr>
      <w:r>
        <w:t>Core inventory software covering users, products, storage locations, stock balances, pick/put tasks, audit transactions, corrections, and recommended actions.</w:t>
      </w:r>
    </w:p>
    <w:p>
      <w:pPr>
        <w:pStyle w:val="ListBullet"/>
      </w:pPr>
      <w:r>
        <w:t>LED-guided inventory operation using RS485-connected ESP32 controller modules and 8x8 matrix LED modules.</w:t>
      </w:r>
    </w:p>
    <w:p>
      <w:pPr>
        <w:pStyle w:val="ListBullet"/>
      </w:pPr>
      <w:r>
        <w:t>Reporting refinement with stock, movement, activity, exception, and print-ready reports.</w:t>
      </w:r>
    </w:p>
    <w:p>
      <w:pPr>
        <w:pStyle w:val="ListBullet"/>
      </w:pPr>
      <w:r>
        <w:t>Admin controls for registration keys, user access, backups, restore flow, system health, controller setup, and cell mapping.</w:t>
      </w:r>
    </w:p>
    <w:p>
      <w:pPr>
        <w:pStyle w:val="ListBullet"/>
      </w:pPr>
      <w:r>
        <w:t>Raspberry Pi local deployment, configuration, commissioning, basic operator/admin training, and initial support.</w:t>
      </w:r>
    </w:p>
    <w:p>
      <w:pPr>
        <w:pStyle w:val="Heading1"/>
        <w:keepNext/>
      </w:pPr>
      <w:r>
        <w:t>Price Breakup</w:t>
      </w:r>
    </w:p>
    <w:tbl>
      <w:tblPr>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650"/>
        <w:gridCol w:w="5110"/>
        <w:gridCol w:w="1800"/>
        <w:gridCol w:w="1800"/>
      </w:tblGrid>
      <w:tr>
        <w:tc>
          <w:tcPr>
            <w:tcW w:type="dxa" w:w="650"/>
            <w:shd w:fill="F2F4F7"/>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tcPr>
          <w:p>
            <w:pPr>
              <w:spacing w:after="0"/>
              <w:jc w:val="center"/>
            </w:pPr>
            <w:r>
              <w:rPr>
                <w:b/>
              </w:rPr>
              <w:t>No.</w:t>
            </w:r>
          </w:p>
        </w:tc>
        <w:tc>
          <w:tcPr>
            <w:tcW w:type="dxa" w:w="5110"/>
            <w:shd w:fill="F2F4F7"/>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tcPr>
          <w:p>
            <w:pPr>
              <w:spacing w:after="0"/>
              <w:jc w:val="left"/>
            </w:pPr>
            <w:r>
              <w:rPr>
                <w:b/>
              </w:rPr>
              <w:t>Component</w:t>
            </w:r>
          </w:p>
        </w:tc>
        <w:tc>
          <w:tcPr>
            <w:tcW w:type="dxa" w:w="1800"/>
            <w:shd w:fill="F2F4F7"/>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tcPr>
          <w:p>
            <w:pPr>
              <w:spacing w:after="0"/>
              <w:jc w:val="center"/>
            </w:pPr>
            <w:r>
              <w:rPr>
                <w:b/>
              </w:rPr>
              <w:t>Amount excl. GST</w:t>
            </w:r>
          </w:p>
        </w:tc>
        <w:tc>
          <w:tcPr>
            <w:tcW w:type="dxa" w:w="1800"/>
            <w:shd w:fill="F2F4F7"/>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tcPr>
          <w:p>
            <w:pPr>
              <w:spacing w:after="0"/>
              <w:jc w:val="center"/>
            </w:pPr>
            <w:r>
              <w:rPr>
                <w:b/>
              </w:rPr>
              <w:t>Amount incl. GST</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1</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Requirement study, IMS workflow planning, documentation</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25,424</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30,000</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2</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Core IMS software: login, users, products, locations, inventory database</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110,169</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130,000</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3</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Pick/Put workflows, LED-guided tasks, final review, audit trail, corrections</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80,508</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95,000</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4</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Admin/configuration: users, registration keys, backups, recovery, system health</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38,136</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45,000</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5</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Reporting refinement and print-ready reports</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33,898</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40,000</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6</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RS485 + LED hardware integration software</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93,220</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110,000</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7</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ESP32 firmware integration, controller setup, mapping, test/locate/ping</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63,559</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75,000</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8</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Raspberry Pi packaging, local kiosk/app deployment</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29,661</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35,000</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9</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On-site commissioning, configuration, testing, training</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50,847</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60,000</w:t>
            </w:r>
          </w:p>
        </w:tc>
      </w:tr>
      <w:tr>
        <w:tc>
          <w:tcPr>
            <w:tcW w:type="dxa" w:w="65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center"/>
            </w:pPr>
            <w:r>
              <w:t>10</w:t>
            </w:r>
          </w:p>
        </w:tc>
        <w:tc>
          <w:tcPr>
            <w:tcW w:type="dxa" w:w="511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left"/>
            </w:pPr>
            <w:r>
              <w:t>Initial support/warranty buffer</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25,425</w:t>
            </w:r>
          </w:p>
        </w:tc>
        <w:tc>
          <w:tcPr>
            <w:tcW w:type="dxa" w:w="1800"/>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vAlign w:val="center"/>
          </w:tcPr>
          <w:p>
            <w:pPr>
              <w:spacing w:after="0"/>
              <w:jc w:val="right"/>
            </w:pPr>
            <w:r>
              <w:t>INR 30,000</w:t>
            </w:r>
          </w:p>
        </w:tc>
      </w:tr>
      <w:tr>
        <w:tc>
          <w:tcPr>
            <w:tcW w:type="dxa" w:w="650"/>
            <w:shd w:fill="1F4D78"/>
            <w:tcBorders>
              <w:top w:val="single" w:sz="6" w:space="0" w:color="1F4D78"/>
              <w:left w:val="single" w:sz="6" w:space="0" w:color="1F4D78"/>
              <w:bottom w:val="single" w:sz="6" w:space="0" w:color="1F4D78"/>
              <w:right w:val="single" w:sz="6" w:space="0" w:color="1F4D78"/>
              <w:insideH w:val="single" w:sz="6" w:space="0" w:color="1F4D78"/>
              <w:insideV w:val="single" w:sz="6" w:space="0" w:color="1F4D78"/>
            </w:tcBorders>
          </w:tcPr>
          <w:p>
            <w:pPr>
              <w:spacing w:after="0"/>
              <w:jc w:val="left"/>
            </w:pPr>
            <w:r>
              <w:rPr>
                <w:b/>
                <w:color w:val="FFFFFF"/>
              </w:rPr>
            </w:r>
          </w:p>
        </w:tc>
        <w:tc>
          <w:tcPr>
            <w:tcW w:type="dxa" w:w="5110"/>
            <w:shd w:fill="1F4D78"/>
            <w:tcBorders>
              <w:top w:val="single" w:sz="6" w:space="0" w:color="1F4D78"/>
              <w:left w:val="single" w:sz="6" w:space="0" w:color="1F4D78"/>
              <w:bottom w:val="single" w:sz="6" w:space="0" w:color="1F4D78"/>
              <w:right w:val="single" w:sz="6" w:space="0" w:color="1F4D78"/>
              <w:insideH w:val="single" w:sz="6" w:space="0" w:color="1F4D78"/>
              <w:insideV w:val="single" w:sz="6" w:space="0" w:color="1F4D78"/>
            </w:tcBorders>
          </w:tcPr>
          <w:p>
            <w:pPr>
              <w:spacing w:after="0"/>
              <w:jc w:val="left"/>
            </w:pPr>
            <w:r>
              <w:rPr>
                <w:b/>
                <w:color w:val="FFFFFF"/>
              </w:rPr>
              <w:t>Total</w:t>
            </w:r>
          </w:p>
        </w:tc>
        <w:tc>
          <w:tcPr>
            <w:tcW w:type="dxa" w:w="1800"/>
            <w:shd w:fill="1F4D78"/>
            <w:tcBorders>
              <w:top w:val="single" w:sz="6" w:space="0" w:color="1F4D78"/>
              <w:left w:val="single" w:sz="6" w:space="0" w:color="1F4D78"/>
              <w:bottom w:val="single" w:sz="6" w:space="0" w:color="1F4D78"/>
              <w:right w:val="single" w:sz="6" w:space="0" w:color="1F4D78"/>
              <w:insideH w:val="single" w:sz="6" w:space="0" w:color="1F4D78"/>
              <w:insideV w:val="single" w:sz="6" w:space="0" w:color="1F4D78"/>
            </w:tcBorders>
          </w:tcPr>
          <w:p>
            <w:pPr>
              <w:spacing w:after="0"/>
              <w:jc w:val="right"/>
            </w:pPr>
            <w:r>
              <w:rPr>
                <w:b/>
                <w:color w:val="FFFFFF"/>
              </w:rPr>
              <w:t>INR 550,847</w:t>
            </w:r>
          </w:p>
        </w:tc>
        <w:tc>
          <w:tcPr>
            <w:tcW w:type="dxa" w:w="1800"/>
            <w:shd w:fill="1F4D78"/>
            <w:tcBorders>
              <w:top w:val="single" w:sz="6" w:space="0" w:color="1F4D78"/>
              <w:left w:val="single" w:sz="6" w:space="0" w:color="1F4D78"/>
              <w:bottom w:val="single" w:sz="6" w:space="0" w:color="1F4D78"/>
              <w:right w:val="single" w:sz="6" w:space="0" w:color="1F4D78"/>
              <w:insideH w:val="single" w:sz="6" w:space="0" w:color="1F4D78"/>
              <w:insideV w:val="single" w:sz="6" w:space="0" w:color="1F4D78"/>
            </w:tcBorders>
          </w:tcPr>
          <w:p>
            <w:pPr>
              <w:spacing w:after="0"/>
              <w:jc w:val="right"/>
            </w:pPr>
            <w:r>
              <w:rPr>
                <w:b/>
                <w:color w:val="FFFFFF"/>
              </w:rPr>
              <w:t>INR 650,000</w:t>
            </w:r>
          </w:p>
        </w:tc>
      </w:tr>
    </w:tbl>
    <w:p>
      <w:pPr>
        <w:pStyle w:val="Heading1"/>
        <w:keepNext/>
      </w:pPr>
      <w:r>
        <w:t>Exclusions and Separately Quoted Items</w:t>
      </w:r>
    </w:p>
    <w:p>
      <w:pPr>
        <w:pStyle w:val="ListBullet"/>
      </w:pPr>
      <w:r>
        <w:t>LED matrix modules per cell, ESP32 controllers, controller boxes, power supplies, buck converters, wiring, connectors, enclosures, and fabrication material.</w:t>
      </w:r>
    </w:p>
    <w:p>
      <w:pPr>
        <w:pStyle w:val="ListBullet"/>
      </w:pPr>
      <w:r>
        <w:t>Raspberry Pi, display, keyboard/mouse, printer, storage media, and other purchased peripherals.</w:t>
      </w:r>
    </w:p>
    <w:p>
      <w:pPr>
        <w:pStyle w:val="ListBullet"/>
      </w:pPr>
      <w:r>
        <w:t>Travel, stay, local transport, and site-specific logistics, if significant.</w:t>
      </w:r>
    </w:p>
    <w:p>
      <w:pPr>
        <w:pStyle w:val="ListBullet"/>
      </w:pPr>
      <w:r>
        <w:t>Barcode/QR scanning, ERP/accounting integration, mobile app, remote access, multi-warehouse synchronization, and physical push-button confirmation.</w:t>
      </w:r>
    </w:p>
    <w:p>
      <w:pPr>
        <w:pStyle w:val="ListBullet"/>
      </w:pPr>
      <w:r>
        <w:t>Source-code ownership or exclusive IP transfer. The quoted price covers deployment and usage for one warehouse only.</w:t>
      </w:r>
    </w:p>
    <w:p>
      <w:r>
        <w:br w:type="page"/>
      </w:r>
    </w:p>
    <w:p>
      <w:pPr>
        <w:pStyle w:val="Heading1"/>
        <w:keepNext/>
      </w:pPr>
      <w:r>
        <w:t>Support and Warranty Terms</w:t>
      </w:r>
    </w:p>
    <w:p>
      <w:pPr>
        <w:pStyle w:val="ListBullet"/>
      </w:pPr>
      <w:r>
        <w:t>Includes 30 days of initial software support and stabilization after commissioning.</w:t>
      </w:r>
    </w:p>
    <w:p>
      <w:pPr>
        <w:pStyle w:val="ListBullet"/>
      </w:pPr>
      <w:r>
        <w:t>Bug fixes within agreed scope are included during the 30-day support period.</w:t>
      </w:r>
    </w:p>
    <w:p>
      <w:pPr>
        <w:pStyle w:val="ListBullet"/>
      </w:pPr>
      <w:r>
        <w:t>New features, report format changes beyond agreed scope, and integrations are change requests.</w:t>
      </w:r>
    </w:p>
    <w:p>
      <w:pPr>
        <w:pStyle w:val="ListBullet"/>
      </w:pPr>
      <w:r>
        <w:t>Replacement parts and failures caused by physical damage, power issues, wiring damage, water/dust ingress, or misuse are charged separately.</w:t>
      </w:r>
    </w:p>
    <w:p>
      <w:pPr>
        <w:pStyle w:val="ListBullet"/>
      </w:pPr>
      <w:r>
        <w:t>Annual maintenance after the initial support period can be quoted separately.</w:t>
      </w:r>
    </w:p>
    <w:p>
      <w:pPr>
        <w:pStyle w:val="Heading1"/>
        <w:keepNext/>
      </w:pPr>
      <w:r>
        <w:t>Assumptions</w:t>
      </w:r>
    </w:p>
    <w:p>
      <w:pPr>
        <w:pStyle w:val="ListBullet"/>
      </w:pPr>
      <w:r>
        <w:t>System is for local warehouse use only and does not require internet/cloud operation.</w:t>
      </w:r>
    </w:p>
    <w:p>
      <w:pPr>
        <w:pStyle w:val="ListBullet"/>
      </w:pPr>
      <w:r>
        <w:t>The first deployment is a pilot/first-unit implementation for one Army warehouse.</w:t>
      </w:r>
    </w:p>
    <w:p>
      <w:pPr>
        <w:pStyle w:val="ListBullet"/>
      </w:pPr>
      <w:r>
        <w:t>The final hardware material and fabrication estimate will be prepared after confirming final cell count, controller count, mounting method, and wiring route.</w:t>
      </w:r>
    </w:p>
    <w:p>
      <w:pPr>
        <w:pStyle w:val="ListBullet"/>
      </w:pPr>
      <w:r>
        <w:t>GST treatment and invoice format should be confirmed with a CA before final billing.</w:t>
      </w:r>
    </w:p>
    <w:p>
      <w:pPr>
        <w:pStyle w:val="Heading1"/>
        <w:keepNext/>
      </w:pPr>
      <w:r>
        <w:t>Acceptance</w:t>
      </w:r>
    </w:p>
    <w:p>
      <w:r>
        <w:t>The project will be considered commissioned when the local app is installed, configured for the agreed cells/controllers, LED guidance is tested for mapped modules, reports are available, and basic training is completed.</w:t>
      </w:r>
    </w:p>
    <w:p/>
    <w:tbl>
      <w:tblPr>
        <w:tblW w:type="dxa" w:w="9360"/>
        <w:jc w:val="center"/>
        <w:tblLook w:firstColumn="1" w:firstRow="1" w:lastColumn="0" w:lastRow="0" w:noHBand="0" w:noVBand="1" w:val="04A0"/>
        <w:tblInd w:w="120" w:type="dxa"/>
        <w:tblCellMar>
          <w:top w:w="120" w:type="dxa"/>
          <w:start w:w="120" w:type="dxa"/>
          <w:bottom w:w="120" w:type="dxa"/>
          <w:end w:w="120" w:type="dxa"/>
        </w:tblCellMar>
      </w:tblPr>
      <w:tblGrid>
        <w:gridCol w:w="4680"/>
        <w:gridCol w:w="4680"/>
      </w:tblGrid>
      <w:tr>
        <w:tc>
          <w:tcPr>
            <w:tcW w:type="dxa" w:w="468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shd w:fill="F2F4F7"/>
          </w:tcPr>
          <w:p>
            <w:pPr>
              <w:spacing w:after="0"/>
            </w:pPr>
            <w:r>
              <w:rPr>
                <w:b/>
              </w:rPr>
              <w:t>Prepared by</w:t>
            </w:r>
          </w:p>
        </w:tc>
        <w:tc>
          <w:tcPr>
            <w:tcW w:type="dxa" w:w="468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shd w:fill="F2F4F7"/>
          </w:tcPr>
          <w:p>
            <w:pPr>
              <w:spacing w:after="0"/>
            </w:pPr>
            <w:r>
              <w:rPr>
                <w:b/>
              </w:rPr>
              <w:t>Client acknowledgement</w:t>
            </w:r>
          </w:p>
        </w:tc>
      </w:tr>
      <w:tr>
        <w:tc>
          <w:tcPr>
            <w:tcW w:type="dxa" w:w="468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tcPr>
          <w:p>
            <w:pPr>
              <w:spacing w:after="360"/>
            </w:pPr>
            <w:r>
              <w:t>Name / Signature / Date</w:t>
            </w:r>
          </w:p>
        </w:tc>
        <w:tc>
          <w:tcPr>
            <w:tcW w:type="dxa" w:w="4680"/>
            <w:tcBorders>
              <w:top w:val="single" w:sz="6" w:space="0" w:color="D5DBE1"/>
              <w:left w:val="single" w:sz="6" w:space="0" w:color="D5DBE1"/>
              <w:bottom w:val="single" w:sz="6" w:space="0" w:color="D5DBE1"/>
              <w:right w:val="single" w:sz="6" w:space="0" w:color="D5DBE1"/>
              <w:insideH w:val="single" w:sz="6" w:space="0" w:color="D5DBE1"/>
              <w:insideV w:val="single" w:sz="6" w:space="0" w:color="D5DBE1"/>
            </w:tcBorders>
          </w:tcPr>
          <w:p>
            <w:pPr>
              <w:spacing w:after="360"/>
            </w:pPr>
            <w:r>
              <w:t>Name / Signature / Date</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color w:val="5B6470"/>
        <w:sz w:val="18"/>
      </w:rPr>
      <w:t>LytGuide quotation | One warehouse pilot deployment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