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Advisor Meeting Transcript</w:t>
      </w:r>
    </w:p>
    <w:p>
      <w:r>
        <w:t>Client Name: Aisha Patel</w:t>
        <w:br/>
        <w:t>Age: 51</w:t>
        <w:br/>
        <w:t>Occupation: Orthopedic surgeon</w:t>
        <w:br/>
        <w:t>Marital Status: Married</w:t>
        <w:br/>
        <w:t>Dependents: 2 children</w:t>
        <w:br/>
        <w:t>Annual Income: $875,000 annually</w:t>
        <w:br/>
        <w:t>Risk Tolerance: Balanced</w:t>
        <w:br/>
        <w:t>Investment Horizon: 12 years</w:t>
        <w:br/>
        <w:t>Liquidity Needs: Keep $350,000 liquid for taxes, tuition, and emergency reserves.</w:t>
        <w:br/>
        <w:br/>
        <w:t>Aisha wants retirement planning, education funding, tax efficiency, and long-term growth.</w:t>
        <w:br/>
        <w:t>Existing investments include a 401(k), IRA, taxable brokerage account, ETFs, bonds, and real estate.</w:t>
        <w:br/>
      </w:r>
    </w:p>
    <w:p>
      <w:r>
        <w:t>Advisor note: confirm concentrated employer stock exposure before final recommendation.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