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HEALTHCARE DATA COLLECTION AND QUALITY ASSURANCE PLANNING</w:t>
      </w:r>
    </w:p>
    <w:p>
      <w:pPr>
        <w:jc w:val="center"/>
      </w:pPr>
      <w:r>
        <w:rPr>
          <w:i/>
        </w:rPr>
        <w:t>Healthcare Data Analyst Internship | Planning Report</w:t>
      </w:r>
    </w:p>
    <w:p>
      <w:pPr>
        <w:pStyle w:val="Heading1"/>
      </w:pPr>
      <w:r>
        <w:t>1. Executive Summary</w:t>
      </w:r>
    </w:p>
    <w:p>
      <w:r>
        <w:t>This report presents a practical plan for sourcing, collecting, validating, cleaning, and documenting healthcare data for an analysis project. Reliable analysis depends on data that is relevant, accurate, complete, consistent, timely, and handled responsibly. The report describes possible public data sources, dataset selection criteria, quality checks, a repeatable preparation workflow, and a risk-mitigation plan. No real patient-level dataset was supplied for this report, so it defines a workflow rather than claiming that data validation or analysis has already been performed.</w:t>
      </w:r>
    </w:p>
    <w:p>
      <w:pPr>
        <w:pStyle w:val="Heading1"/>
      </w:pPr>
      <w:r>
        <w:t>2. Project Goal and Scope</w:t>
      </w:r>
    </w:p>
    <w:p>
      <w:r>
        <w:t>Goal: establish a documented process for acquiring a suitable healthcare dataset and checking its quality before analysis. The proposed scope is a non-identifiable, public or properly authorized dataset suitable for an educational project.</w:t>
      </w:r>
    </w:p>
    <w:p>
      <w:pPr>
        <w:pStyle w:val="ListBullet"/>
      </w:pPr>
      <w:r>
        <w:t>Identify a clear question, such as understanding appointment attendance or hospital service use.</w:t>
      </w:r>
    </w:p>
    <w:p>
      <w:pPr>
        <w:pStyle w:val="ListBullet"/>
      </w:pPr>
      <w:r>
        <w:t>Locate a dataset whose fields and population match the question.</w:t>
      </w:r>
    </w:p>
    <w:p>
      <w:pPr>
        <w:pStyle w:val="ListBullet"/>
      </w:pPr>
      <w:r>
        <w:t>Record the source, license, date accessed, field definitions, and known limitations.</w:t>
      </w:r>
    </w:p>
    <w:p>
      <w:pPr>
        <w:pStyle w:val="ListBullet"/>
      </w:pPr>
      <w:r>
        <w:t>Plan validation, cleaning, transformation, and quality reporting.</w:t>
      </w:r>
    </w:p>
    <w:p>
      <w:pPr>
        <w:pStyle w:val="ListBullet"/>
      </w:pPr>
      <w:r>
        <w:t>Protect confidentiality and avoid collecting unnecessary personal information.</w:t>
      </w:r>
    </w:p>
    <w:p>
      <w:pPr>
        <w:pStyle w:val="Heading1"/>
      </w:pPr>
      <w:r>
        <w:t>3. Potential Data Sources and Selection Criteria</w:t>
      </w:r>
    </w:p>
    <w:p>
      <w:r>
        <w:t>Potential sources include government open-data portals, public health agency datasets, research repositories, and de-identified datasets released for education. The selected source must be checked for access conditions, permitted use, documentation, update date, and suitability for the intended question. Do not use private patient records or data obtained without authorization.</w:t>
      </w:r>
    </w:p>
    <w:p>
      <w:pPr>
        <w:pStyle w:val="Heading2"/>
      </w:pPr>
      <w:r>
        <w:t>Dataset selection checklist</w:t>
      </w:r>
    </w:p>
    <w:p>
      <w:pPr>
        <w:pStyle w:val="ListBullet"/>
      </w:pPr>
      <w:r>
        <w:t>Relevance: required variables directly support the project question.</w:t>
      </w:r>
    </w:p>
    <w:p>
      <w:pPr>
        <w:pStyle w:val="ListBullet"/>
      </w:pPr>
      <w:r>
        <w:t>Coverage: population, location, and time period are clearly described.</w:t>
      </w:r>
    </w:p>
    <w:p>
      <w:pPr>
        <w:pStyle w:val="ListBullet"/>
      </w:pPr>
      <w:r>
        <w:t>Completeness: missing values are documented and manageable.</w:t>
      </w:r>
    </w:p>
    <w:p>
      <w:pPr>
        <w:pStyle w:val="ListBullet"/>
      </w:pPr>
      <w:r>
        <w:t>Consistency: dates, units, category labels, and identifiers follow clear rules.</w:t>
      </w:r>
    </w:p>
    <w:p>
      <w:pPr>
        <w:pStyle w:val="ListBullet"/>
      </w:pPr>
      <w:r>
        <w:t>Reliability: the provider explains how the data was collected.</w:t>
      </w:r>
    </w:p>
    <w:p>
      <w:pPr>
        <w:pStyle w:val="ListBullet"/>
      </w:pPr>
      <w:r>
        <w:t>Ethics and privacy: use is permitted and the dataset does not expose identifiable patient information.</w:t>
      </w:r>
    </w:p>
    <w:p>
      <w:pPr>
        <w:pStyle w:val="Heading1"/>
      </w:pPr>
      <w:r>
        <w:t>4. Data Collection Plan</w:t>
      </w:r>
    </w:p>
    <w:p>
      <w:pPr>
        <w:pStyle w:val="ListNumber"/>
      </w:pPr>
      <w:r>
        <w:rPr>
          <w:b/>
        </w:rPr>
        <w:t xml:space="preserve">Define the question: </w:t>
      </w:r>
      <w:r>
        <w:t>Write the business or healthcare question, target population, time period, and required measures.</w:t>
      </w:r>
    </w:p>
    <w:p>
      <w:pPr>
        <w:pStyle w:val="ListNumber"/>
      </w:pPr>
      <w:r>
        <w:rPr>
          <w:b/>
        </w:rPr>
        <w:t xml:space="preserve">Find candidate sources: </w:t>
      </w:r>
      <w:r>
        <w:t>Search reputable public or authorized repositories and read their documentation.</w:t>
      </w:r>
    </w:p>
    <w:p>
      <w:pPr>
        <w:pStyle w:val="ListNumber"/>
      </w:pPr>
      <w:r>
        <w:rPr>
          <w:b/>
        </w:rPr>
        <w:t xml:space="preserve">Evaluate the dataset: </w:t>
      </w:r>
      <w:r>
        <w:t>Check the schema, row count, variable definitions, date coverage, license, and limitations.</w:t>
      </w:r>
    </w:p>
    <w:p>
      <w:pPr>
        <w:pStyle w:val="ListNumber"/>
      </w:pPr>
      <w:r>
        <w:rPr>
          <w:b/>
        </w:rPr>
        <w:t xml:space="preserve">Acquire and preserve: </w:t>
      </w:r>
      <w:r>
        <w:t>Download the authorized file, keep an unchanged raw copy, and record the access date and source URL.</w:t>
      </w:r>
    </w:p>
    <w:p>
      <w:pPr>
        <w:pStyle w:val="ListNumber"/>
      </w:pPr>
      <w:r>
        <w:rPr>
          <w:b/>
        </w:rPr>
        <w:t xml:space="preserve">Create a data dictionary: </w:t>
      </w:r>
      <w:r>
        <w:t>Document each field's meaning, type, allowed values, units, and whether missing values are permitted.</w:t>
      </w:r>
    </w:p>
    <w:p>
      <w:pPr>
        <w:pStyle w:val="ListNumber"/>
      </w:pPr>
      <w:r>
        <w:rPr>
          <w:b/>
        </w:rPr>
        <w:t xml:space="preserve">Log the process: </w:t>
      </w:r>
      <w:r>
        <w:t>Record file name, version, transformations, validation outcomes, and any decisions made.</w:t>
      </w:r>
    </w:p>
    <w:p>
      <w:pPr>
        <w:pStyle w:val="Heading1"/>
      </w:pPr>
      <w:r>
        <w:t>5. Data Quality Dimensions and Checks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Quality dimension</w:t>
            </w:r>
          </w:p>
        </w:tc>
        <w:tc>
          <w:tcPr>
            <w:tcW w:type="dxa" w:w="3312"/>
          </w:tcPr>
          <w:p>
            <w:r>
              <w:t>Planned check</w:t>
            </w:r>
          </w:p>
        </w:tc>
        <w:tc>
          <w:tcPr>
            <w:tcW w:type="dxa" w:w="3312"/>
          </w:tcPr>
          <w:p>
            <w:r>
              <w:t>Example issue to flag</w:t>
            </w:r>
          </w:p>
        </w:tc>
      </w:tr>
      <w:tr>
        <w:tc>
          <w:tcPr>
            <w:tcW w:type="dxa" w:w="3312"/>
          </w:tcPr>
          <w:p>
            <w:r>
              <w:t>Completeness</w:t>
            </w:r>
          </w:p>
        </w:tc>
        <w:tc>
          <w:tcPr>
            <w:tcW w:type="dxa" w:w="3312"/>
          </w:tcPr>
          <w:p>
            <w:r>
              <w:t>Calculate missing-value counts and percentages by field.</w:t>
            </w:r>
          </w:p>
        </w:tc>
        <w:tc>
          <w:tcPr>
            <w:tcW w:type="dxa" w:w="3312"/>
          </w:tcPr>
          <w:p>
            <w:r>
              <w:t>A required appointment date is blank.</w:t>
            </w:r>
          </w:p>
        </w:tc>
      </w:tr>
      <w:tr>
        <w:tc>
          <w:tcPr>
            <w:tcW w:type="dxa" w:w="3312"/>
          </w:tcPr>
          <w:p>
            <w:r>
              <w:t>Uniqueness</w:t>
            </w:r>
          </w:p>
        </w:tc>
        <w:tc>
          <w:tcPr>
            <w:tcW w:type="dxa" w:w="3312"/>
          </w:tcPr>
          <w:p>
            <w:r>
              <w:t>Check repeated records using the appropriate key or field combination.</w:t>
            </w:r>
          </w:p>
        </w:tc>
        <w:tc>
          <w:tcPr>
            <w:tcW w:type="dxa" w:w="3312"/>
          </w:tcPr>
          <w:p>
            <w:r>
              <w:t>The same appointment appears twice.</w:t>
            </w:r>
          </w:p>
        </w:tc>
      </w:tr>
      <w:tr>
        <w:tc>
          <w:tcPr>
            <w:tcW w:type="dxa" w:w="3312"/>
          </w:tcPr>
          <w:p>
            <w:r>
              <w:t>Validity</w:t>
            </w:r>
          </w:p>
        </w:tc>
        <w:tc>
          <w:tcPr>
            <w:tcW w:type="dxa" w:w="3312"/>
          </w:tcPr>
          <w:p>
            <w:r>
              <w:t>Test formats, allowed categories, and valid ranges.</w:t>
            </w:r>
          </w:p>
        </w:tc>
        <w:tc>
          <w:tcPr>
            <w:tcW w:type="dxa" w:w="3312"/>
          </w:tcPr>
          <w:p>
            <w:r>
              <w:t>A date cannot be parsed or an age is outside the documented range.</w:t>
            </w:r>
          </w:p>
        </w:tc>
      </w:tr>
      <w:tr>
        <w:tc>
          <w:tcPr>
            <w:tcW w:type="dxa" w:w="3312"/>
          </w:tcPr>
          <w:p>
            <w:r>
              <w:t>Consistency</w:t>
            </w:r>
          </w:p>
        </w:tc>
        <w:tc>
          <w:tcPr>
            <w:tcW w:type="dxa" w:w="3312"/>
          </w:tcPr>
          <w:p>
            <w:r>
              <w:t>Compare related fields and standardize documented categories and units.</w:t>
            </w:r>
          </w:p>
        </w:tc>
        <w:tc>
          <w:tcPr>
            <w:tcW w:type="dxa" w:w="3312"/>
          </w:tcPr>
          <w:p>
            <w:r>
              <w:t>A discharge date occurs before an admission date.</w:t>
            </w:r>
          </w:p>
        </w:tc>
      </w:tr>
      <w:tr>
        <w:tc>
          <w:tcPr>
            <w:tcW w:type="dxa" w:w="3312"/>
          </w:tcPr>
          <w:p>
            <w:r>
              <w:t>Accuracy</w:t>
            </w:r>
          </w:p>
        </w:tc>
        <w:tc>
          <w:tcPr>
            <w:tcW w:type="dxa" w:w="3312"/>
          </w:tcPr>
          <w:p>
            <w:r>
              <w:t>Compare values with an authoritative reference when permitted.</w:t>
            </w:r>
          </w:p>
        </w:tc>
        <w:tc>
          <w:tcPr>
            <w:tcW w:type="dxa" w:w="3312"/>
          </w:tcPr>
          <w:p>
            <w:r>
              <w:t>A code does not match the source documentation.</w:t>
            </w:r>
          </w:p>
        </w:tc>
      </w:tr>
      <w:tr>
        <w:tc>
          <w:tcPr>
            <w:tcW w:type="dxa" w:w="3312"/>
          </w:tcPr>
          <w:p>
            <w:r>
              <w:t>Timeliness</w:t>
            </w:r>
          </w:p>
        </w:tc>
        <w:tc>
          <w:tcPr>
            <w:tcW w:type="dxa" w:w="3312"/>
          </w:tcPr>
          <w:p>
            <w:r>
              <w:t>Check collection dates, update frequency, and the period covered.</w:t>
            </w:r>
          </w:p>
        </w:tc>
        <w:tc>
          <w:tcPr>
            <w:tcW w:type="dxa" w:w="3312"/>
          </w:tcPr>
          <w:p>
            <w:r>
              <w:t>The dataset does not cover the requested period.</w:t>
            </w:r>
          </w:p>
        </w:tc>
      </w:tr>
    </w:tbl>
    <w:p>
      <w:r>
        <w:t>These are planned checks, not reported findings. Thresholds should be agreed before analysis and justified by the dataset and project purpose. A missing value is not automatically an error; it may have a valid meaning.</w:t>
      </w:r>
    </w:p>
    <w:p>
      <w:pPr>
        <w:pStyle w:val="Heading1"/>
      </w:pPr>
      <w:r>
        <w:t>6. Data Cleaning and Preparation Workflow</w:t>
      </w:r>
    </w:p>
    <w:p>
      <w:pPr>
        <w:pStyle w:val="ListNumber"/>
      </w:pPr>
      <w:r>
        <w:t>Profile the raw data: inspect column names, data types, row counts, distinct values, and missingness.</w:t>
      </w:r>
    </w:p>
    <w:p>
      <w:pPr>
        <w:pStyle w:val="ListNumber"/>
      </w:pPr>
      <w:r>
        <w:t>Preserve the original: never overwrite the raw source file; save cleaned data separately.</w:t>
      </w:r>
    </w:p>
    <w:p>
      <w:pPr>
        <w:pStyle w:val="ListNumber"/>
      </w:pPr>
      <w:r>
        <w:t>Standardize formats: parse dates consistently and normalize categories only when definitions support it.</w:t>
      </w:r>
    </w:p>
    <w:p>
      <w:pPr>
        <w:pStyle w:val="ListNumber"/>
      </w:pPr>
      <w:r>
        <w:t>Handle missing values: investigate why values are missing; document exclusions or imputation decisions.</w:t>
      </w:r>
    </w:p>
    <w:p>
      <w:pPr>
        <w:pStyle w:val="ListNumber"/>
      </w:pPr>
      <w:r>
        <w:t>Check duplicates: identify likely duplicates, verify the record key, and remove records only with a documented reason.</w:t>
      </w:r>
    </w:p>
    <w:p>
      <w:pPr>
        <w:pStyle w:val="ListNumber"/>
      </w:pPr>
      <w:r>
        <w:t>Validate ranges and relationships: flag impossible or contradictory values for review instead of silently changing them.</w:t>
      </w:r>
    </w:p>
    <w:p>
      <w:pPr>
        <w:pStyle w:val="ListNumber"/>
      </w:pPr>
      <w:r>
        <w:t>Transform for analysis: derive variables only when formulas and assumptions are recorded.</w:t>
      </w:r>
    </w:p>
    <w:p>
      <w:pPr>
        <w:pStyle w:val="ListNumber"/>
      </w:pPr>
      <w:r>
        <w:t>Re-run quality checks: compare before-and-after counts and confirm transformations did not create unexplained changes.</w:t>
      </w:r>
    </w:p>
    <w:p>
      <w:pPr>
        <w:pStyle w:val="ListNumber"/>
      </w:pPr>
      <w:r>
        <w:t>Save an audit log: record each change, its reason, and its effect on the dataset.</w:t>
      </w:r>
    </w:p>
    <w:p>
      <w:pPr>
        <w:pStyle w:val="Heading1"/>
      </w:pPr>
      <w:r>
        <w:t>7. Risk Assessment and Mitigation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Potential impact</w:t>
            </w:r>
          </w:p>
        </w:tc>
        <w:tc>
          <w:tcPr>
            <w:tcW w:type="dxa" w:w="3312"/>
          </w:tcPr>
          <w:p>
            <w:r>
              <w:t>Mitigation</w:t>
            </w:r>
          </w:p>
        </w:tc>
      </w:tr>
      <w:tr>
        <w:tc>
          <w:tcPr>
            <w:tcW w:type="dxa" w:w="3312"/>
          </w:tcPr>
          <w:p>
            <w:r>
              <w:t>Missing or incomplete fields</w:t>
            </w:r>
          </w:p>
        </w:tc>
        <w:tc>
          <w:tcPr>
            <w:tcW w:type="dxa" w:w="3312"/>
          </w:tcPr>
          <w:p>
            <w:r>
              <w:t>Biased or limited conclusions</w:t>
            </w:r>
          </w:p>
        </w:tc>
        <w:tc>
          <w:tcPr>
            <w:tcW w:type="dxa" w:w="3312"/>
          </w:tcPr>
          <w:p>
            <w:r>
              <w:t>Quantify missingness; investigate causes; document handling.</w:t>
            </w:r>
          </w:p>
        </w:tc>
      </w:tr>
      <w:tr>
        <w:tc>
          <w:tcPr>
            <w:tcW w:type="dxa" w:w="3312"/>
          </w:tcPr>
          <w:p>
            <w:r>
              <w:t>Duplicate or inconsistent records</w:t>
            </w:r>
          </w:p>
        </w:tc>
        <w:tc>
          <w:tcPr>
            <w:tcW w:type="dxa" w:w="3312"/>
          </w:tcPr>
          <w:p>
            <w:r>
              <w:t>Incorrect counts and summaries</w:t>
            </w:r>
          </w:p>
        </w:tc>
        <w:tc>
          <w:tcPr>
            <w:tcW w:type="dxa" w:w="3312"/>
          </w:tcPr>
          <w:p>
            <w:r>
              <w:t>Define record keys; run duplicate and consistency checks.</w:t>
            </w:r>
          </w:p>
        </w:tc>
      </w:tr>
      <w:tr>
        <w:tc>
          <w:tcPr>
            <w:tcW w:type="dxa" w:w="3312"/>
          </w:tcPr>
          <w:p>
            <w:r>
              <w:t>Unclear source definitions</w:t>
            </w:r>
          </w:p>
        </w:tc>
        <w:tc>
          <w:tcPr>
            <w:tcW w:type="dxa" w:w="3312"/>
          </w:tcPr>
          <w:p>
            <w:r>
              <w:t>Misinterpretation of measures</w:t>
            </w:r>
          </w:p>
        </w:tc>
        <w:tc>
          <w:tcPr>
            <w:tcW w:type="dxa" w:w="3312"/>
          </w:tcPr>
          <w:p>
            <w:r>
              <w:t>Read metadata; contact the provider if appropriate; record assumptions.</w:t>
            </w:r>
          </w:p>
        </w:tc>
      </w:tr>
      <w:tr>
        <w:tc>
          <w:tcPr>
            <w:tcW w:type="dxa" w:w="3312"/>
          </w:tcPr>
          <w:p>
            <w:r>
              <w:t>Privacy or unauthorized use</w:t>
            </w:r>
          </w:p>
        </w:tc>
        <w:tc>
          <w:tcPr>
            <w:tcW w:type="dxa" w:w="3312"/>
          </w:tcPr>
          <w:p>
            <w:r>
              <w:t>Exposure of sensitive information</w:t>
            </w:r>
          </w:p>
        </w:tc>
        <w:tc>
          <w:tcPr>
            <w:tcW w:type="dxa" w:w="3312"/>
          </w:tcPr>
          <w:p>
            <w:r>
              <w:t>Use public/authorized data, minimize fields, and follow access conditions.</w:t>
            </w:r>
          </w:p>
        </w:tc>
      </w:tr>
      <w:tr>
        <w:tc>
          <w:tcPr>
            <w:tcW w:type="dxa" w:w="3312"/>
          </w:tcPr>
          <w:p>
            <w:r>
              <w:t>Selection bias</w:t>
            </w:r>
          </w:p>
        </w:tc>
        <w:tc>
          <w:tcPr>
            <w:tcW w:type="dxa" w:w="3312"/>
          </w:tcPr>
          <w:p>
            <w:r>
              <w:t>Findings may not represent the intended population</w:t>
            </w:r>
          </w:p>
        </w:tc>
        <w:tc>
          <w:tcPr>
            <w:tcW w:type="dxa" w:w="3312"/>
          </w:tcPr>
          <w:p>
            <w:r>
              <w:t>Describe who is included/excluded and avoid unsupported generalization.</w:t>
            </w:r>
          </w:p>
        </w:tc>
      </w:tr>
      <w:tr>
        <w:tc>
          <w:tcPr>
            <w:tcW w:type="dxa" w:w="3312"/>
          </w:tcPr>
          <w:p>
            <w:r>
              <w:t>Unrecorded cleaning changes</w:t>
            </w:r>
          </w:p>
        </w:tc>
        <w:tc>
          <w:tcPr>
            <w:tcW w:type="dxa" w:w="3312"/>
          </w:tcPr>
          <w:p>
            <w:r>
              <w:t>Results cannot be reproduced</w:t>
            </w:r>
          </w:p>
        </w:tc>
        <w:tc>
          <w:tcPr>
            <w:tcW w:type="dxa" w:w="3312"/>
          </w:tcPr>
          <w:p>
            <w:r>
              <w:t>Keep raw files, versioned outputs, and a transformation log.</w:t>
            </w:r>
          </w:p>
        </w:tc>
      </w:tr>
    </w:tbl>
    <w:p>
      <w:pPr>
        <w:pStyle w:val="Heading1"/>
      </w:pPr>
      <w:r>
        <w:t>8. Deliverables and Timeline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Deliverable</w:t>
            </w:r>
          </w:p>
        </w:tc>
        <w:tc>
          <w:tcPr>
            <w:tcW w:type="dxa" w:w="3312"/>
          </w:tcPr>
          <w:p>
            <w:r>
              <w:t>Completion evidence</w:t>
            </w:r>
          </w:p>
        </w:tc>
      </w:tr>
      <w:tr>
        <w:tc>
          <w:tcPr>
            <w:tcW w:type="dxa" w:w="3312"/>
          </w:tcPr>
          <w:p>
            <w:r>
              <w:t>1. Define</w:t>
            </w:r>
          </w:p>
        </w:tc>
        <w:tc>
          <w:tcPr>
            <w:tcW w:type="dxa" w:w="3312"/>
          </w:tcPr>
          <w:p>
            <w:r>
              <w:t>Project question and requirements</w:t>
            </w:r>
          </w:p>
        </w:tc>
        <w:tc>
          <w:tcPr>
            <w:tcW w:type="dxa" w:w="3312"/>
          </w:tcPr>
          <w:p>
            <w:r>
              <w:t>Written question, population, period, and measures</w:t>
            </w:r>
          </w:p>
        </w:tc>
      </w:tr>
      <w:tr>
        <w:tc>
          <w:tcPr>
            <w:tcW w:type="dxa" w:w="3312"/>
          </w:tcPr>
          <w:p>
            <w:r>
              <w:t>2. Source</w:t>
            </w:r>
          </w:p>
        </w:tc>
        <w:tc>
          <w:tcPr>
            <w:tcW w:type="dxa" w:w="3312"/>
          </w:tcPr>
          <w:p>
            <w:r>
              <w:t>Source evaluation record</w:t>
            </w:r>
          </w:p>
        </w:tc>
        <w:tc>
          <w:tcPr>
            <w:tcW w:type="dxa" w:w="3312"/>
          </w:tcPr>
          <w:p>
            <w:r>
              <w:t>Source URL, access date, license, and documentation</w:t>
            </w:r>
          </w:p>
        </w:tc>
      </w:tr>
      <w:tr>
        <w:tc>
          <w:tcPr>
            <w:tcW w:type="dxa" w:w="3312"/>
          </w:tcPr>
          <w:p>
            <w:r>
              <w:t>3. Document</w:t>
            </w:r>
          </w:p>
        </w:tc>
        <w:tc>
          <w:tcPr>
            <w:tcW w:type="dxa" w:w="3312"/>
          </w:tcPr>
          <w:p>
            <w:r>
              <w:t>Data dictionary</w:t>
            </w:r>
          </w:p>
        </w:tc>
        <w:tc>
          <w:tcPr>
            <w:tcW w:type="dxa" w:w="3312"/>
          </w:tcPr>
          <w:p>
            <w:r>
              <w:t>Field definitions, types, units, and allowed values</w:t>
            </w:r>
          </w:p>
        </w:tc>
      </w:tr>
      <w:tr>
        <w:tc>
          <w:tcPr>
            <w:tcW w:type="dxa" w:w="3312"/>
          </w:tcPr>
          <w:p>
            <w:r>
              <w:t>4. Validate</w:t>
            </w:r>
          </w:p>
        </w:tc>
        <w:tc>
          <w:tcPr>
            <w:tcW w:type="dxa" w:w="3312"/>
          </w:tcPr>
          <w:p>
            <w:r>
              <w:t>Quality-check plan/results</w:t>
            </w:r>
          </w:p>
        </w:tc>
        <w:tc>
          <w:tcPr>
            <w:tcW w:type="dxa" w:w="3312"/>
          </w:tcPr>
          <w:p>
            <w:r>
              <w:t>Check definitions and, once data is available, actual counts</w:t>
            </w:r>
          </w:p>
        </w:tc>
      </w:tr>
      <w:tr>
        <w:tc>
          <w:tcPr>
            <w:tcW w:type="dxa" w:w="3312"/>
          </w:tcPr>
          <w:p>
            <w:r>
              <w:t>5. Prepare</w:t>
            </w:r>
          </w:p>
        </w:tc>
        <w:tc>
          <w:tcPr>
            <w:tcW w:type="dxa" w:w="3312"/>
          </w:tcPr>
          <w:p>
            <w:r>
              <w:t>Cleaning workflow and audit log</w:t>
            </w:r>
          </w:p>
        </w:tc>
        <w:tc>
          <w:tcPr>
            <w:tcW w:type="dxa" w:w="3312"/>
          </w:tcPr>
          <w:p>
            <w:r>
              <w:t>Repeatable steps and documented decisions</w:t>
            </w:r>
          </w:p>
        </w:tc>
      </w:tr>
      <w:tr>
        <w:tc>
          <w:tcPr>
            <w:tcW w:type="dxa" w:w="3312"/>
          </w:tcPr>
          <w:p>
            <w:r>
              <w:t>6. Review</w:t>
            </w:r>
          </w:p>
        </w:tc>
        <w:tc>
          <w:tcPr>
            <w:tcW w:type="dxa" w:w="3312"/>
          </w:tcPr>
          <w:p>
            <w:r>
              <w:t>Readiness summary</w:t>
            </w:r>
          </w:p>
        </w:tc>
        <w:tc>
          <w:tcPr>
            <w:tcW w:type="dxa" w:w="3312"/>
          </w:tcPr>
          <w:p>
            <w:r>
              <w:t>Known limitations and approval to proceed or further actions</w:t>
            </w:r>
          </w:p>
        </w:tc>
      </w:tr>
    </w:tbl>
    <w:p>
      <w:pPr>
        <w:pStyle w:val="Heading1"/>
      </w:pPr>
      <w:r>
        <w:t>9. Best Practices</w:t>
      </w:r>
    </w:p>
    <w:p>
      <w:pPr>
        <w:pStyle w:val="ListBullet"/>
      </w:pPr>
      <w:r>
        <w:t>Use only authorized data and follow applicable privacy and data-use requirements.</w:t>
      </w:r>
    </w:p>
    <w:p>
      <w:pPr>
        <w:pStyle w:val="ListBullet"/>
      </w:pPr>
      <w:r>
        <w:t>Keep raw data unchanged and separate it from cleaned and analysis-ready files.</w:t>
      </w:r>
    </w:p>
    <w:p>
      <w:pPr>
        <w:pStyle w:val="ListBullet"/>
      </w:pPr>
      <w:r>
        <w:t>Use reproducible scripts or documented steps instead of undocumented manual edits.</w:t>
      </w:r>
    </w:p>
    <w:p>
      <w:pPr>
        <w:pStyle w:val="ListBullet"/>
      </w:pPr>
      <w:r>
        <w:t>Record assumptions, exclusions, definitions, and quality issues transparently.</w:t>
      </w:r>
    </w:p>
    <w:p>
      <w:pPr>
        <w:pStyle w:val="ListBullet"/>
      </w:pPr>
      <w:r>
        <w:t>Avoid claiming that a dataset is accurate simply because it has no missing values.</w:t>
      </w:r>
    </w:p>
    <w:p>
      <w:pPr>
        <w:pStyle w:val="ListBullet"/>
      </w:pPr>
      <w:r>
        <w:t>Use aggregate results where possible and suppress identifying details in shared outputs.</w:t>
      </w:r>
    </w:p>
    <w:p>
      <w:pPr>
        <w:pStyle w:val="ListBullet"/>
      </w:pPr>
      <w:r>
        <w:t>Recheck quality after every major transformation.</w:t>
      </w:r>
    </w:p>
    <w:p>
      <w:pPr>
        <w:pStyle w:val="Heading1"/>
      </w:pPr>
      <w:r>
        <w:t>10. Conclusion</w:t>
      </w:r>
    </w:p>
    <w:p>
      <w:r>
        <w:t>A structured collection and quality-assurance process helps prevent avoidable errors before healthcare data is analyzed. The next step is to select an appropriate public or authorized dataset, document its source and definitions, run the planned checks, and replace this planning report's future-tense descriptions with actual evidence. Any reported counts, percentages, or quality outcomes should come from the chosen dataset and be reproducible from the saved workflow.</w:t>
      </w:r>
    </w:p>
    <w:p>
      <w:pPr>
        <w:pStyle w:val="Heading1"/>
      </w:pPr>
      <w:r>
        <w:t>Submission Readiness Checklist</w:t>
      </w:r>
    </w:p>
    <w:p>
      <w:r>
        <w:t>☐ Add the selected dataset name, source URL, license, and access date.</w:t>
      </w:r>
    </w:p>
    <w:p>
      <w:r>
        <w:t>☐ Attach or link the data dictionary and a non-sensitive sample/schema.</w:t>
      </w:r>
    </w:p>
    <w:p>
      <w:r>
        <w:t>☐ Run quality checks and insert actual counts or percentages only after calculating them.</w:t>
      </w:r>
    </w:p>
    <w:p>
      <w:r>
        <w:t>☐ Document cleaning decisions and retain the raw source separately.</w:t>
      </w:r>
    </w:p>
    <w:p>
      <w:r>
        <w:t>☐ Verify that no private patient data, credentials, or secrets are included.</w:t>
      </w:r>
    </w:p>
    <w:p>
      <w:r>
        <w:t>☐ Proofread the final report and ensure every result is supported by evidence.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