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022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0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4" w:lineRule="exact" w:before="0" w:after="0"/>
        <w:ind w:left="11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09/26/2022</w:t>
      </w:r>
    </w:p>
    <w:p>
      <w:pPr>
        <w:autoSpaceDN w:val="0"/>
        <w:autoSpaceDE w:val="0"/>
        <w:widowControl/>
        <w:spacing w:line="234" w:lineRule="exact" w:before="856" w:after="10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0"/>
        </w:rPr>
        <w:t>Data Migration Statement of 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794"/>
        <w:gridCol w:w="2794"/>
        <w:gridCol w:w="2794"/>
        <w:gridCol w:w="2794"/>
      </w:tblGrid>
      <w:tr>
        <w:trPr>
          <w:trHeight w:hRule="exact" w:val="358"/>
        </w:trPr>
        <w:tc>
          <w:tcPr>
            <w:tcW w:type="dxa" w:w="5562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70ad4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Customer Name and Address</w:t>
            </w:r>
          </w:p>
        </w:tc>
        <w:tc>
          <w:tcPr>
            <w:tcW w:type="dxa" w:w="5564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70ad4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FIS Internal Information</w:t>
            </w:r>
          </w:p>
        </w:tc>
      </w:tr>
      <w:tr>
        <w:trPr>
          <w:trHeight w:hRule="exact" w:val="2980"/>
        </w:trPr>
        <w:tc>
          <w:tcPr>
            <w:tcW w:type="dxa" w:w="5562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98" w:val="left"/>
              </w:tabs>
              <w:autoSpaceDE w:val="0"/>
              <w:widowControl/>
              <w:spacing w:line="258" w:lineRule="exact" w:before="8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Name: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Tavishi Bank2</w:t>
            </w:r>
          </w:p>
          <w:p>
            <w:pPr>
              <w:autoSpaceDN w:val="0"/>
              <w:tabs>
                <w:tab w:pos="1598" w:val="left"/>
              </w:tabs>
              <w:autoSpaceDE w:val="0"/>
              <w:widowControl/>
              <w:spacing w:line="258" w:lineRule="exact" w:before="8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Address: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2</w:t>
            </w:r>
          </w:p>
          <w:p>
            <w:pPr>
              <w:autoSpaceDN w:val="0"/>
              <w:autoSpaceDE w:val="0"/>
              <w:widowControl/>
              <w:spacing w:line="256" w:lineRule="exact" w:before="80" w:after="40"/>
              <w:ind w:left="0" w:right="345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1321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2781"/>
              <w:gridCol w:w="2781"/>
            </w:tblGrid>
            <w:tr>
              <w:trPr>
                <w:trHeight w:hRule="exact" w:val="1854"/>
              </w:trPr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0" w:after="0"/>
                    <w:ind w:left="60" w:right="144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Attention: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Email: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Acquired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Bank (if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applicable): </w:t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>Core: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98" w:right="1152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1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132@fkjhfhdfd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>13</w:t>
                  </w:r>
                </w:p>
                <w:p>
                  <w:pPr>
                    <w:autoSpaceDN w:val="0"/>
                    <w:autoSpaceDE w:val="0"/>
                    <w:widowControl/>
                    <w:spacing w:line="258" w:lineRule="exact" w:before="596" w:after="0"/>
                    <w:ind w:left="198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>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564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98" w:val="left"/>
              </w:tabs>
              <w:autoSpaceDE w:val="0"/>
              <w:widowControl/>
              <w:spacing w:line="338" w:lineRule="exact" w:before="0" w:after="0"/>
              <w:ind w:left="80" w:right="158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SOW ID: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LEG202209271706DEC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CMS ID: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EMS ID: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231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PL ID: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321</w:t>
            </w:r>
          </w:p>
        </w:tc>
      </w:tr>
      <w:tr>
        <w:trPr>
          <w:trHeight w:hRule="exact" w:val="358"/>
        </w:trPr>
        <w:tc>
          <w:tcPr>
            <w:tcW w:type="dxa" w:w="14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70ad4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Qty</w:t>
            </w:r>
          </w:p>
        </w:tc>
        <w:tc>
          <w:tcPr>
            <w:tcW w:type="dxa" w:w="79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70ad4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Project Scope</w:t>
            </w:r>
          </w:p>
        </w:tc>
        <w:tc>
          <w:tcPr>
            <w:tcW w:type="dxa" w:w="17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70ad4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Total</w:t>
            </w:r>
          </w:p>
        </w:tc>
      </w:tr>
      <w:tr>
        <w:trPr>
          <w:trHeight w:hRule="exact" w:val="3568"/>
        </w:trPr>
        <w:tc>
          <w:tcPr>
            <w:tcW w:type="dxa" w:w="1450"/>
            <w:tcBorders>
              <w:start w:sz="8.0" w:val="single" w:color="#000000"/>
              <w:top w:sz="8.0" w:val="single" w:color="#000000"/>
              <w:end w:sz="8.0" w:val="single" w:color="#7F7F7F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Up to</w:t>
            </w:r>
          </w:p>
          <w:p>
            <w:pPr>
              <w:autoSpaceDN w:val="0"/>
              <w:autoSpaceDE w:val="0"/>
              <w:widowControl/>
              <w:spacing w:line="320" w:lineRule="exact" w:before="74" w:after="0"/>
              <w:ind w:left="576" w:right="8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321 GB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 GB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31 GB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 GB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 GB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0 GB</w:t>
            </w:r>
          </w:p>
        </w:tc>
        <w:tc>
          <w:tcPr>
            <w:tcW w:type="dxa" w:w="7908"/>
            <w:gridSpan w:val="2"/>
            <w:tcBorders>
              <w:start w:sz="8.0" w:val="single" w:color="#7F7F7F"/>
              <w:top w:sz="8.0" w:val="single" w:color="#000000"/>
              <w:end w:sz="8.0" w:val="single" w:color="#7F7F7F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38" w:val="left"/>
              </w:tabs>
              <w:autoSpaceDE w:val="0"/>
              <w:widowControl/>
              <w:spacing w:line="210" w:lineRule="exact" w:before="8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Task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Time Parameters</w:t>
            </w:r>
          </w:p>
          <w:p>
            <w:pPr>
              <w:autoSpaceDN w:val="0"/>
              <w:autoSpaceDE w:val="0"/>
              <w:widowControl/>
              <w:spacing w:line="320" w:lineRule="exact" w:before="34" w:after="464"/>
              <w:ind w:left="80" w:right="3888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Import POD Images to IC/FCM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Import Statements/eStatements to IC/FCM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Import COLD Reports to IC/FCM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Import Document Images to IC/FCM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Import Signature Cards to IC/FCM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Import Signature Snippets to IC/FCM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3954"/>
              <w:gridCol w:w="3954"/>
            </w:tblGrid>
            <w:tr>
              <w:trPr>
                <w:trHeight w:hRule="exact" w:val="788"/>
              </w:trPr>
              <w:tc>
                <w:tcPr>
                  <w:tcW w:type="dxa" w:w="6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62" w:after="0"/>
                    <w:ind w:left="50" w:right="864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 xml:space="preserve">Data must be provided in FIS standard format for import. </w:t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 xml:space="preserve">Import formats are defined in the Quote Request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Questionnaire document.</w:t>
                  </w:r>
                </w:p>
              </w:tc>
              <w:tc>
                <w:tcPr>
                  <w:tcW w:type="dxa" w:w="1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62" w:after="0"/>
                    <w:ind w:left="864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 xml:space="preserve">Subtotal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Discount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68"/>
            <w:tcBorders>
              <w:start w:sz="8.0" w:val="single" w:color="#7F7F7F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4" w:after="0"/>
              <w:ind w:left="576" w:right="8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$ 27,365.00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$ 0.00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$ 12,150.00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$ 0.00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$ 0.00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$ 0.00</w:t>
            </w:r>
          </w:p>
          <w:p>
            <w:pPr>
              <w:autoSpaceDN w:val="0"/>
              <w:autoSpaceDE w:val="0"/>
              <w:widowControl/>
              <w:spacing w:line="234" w:lineRule="exact" w:before="526" w:after="0"/>
              <w:ind w:left="1116" w:right="0" w:hanging="49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$ 39,515.00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$ 0.00</w:t>
            </w:r>
          </w:p>
        </w:tc>
      </w:tr>
      <w:tr>
        <w:trPr>
          <w:trHeight w:hRule="exact" w:val="414"/>
        </w:trPr>
        <w:tc>
          <w:tcPr>
            <w:tcW w:type="dxa" w:w="14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8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60" w:val="left"/>
              </w:tabs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To be invoiced 100% upon execution of this SOW.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17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0" w:right="8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$ 39,515.00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11176"/>
      </w:tblGrid>
      <w:tr>
        <w:trPr>
          <w:trHeight w:hRule="exact" w:val="536"/>
        </w:trPr>
        <w:tc>
          <w:tcPr>
            <w:tcW w:type="dxa" w:w="11066"/>
            <w:tcBorders/>
            <w:shd w:fill="70ad47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188" w:lineRule="exact" w:before="80" w:after="0"/>
              <w:ind w:left="0" w:right="576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 xml:space="preserve"> This Statement of Work (SOW) is made pursuant to the Information Technology Services Agreement (the Agreement) between Fidelity Information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Services, LLC (FIS) and Tavishi Bank2 (Client) in effect as of the date of this State of Work.</w:t>
            </w:r>
          </w:p>
        </w:tc>
      </w:tr>
    </w:tbl>
    <w:p>
      <w:pPr>
        <w:autoSpaceDN w:val="0"/>
        <w:autoSpaceDE w:val="0"/>
        <w:widowControl/>
        <w:spacing w:line="234" w:lineRule="exact" w:before="140" w:after="360"/>
        <w:ind w:left="110" w:right="144" w:hanging="5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 IN WITNESS WHEREOF, the undersigned duly authorized representatives of the parties have executed this Statement of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Work as of the date set forth below. Any and all changes to this Statement of Work, including but not limited to deliverables </w:t>
      </w:r>
      <w:r>
        <w:rPr>
          <w:rFonts w:ascii="Roboto" w:hAnsi="Roboto" w:eastAsia="Roboto"/>
          <w:b w:val="0"/>
          <w:i w:val="0"/>
          <w:color w:val="000000"/>
          <w:sz w:val="20"/>
        </w:rPr>
        <w:t>and scope, must be in writing and approved by both parties before becoming effective.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2794"/>
        <w:gridCol w:w="2794"/>
        <w:gridCol w:w="2794"/>
        <w:gridCol w:w="2794"/>
      </w:tblGrid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19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Company: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 Tavishi Bank2           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3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Accepted: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7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 FIS            </w:t>
            </w:r>
          </w:p>
        </w:tc>
      </w:tr>
      <w:tr>
        <w:trPr>
          <w:trHeight w:hRule="exact" w:val="53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8" w:after="0"/>
              <w:ind w:left="0" w:right="4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By: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34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 132@fkjhfhdfd           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8" w:after="0"/>
              <w:ind w:left="0" w:right="3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By:</w:t>
            </w:r>
          </w:p>
        </w:tc>
        <w:tc>
          <w:tcPr>
            <w:tcW w:type="dxa" w:w="2794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80" w:after="0"/>
              <w:ind w:left="0" w:right="4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Print:</w:t>
            </w:r>
          </w:p>
        </w:tc>
        <w:tc>
          <w:tcPr>
            <w:tcW w:type="dxa" w:w="27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80" w:after="0"/>
              <w:ind w:left="0" w:right="3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Title:</w:t>
            </w:r>
          </w:p>
        </w:tc>
        <w:tc>
          <w:tcPr>
            <w:tcW w:type="dxa" w:w="279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0" w:after="0"/>
              <w:ind w:left="0" w:right="4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Email:</w:t>
            </w:r>
          </w:p>
        </w:tc>
        <w:tc>
          <w:tcPr>
            <w:tcW w:type="dxa" w:w="27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0" w:after="0"/>
              <w:ind w:left="0" w:right="3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Date:</w:t>
            </w:r>
          </w:p>
        </w:tc>
        <w:tc>
          <w:tcPr>
            <w:tcW w:type="dxa" w:w="27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00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2"/>
        </w:rPr>
        <w:t>Title:</w:t>
      </w:r>
    </w:p>
    <w:p>
      <w:pPr>
        <w:autoSpaceDN w:val="0"/>
        <w:autoSpaceDE w:val="0"/>
        <w:widowControl/>
        <w:spacing w:line="258" w:lineRule="exact" w:before="160" w:after="0"/>
        <w:ind w:left="83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2"/>
        </w:rPr>
        <w:t>Date:</w:t>
      </w:r>
    </w:p>
    <w:p>
      <w:pPr>
        <w:autoSpaceDN w:val="0"/>
        <w:autoSpaceDE w:val="0"/>
        <w:widowControl/>
        <w:spacing w:line="234" w:lineRule="exact" w:before="1552" w:after="0"/>
        <w:ind w:left="27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SOW is valid for 90 days from the date listed in header section above.</w:t>
      </w:r>
    </w:p>
    <w:p>
      <w:pPr>
        <w:autoSpaceDN w:val="0"/>
        <w:autoSpaceDE w:val="0"/>
        <w:widowControl/>
        <w:spacing w:line="234" w:lineRule="exact" w:before="66" w:after="0"/>
        <w:ind w:left="0" w:right="2528" w:firstLine="0"/>
        <w:jc w:val="right"/>
      </w:pPr>
      <w:r>
        <w:rPr>
          <w:rFonts w:ascii="Roboto" w:hAnsi="Roboto" w:eastAsia="Roboto"/>
          <w:b w:val="0"/>
          <w:i w:val="0"/>
          <w:color w:val="000000"/>
          <w:sz w:val="20"/>
        </w:rPr>
        <w:t>Email entire signed SOW to:  IP.Implementations@FISglobal.com</w:t>
      </w:r>
    </w:p>
    <w:p>
      <w:pPr>
        <w:sectPr>
          <w:pgSz w:w="11906" w:h="16838"/>
          <w:pgMar w:top="290" w:right="360" w:bottom="332" w:left="370" w:header="720" w:footer="720" w:gutter="0"/>
          <w:cols w:space="720" w:num="1" w:equalWidth="0">
            <w:col w:w="11176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87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7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0" w:lineRule="exact" w:before="82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Notes: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Unless otherwise stated in this SOW, all terms defined in the Agreement shall have the same meaning in this SOW. If there are any conflicts between the 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provisions of this SOW and the Agreement, the terms of this SOW shall control with respect to the subject matter of this SOW. FIS shall provide the </w:t>
      </w:r>
      <w:r>
        <w:rPr>
          <w:rFonts w:ascii="Roboto" w:hAnsi="Roboto" w:eastAsia="Roboto"/>
          <w:b w:val="0"/>
          <w:i w:val="0"/>
          <w:color w:val="000000"/>
          <w:sz w:val="16"/>
        </w:rPr>
        <w:t>Services described below.</w:t>
      </w:r>
    </w:p>
    <w:p>
      <w:pPr>
        <w:autoSpaceDN w:val="0"/>
        <w:autoSpaceDE w:val="0"/>
        <w:widowControl/>
        <w:spacing w:line="186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COMMENCEMENT DATE AND TERM.</w:t>
      </w:r>
    </w:p>
    <w:p>
      <w:pPr>
        <w:autoSpaceDN w:val="0"/>
        <w:autoSpaceDE w:val="0"/>
        <w:widowControl/>
        <w:spacing w:line="188" w:lineRule="exact" w:before="188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In consideration for Client’s payment of the fees set forth below, FIS shall provide Services pursuant to this SOW commencing on the date this SOW is 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accepted by FIS and will continue to provide these Services until the Deliverables are met. This SOW shall remain in effect for the duration of the project </w:t>
      </w:r>
      <w:r>
        <w:rPr>
          <w:rFonts w:ascii="Roboto" w:hAnsi="Roboto" w:eastAsia="Roboto"/>
          <w:b w:val="0"/>
          <w:i w:val="0"/>
          <w:color w:val="000000"/>
          <w:sz w:val="16"/>
        </w:rPr>
        <w:t>unless it is terminated pursuant to the Agreement.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PROJECT SCOPE.</w:t>
      </w:r>
    </w:p>
    <w:p>
      <w:pPr>
        <w:autoSpaceDN w:val="0"/>
        <w:autoSpaceDE w:val="0"/>
        <w:widowControl/>
        <w:spacing w:line="186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The deliverables for this SOW are identified on page one of this SOW under Project Scope.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FIS RESPONSIBILITIES.</w:t>
      </w:r>
    </w:p>
    <w:p>
      <w:pPr>
        <w:autoSpaceDN w:val="0"/>
        <w:autoSpaceDE w:val="0"/>
        <w:widowControl/>
        <w:spacing w:line="376" w:lineRule="exact" w:before="0" w:after="0"/>
        <w:ind w:left="0" w:right="216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FIS shall have responsibility for the following: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>Assign an individual who will serve as FIS’ primary point of contact for all communications with Client in respect to this SOW.</w:t>
      </w:r>
    </w:p>
    <w:p>
      <w:pPr>
        <w:autoSpaceDN w:val="0"/>
        <w:autoSpaceDE w:val="0"/>
        <w:widowControl/>
        <w:spacing w:line="188" w:lineRule="exact" w:before="186" w:after="0"/>
        <w:ind w:left="0" w:right="72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Determine and communicate time frames to Client for completion of deliverables to be provided by FIS. If time frames for deliverables cannot be </w:t>
      </w:r>
      <w:r>
        <w:rPr>
          <w:rFonts w:ascii="Roboto" w:hAnsi="Roboto" w:eastAsia="Roboto"/>
          <w:b w:val="0"/>
          <w:i w:val="0"/>
          <w:color w:val="000000"/>
          <w:sz w:val="16"/>
        </w:rPr>
        <w:t>determined that are acceptable to Client, then FIS can terminate this agreement.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Cooperate and consult as necessary to enable FIS to perform the Services hereunder in a timely manner.</w:t>
      </w:r>
    </w:p>
    <w:p>
      <w:pPr>
        <w:autoSpaceDN w:val="0"/>
        <w:autoSpaceDE w:val="0"/>
        <w:widowControl/>
        <w:spacing w:line="188" w:lineRule="exact" w:before="18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Assign resources who have the skills to fulfill FIS’ responsibility under the SOW.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FIS will notify the Client of any items which are discovered to be corrupt or otherwise unconvertable.</w:t>
      </w:r>
    </w:p>
    <w:p>
      <w:pPr>
        <w:autoSpaceDN w:val="0"/>
        <w:autoSpaceDE w:val="0"/>
        <w:widowControl/>
        <w:spacing w:line="188" w:lineRule="exact" w:before="18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FIS will only be responsible for retaining Client conversion data through acceptance as described in Section 5 Acceptance below.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CLIENT RESPONSIBILITIES.</w:t>
      </w:r>
    </w:p>
    <w:p>
      <w:pPr>
        <w:autoSpaceDN w:val="0"/>
        <w:autoSpaceDE w:val="0"/>
        <w:widowControl/>
        <w:spacing w:line="250" w:lineRule="exact" w:before="124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Client shall have responsibility for the following: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Validate that the information used to define the deliverables in the Project Scope section on page one of the SOW is accurate, in particular the data size 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information. If the actual data size converted is larger than what is specified in this SOW, then Client agrees to pay FIS for all data converted in excess of </w:t>
      </w:r>
      <w:r>
        <w:rPr>
          <w:rFonts w:ascii="Roboto" w:hAnsi="Roboto" w:eastAsia="Roboto"/>
          <w:b w:val="0"/>
          <w:i w:val="0"/>
          <w:color w:val="000000"/>
          <w:sz w:val="16"/>
        </w:rPr>
        <w:t>what is specified, at FIS standard rates for data conversion.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Assign an individual who will serve as Client’s primary point of contact for all communications with FIS with respect to this SOW.</w:t>
      </w:r>
    </w:p>
    <w:p>
      <w:pPr>
        <w:autoSpaceDN w:val="0"/>
        <w:autoSpaceDE w:val="0"/>
        <w:widowControl/>
        <w:spacing w:line="188" w:lineRule="exact" w:before="18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Cooperate and consult with FIS as necessary to enable FIS to perform the Service hereunder in a timely manner.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Provide all Client-specific and third-party computer-related equipment and software necessary for FIS’ performance hereunder.</w:t>
      </w:r>
    </w:p>
    <w:p>
      <w:pPr>
        <w:autoSpaceDN w:val="0"/>
        <w:autoSpaceDE w:val="0"/>
        <w:widowControl/>
        <w:spacing w:line="188" w:lineRule="exact" w:before="186" w:after="0"/>
        <w:ind w:left="0" w:right="57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If FIS is required to use third party software that is in addition to the third-party software already in use by FIS, Client shall be solely responsible for </w:t>
      </w:r>
      <w:r>
        <w:rPr>
          <w:rFonts w:ascii="Roboto" w:hAnsi="Roboto" w:eastAsia="Roboto"/>
          <w:b w:val="0"/>
          <w:i w:val="0"/>
          <w:color w:val="000000"/>
          <w:sz w:val="16"/>
        </w:rPr>
        <w:t>providing such third-party software as its expense.</w:t>
      </w:r>
    </w:p>
    <w:p>
      <w:pPr>
        <w:autoSpaceDN w:val="0"/>
        <w:autoSpaceDE w:val="0"/>
        <w:widowControl/>
        <w:spacing w:line="188" w:lineRule="exact" w:before="186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Obtain any consent necessary for FIS’ access to and use of any Client or third-party software of systems, at Client’s expense, prior to commencement of </w:t>
      </w:r>
      <w:r>
        <w:rPr>
          <w:rFonts w:ascii="Roboto" w:hAnsi="Roboto" w:eastAsia="Roboto"/>
          <w:b w:val="0"/>
          <w:i w:val="0"/>
          <w:color w:val="000000"/>
          <w:sz w:val="16"/>
        </w:rPr>
        <w:t>Services.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Client will not unreasonably delay FIS’ completion of its responsibilities under this SOW.</w:t>
      </w:r>
    </w:p>
    <w:p>
      <w:pPr>
        <w:autoSpaceDN w:val="0"/>
        <w:autoSpaceDE w:val="0"/>
        <w:widowControl/>
        <w:spacing w:line="188" w:lineRule="exact" w:before="18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Provide timely access to Client resources and information.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Assign resources who will have the skills necessary to fulfill Client’s responsibilities under this SOW.</w:t>
      </w:r>
    </w:p>
    <w:p>
      <w:pPr>
        <w:autoSpaceDN w:val="0"/>
        <w:autoSpaceDE w:val="0"/>
        <w:widowControl/>
        <w:spacing w:line="188" w:lineRule="exact" w:before="186" w:after="0"/>
        <w:ind w:left="0" w:right="28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In the event the Client cancels any or all the work described in the Project Scope section on page one of this SOW, Client agrees to pay FIS 100% of the </w:t>
      </w:r>
      <w:r>
        <w:rPr>
          <w:rFonts w:ascii="Roboto" w:hAnsi="Roboto" w:eastAsia="Roboto"/>
          <w:b w:val="0"/>
          <w:i w:val="0"/>
          <w:color w:val="000000"/>
          <w:sz w:val="16"/>
        </w:rPr>
        <w:t>total price listed on page one of this SOW.</w:t>
      </w:r>
    </w:p>
    <w:p>
      <w:pPr>
        <w:autoSpaceDN w:val="0"/>
        <w:autoSpaceDE w:val="0"/>
        <w:widowControl/>
        <w:spacing w:line="186" w:lineRule="exact" w:before="188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Client will deliver conversion data to FIS in a defined and documented format outlined in the latest “Quote Request Questionnaire”, including data mapping. </w:t>
      </w:r>
    </w:p>
    <w:p>
      <w:pPr>
        <w:autoSpaceDN w:val="0"/>
        <w:autoSpaceDE w:val="0"/>
        <w:widowControl/>
        <w:spacing w:line="188" w:lineRule="exact" w:before="0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If Client cannot provide conversion data to FIS in a format that is agreeable to FIS, Client will need to engage a third party at Clients expense to alter data </w:t>
      </w:r>
      <w:r>
        <w:rPr>
          <w:rFonts w:ascii="Roboto" w:hAnsi="Roboto" w:eastAsia="Roboto"/>
          <w:b w:val="0"/>
          <w:i w:val="0"/>
          <w:color w:val="000000"/>
          <w:sz w:val="16"/>
        </w:rPr>
        <w:t>into the FIS standard format. If the data cannot be provided in the FIS standard format FIS reserves the right to cancel this SOW.</w:t>
      </w:r>
    </w:p>
    <w:p>
      <w:pPr>
        <w:autoSpaceDN w:val="0"/>
        <w:autoSpaceDE w:val="0"/>
        <w:widowControl/>
        <w:spacing w:line="188" w:lineRule="exact" w:before="186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Unless otherwise agreed upon in writing, Client will deliver conversion data to FIS using method that is agreed upon by the FIS individual who is assigned </w:t>
      </w:r>
      <w:r>
        <w:rPr>
          <w:rFonts w:ascii="Roboto" w:hAnsi="Roboto" w:eastAsia="Roboto"/>
          <w:b w:val="0"/>
          <w:i w:val="0"/>
          <w:color w:val="000000"/>
          <w:sz w:val="16"/>
        </w:rPr>
        <w:t>as the primary point of contact with respect to this SOW.</w:t>
      </w:r>
    </w:p>
    <w:p>
      <w:pPr>
        <w:autoSpaceDN w:val="0"/>
        <w:autoSpaceDE w:val="0"/>
        <w:widowControl/>
        <w:spacing w:line="186" w:lineRule="exact" w:before="190" w:after="0"/>
        <w:ind w:left="0" w:right="57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Client will identify any account number/type that requires translation and will provide an Excel file of related old and new accounts prior to the data </w:t>
      </w:r>
      <w:r>
        <w:rPr>
          <w:rFonts w:ascii="Roboto" w:hAnsi="Roboto" w:eastAsia="Roboto"/>
          <w:b w:val="0"/>
          <w:i w:val="0"/>
          <w:color w:val="000000"/>
          <w:sz w:val="16"/>
        </w:rPr>
        <w:t>conversion.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Client acknowledges that FIS may utilize the services of a sub-contractor for all or part of the data conversion services.</w:t>
      </w:r>
    </w:p>
    <w:p>
      <w:pPr>
        <w:autoSpaceDN w:val="0"/>
        <w:autoSpaceDE w:val="0"/>
        <w:widowControl/>
        <w:spacing w:line="188" w:lineRule="exact" w:before="186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Client is responsible for all costs associated with maintaining access to conversion data source systems(s) for data retrieval or other reasons for the 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duration of time necessary to conclude and validate conversion activities. This agreement does not cover extended research access to data stored at an </w:t>
      </w:r>
      <w:r>
        <w:rPr>
          <w:rFonts w:ascii="Roboto" w:hAnsi="Roboto" w:eastAsia="Roboto"/>
          <w:b w:val="0"/>
          <w:i w:val="0"/>
          <w:color w:val="000000"/>
          <w:sz w:val="16"/>
        </w:rPr>
        <w:t>FIS facility, FIS licensed product, or 3rd party processor/product.</w:t>
      </w:r>
    </w:p>
    <w:p>
      <w:pPr>
        <w:autoSpaceDN w:val="0"/>
        <w:autoSpaceDE w:val="0"/>
        <w:widowControl/>
        <w:spacing w:line="186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ACCEPTANCE.</w:t>
      </w:r>
    </w:p>
    <w:p>
      <w:pPr>
        <w:autoSpaceDN w:val="0"/>
        <w:autoSpaceDE w:val="0"/>
        <w:widowControl/>
        <w:spacing w:line="188" w:lineRule="exact" w:before="188" w:after="0"/>
        <w:ind w:left="0" w:right="57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Following delivery of any work outlined in this SOW, Client shall have a thirty (30) day period of Client testing, analysis and sign-off. Sign-off will be </w:t>
      </w:r>
      <w:r>
        <w:rPr>
          <w:rFonts w:ascii="Roboto" w:hAnsi="Roboto" w:eastAsia="Roboto"/>
          <w:b w:val="0"/>
          <w:i w:val="0"/>
          <w:color w:val="000000"/>
          <w:sz w:val="16"/>
        </w:rPr>
        <w:t>considered to occur upon the expiration of the thirty (30) day period, unless otherwise indicated in writing and agreed to by both parties.</w:t>
      </w:r>
    </w:p>
    <w:p>
      <w:pPr>
        <w:autoSpaceDN w:val="0"/>
        <w:autoSpaceDE w:val="0"/>
        <w:widowControl/>
        <w:spacing w:line="188" w:lineRule="exact" w:before="18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GENERAL ASSUMPTIONS, EXCLUSIONS, AND CONSTRAINTS.</w:t>
      </w:r>
    </w:p>
    <w:p>
      <w:pPr>
        <w:sectPr>
          <w:pgSz w:w="11906" w:h="16838"/>
          <w:pgMar w:top="210" w:right="438" w:bottom="360" w:left="480" w:header="720" w:footer="720" w:gutter="0"/>
          <w:cols w:space="720" w:num="1" w:equalWidth="0">
            <w:col w:w="10988" w:space="0"/>
            <w:col w:w="1117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879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7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8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This SOW is only valid for non-FIS software moving to FIS products.</w:t>
      </w:r>
    </w:p>
    <w:p>
      <w:pPr>
        <w:autoSpaceDN w:val="0"/>
        <w:autoSpaceDE w:val="0"/>
        <w:widowControl/>
        <w:spacing w:line="186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During FIS change restriction periods, data conversion and/or de conversion services may be limited or halted.</w:t>
      </w:r>
    </w:p>
    <w:p>
      <w:pPr>
        <w:autoSpaceDN w:val="0"/>
        <w:autoSpaceDE w:val="0"/>
        <w:widowControl/>
        <w:spacing w:line="186" w:lineRule="exact" w:before="190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Transaction integrity for POD data conversion items is NOT OFFERED. FIS assumes no liability for any damages or loss of any kind that result from the </w:t>
      </w:r>
      <w:r>
        <w:rPr>
          <w:rFonts w:ascii="Roboto" w:hAnsi="Roboto" w:eastAsia="Roboto"/>
          <w:b w:val="0"/>
          <w:i w:val="0"/>
          <w:color w:val="000000"/>
          <w:sz w:val="16"/>
        </w:rPr>
        <w:t>misidentification of transactions or transaction boundaries.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Operator/User IDs will NOT be associated with the data for research and history.</w:t>
      </w:r>
    </w:p>
    <w:p>
      <w:pPr>
        <w:autoSpaceDN w:val="0"/>
        <w:autoSpaceDE w:val="0"/>
        <w:widowControl/>
        <w:spacing w:line="188" w:lineRule="exact" w:before="18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Any test data will be removed from the outsourced environment on the go-live date.</w:t>
      </w:r>
    </w:p>
    <w:p>
      <w:pPr>
        <w:autoSpaceDN w:val="0"/>
        <w:autoSpaceDE w:val="0"/>
        <w:widowControl/>
        <w:spacing w:line="188" w:lineRule="exact" w:before="18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>WORK LOCATION.</w:t>
      </w:r>
    </w:p>
    <w:p>
      <w:pPr>
        <w:autoSpaceDN w:val="0"/>
        <w:autoSpaceDE w:val="0"/>
        <w:widowControl/>
        <w:spacing w:line="338" w:lineRule="exact" w:before="3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To the extent necessary for FIS’ performance of Services under this SOW, Client shall provide FIS with the following for such times as shall be reasonably 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necessary for the performance of FIS’ obligations hereunder: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Remote access to Clients’ subject matter experts, as needed to fulfill the services under this SOW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Remote access to all platforms necessary to perform the tasks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Remote access to all necessary artifacts necessary to provide the documented deliverables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16"/>
        </w:rPr>
        <w:t>PROJECT COMPLETION.FIS shall have completed its Services hereunder when the identified deliverables have been met.</w:t>
      </w:r>
    </w:p>
    <w:p>
      <w:pPr>
        <w:autoSpaceDN w:val="0"/>
        <w:autoSpaceDE w:val="0"/>
        <w:widowControl/>
        <w:spacing w:line="188" w:lineRule="exact" w:before="19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6"/>
        </w:rPr>
        <w:t xml:space="preserve">FEES.The fees applicable to the Services described in this SOW are identified on page one of this SOW under Project Scope. In addition to the fees set 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forth herein, Client will reimburse FIS for the actual travel and living expenses incurred by FIS personnel providing Services to Client. FIS will invoice Client </w:t>
      </w:r>
      <w:r>
        <w:rPr>
          <w:rFonts w:ascii="Roboto" w:hAnsi="Roboto" w:eastAsia="Roboto"/>
          <w:b w:val="0"/>
          <w:i w:val="0"/>
          <w:color w:val="000000"/>
          <w:sz w:val="16"/>
        </w:rPr>
        <w:t>for such expenses, and such expenses will be payable to FIS, in accordance with the terms of the Agreement.</w:t>
      </w:r>
    </w:p>
    <w:sectPr w:rsidR="00FC693F" w:rsidRPr="0006063C" w:rsidSect="00034616">
      <w:pgSz w:w="11906" w:h="16838"/>
      <w:pgMar w:top="190" w:right="542" w:bottom="1440" w:left="480" w:header="720" w:footer="720" w:gutter="0"/>
      <w:cols w:space="720" w:num="1" w:equalWidth="0">
        <w:col w:w="10884" w:space="0"/>
        <w:col w:w="10988" w:space="0"/>
        <w:col w:w="111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