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CIO have we selected?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Warehouse Group’s Timothy Kasbe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Article that cites him: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https://www.informationweek.com/strategic-cio/why-cios-will-lead-digital-transformation/a/d-id/1332960</w:t>
        </w:r>
      </w:hyperlink>
      <w:r w:rsidDel="00000000" w:rsidR="00000000" w:rsidRPr="00000000">
        <w:rPr>
          <w:rtl w:val="0"/>
        </w:rPr>
        <w:t xml:space="preserve"> - “Under: Becoming invisible”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more info here...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Articles to select a CIO from: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possible companies: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https://www.e-zigurat.com/innovation-school/blog/companies-digital-transformation-strategies/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Contains some examples, including Warehouse: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https://www.informationweek.com/strategic-cio/why-cios-will-lead-digital-transformation/a/d-id/1332960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Deloitte CIO: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https://www2.deloitte.com/global/en/profiles/gx-lquinlan.html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2.deloitte.com/global/en/profiles/gx-lquinl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formationweek.com/strategic-cio/why-cios-will-lead-digital-transformation/a/d-id/1332960" TargetMode="External"/><Relationship Id="rId7" Type="http://schemas.openxmlformats.org/officeDocument/2006/relationships/hyperlink" Target="https://www.e-zigurat.com/innovation-school/blog/companies-digital-transformation-strategies/" TargetMode="External"/><Relationship Id="rId8" Type="http://schemas.openxmlformats.org/officeDocument/2006/relationships/hyperlink" Target="https://www.informationweek.com/strategic-cio/why-cios-will-lead-digital-transformation/a/d-id/13329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