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jc w:val="center"/>
      </w:pPr>
      <w:r>
        <w:rPr>
          <w:b/>
          <w:bCs/>
          <w:sz w:val="44"/>
          <w:szCs w:val="44"/>
        </w:rPr>
        <w:t xml:space="preserve">Suraksha Chemicals Pvt. Ltd.</w:t>
      </w:r>
    </w:p>
    <w:p>
      <w:pPr>
        <w:spacing w:after="700"/>
        <w:jc w:val="center"/>
      </w:pPr>
      <w:r>
        <w:rPr>
          <w:color w:val="444444"/>
          <w:sz w:val="22"/>
          <w:szCs w:val="22"/>
        </w:rPr>
        <w:t xml:space="preserve">Unit 4 – Specialty Chemicals &amp; Intermediates  |  Ambarnath, Maharashtra, India</w:t>
      </w:r>
    </w:p>
    <w:p>
      <w:pPr>
        <w:spacing w:after="160" w:before="600"/>
        <w:jc w:val="center"/>
      </w:pPr>
      <w:r>
        <w:rPr>
          <w:b/>
          <w:bCs/>
          <w:sz w:val="36"/>
          <w:szCs w:val="36"/>
        </w:rPr>
        <w:t xml:space="preserve">PLANT SAFETY POLICY MANUAL</w:t>
      </w:r>
    </w:p>
    <w:p>
      <w:pPr>
        <w:spacing w:after="900"/>
        <w:jc w:val="center"/>
      </w:pPr>
      <w:r>
        <w:rPr>
          <w:color w:val="555555"/>
          <w:sz w:val="24"/>
          <w:szCs w:val="24"/>
        </w:rPr>
        <w:t xml:space="preserve">Occupational Health, Safety &amp; Process Safety Management — Unit 4</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2900"/>
      </w:tblGrid>
      <w:tr>
        <w:tc>
          <w:tcPr>
            <w:tcW w:type="dxa" w:w="22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Document No.</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SC-SP-001</w:t>
            </w:r>
          </w:p>
        </w:tc>
        <w:tc>
          <w:tcPr>
            <w:tcW w:type="dxa" w:w="20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Classification</w:t>
            </w:r>
          </w:p>
        </w:tc>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Internal – All Personnel</w:t>
            </w:r>
          </w:p>
        </w:tc>
      </w:tr>
      <w:tr>
        <w:tc>
          <w:tcPr>
            <w:tcW w:type="dxa" w:w="22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Version</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3.0</w:t>
            </w:r>
          </w:p>
        </w:tc>
        <w:tc>
          <w:tcPr>
            <w:tcW w:type="dxa" w:w="20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Effective Date</w:t>
            </w:r>
          </w:p>
        </w:tc>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01-Jan-2024</w:t>
            </w:r>
          </w:p>
        </w:tc>
      </w:tr>
      <w:tr>
        <w:tc>
          <w:tcPr>
            <w:tcW w:type="dxa" w:w="22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Issued By</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 Safety Officer (EHS)</w:t>
            </w:r>
          </w:p>
        </w:tc>
        <w:tc>
          <w:tcPr>
            <w:tcW w:type="dxa" w:w="20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Review Cycle</w:t>
            </w:r>
          </w:p>
        </w:tc>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22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Approved By</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Vikram Joshi, Plant Manager</w:t>
            </w:r>
          </w:p>
        </w:tc>
        <w:tc>
          <w:tcPr>
            <w:tcW w:type="dxa" w:w="20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8"/>
                <w:szCs w:val="18"/>
              </w:rPr>
              <w:t xml:space="preserve">Next Review Due</w:t>
            </w:r>
          </w:p>
        </w:tc>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01-Jan-2025</w:t>
            </w:r>
          </w:p>
        </w:tc>
      </w:tr>
    </w:tbl>
    <w:p>
      <w:pPr>
        <w:spacing w:after="700"/>
      </w:pPr>
    </w:p>
    <w:p>
      <w:pPr>
        <w:jc w:val="center"/>
      </w:pPr>
      <w:r>
        <w:rPr>
          <w:i/>
          <w:iCs/>
          <w:color w:val="777777"/>
          <w:sz w:val="17"/>
          <w:szCs w:val="17"/>
        </w:rPr>
        <w:t xml:space="preserve">This manual is a controlled document. Uncontrolled copies are not subject to update notification. Refer to the Unit 4 Document Management System for the current approved revision before use.</w:t>
      </w:r>
    </w:p>
    <w:p>
      <w:r>
        <w:br w:type="page"/>
      </w:r>
    </w:p>
    <w:p>
      <w:pPr>
        <w:pStyle w:val="Heading1"/>
        <w:spacing w:after="160" w:before="28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700"/>
        <w:gridCol w:w="2000"/>
      </w:tblGrid>
      <w:tr>
        <w:trPr>
          <w:tblHeader/>
        </w:trPr>
        <w:tc>
          <w:tcPr>
            <w:tcW w:type="dxa" w:w="1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Version</w:t>
            </w:r>
          </w:p>
        </w:tc>
        <w:tc>
          <w:tcPr>
            <w:tcW w:type="dxa" w:w="1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Date</w:t>
            </w:r>
          </w:p>
        </w:tc>
        <w:tc>
          <w:tcPr>
            <w:tcW w:type="dxa" w:w="5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Description of Change</w:t>
            </w:r>
          </w:p>
        </w:tc>
        <w:tc>
          <w:tcPr>
            <w:tcW w:type="dxa" w:w="20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Author</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15-Mar-2018</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Initial issue, covering PPE and basic permit requirements</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 Deshpande (former EHS Head)</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1.1</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02-Sep-2019</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Added Hot Work Permit category following Storage Tank Farm expansion</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 Deshpande</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2.0</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10-Jun-2021</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Revised following Factory Inspectorate audit; added confined space entry procedure and MOC process</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2.1</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22-Nov-2022</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Updated PPE matrix; added Storage Tank Farm grounding requirements per PESO advisory</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2.2</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14-Apr-2023</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Added Occupational Health surveillance schedule; expanded contractor safety section</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w:t>
            </w:r>
          </w:p>
        </w:tc>
      </w:tr>
      <w:tr>
        <w:tc>
          <w:tcPr>
            <w:tcW w:type="dxa" w:w="1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3.0</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01-Jan-2024</w:t>
            </w:r>
          </w:p>
        </w:tc>
        <w:tc>
          <w:tcPr>
            <w:tcW w:type="dxa" w:w="5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Added preventive-maintenance/OEM-bulletin clause following INC-2024-119; full manual restructure</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w:t>
            </w:r>
          </w:p>
        </w:tc>
      </w:tr>
    </w:tbl>
    <w:p>
      <w:pPr>
        <w:spacing w:after="300"/>
      </w:pPr>
    </w:p>
    <w:p>
      <w:pPr>
        <w:pStyle w:val="Heading1"/>
        <w:spacing w:after="160" w:before="280"/>
      </w:pPr>
      <w:r>
        <w:t xml:space="preserve">Distribution List</w:t>
      </w:r>
    </w:p>
    <w:p>
      <w:pPr>
        <w:spacing w:after="160" w:line="276" w:lineRule="auto"/>
        <w:jc w:val="both"/>
      </w:pPr>
      <w:r>
        <w:rPr>
          <w:sz w:val="20"/>
          <w:szCs w:val="20"/>
        </w:rPr>
        <w:t xml:space="preserve">Plant Manager · Safety Officer (EHS) · Compliance Officer · All Department Heads · Maintenance &amp; Engineering Section · Process Operations Section · Contract Safety Coordinators · Unit 4 Notice Boards (Process Bays 1–3, Utility Block, Storage Tank Farm, Main Gate Security)</w:t>
      </w:r>
    </w:p>
    <w:p>
      <w:r>
        <w:br w:type="page"/>
      </w:r>
    </w:p>
    <w:p>
      <w:pPr>
        <w:pStyle w:val="Heading1"/>
        <w:spacing w:after="160" w:before="2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00"/>
      </w:pPr>
      <w:r>
        <w:rPr>
          <w:i/>
          <w:iCs/>
          <w:color w:val="555555"/>
          <w:sz w:val="16"/>
          <w:szCs w:val="16"/>
        </w:rPr>
        <w:t xml:space="preserve">Right-click this table in Word and choose "Update Field" (or press F9) after opening, to populate/refresh the page numbers.</w:t>
      </w:r>
    </w:p>
    <w:p>
      <w:r>
        <w:br w:type="page"/>
      </w:r>
    </w:p>
    <w:p>
      <w:pPr>
        <w:pStyle w:val="Heading1"/>
        <w:spacing w:after="160" w:before="280"/>
      </w:pPr>
      <w:r>
        <w:t xml:space="preserve">1. Policy Statement</w:t>
      </w:r>
    </w:p>
    <w:p>
      <w:pPr>
        <w:spacing w:after="160" w:line="276" w:lineRule="auto"/>
        <w:jc w:val="both"/>
      </w:pPr>
      <w:r>
        <w:rPr>
          <w:sz w:val="20"/>
          <w:szCs w:val="20"/>
        </w:rPr>
        <w:t xml:space="preserve">Suraksha Chemicals Pvt. Ltd. ("the Company") is committed to providing and maintaining a safe and healthy working environment for all employees, contractors, visitors, and members of the surrounding community who may be affected by the operations of Unit 4. The Company recognises that the manufacture of specialty chemicals and intermediates involves inherent process hazards, and accepts that the systematic identification, assessment, and control of those hazards is a core management responsibility, not a delegated function.</w:t>
      </w:r>
    </w:p>
    <w:p>
      <w:pPr>
        <w:spacing w:after="160" w:line="276" w:lineRule="auto"/>
        <w:jc w:val="both"/>
      </w:pPr>
      <w:r>
        <w:rPr>
          <w:sz w:val="20"/>
          <w:szCs w:val="20"/>
        </w:rPr>
        <w:t xml:space="preserve">Safety shall take precedence over production targets, cost considerations, and schedule pressure at every level of decision-making within Unit 4. No employee or contractor is authorised to proceed with any activity that they believe to be unsafe, and all personnel are empowered and expected to stop work immediately if a safety concern arises, without fear of reprisal.</w:t>
      </w:r>
    </w:p>
    <w:p>
      <w:pPr>
        <w:spacing w:after="160" w:line="276" w:lineRule="auto"/>
        <w:jc w:val="both"/>
      </w:pPr>
      <w:r>
        <w:rPr>
          <w:sz w:val="20"/>
          <w:szCs w:val="20"/>
        </w:rPr>
        <w:t xml:space="preserve">This policy has been reviewed and endorsed by the Plant Manager and forms the top-level governing document for all safety, health, and process-safety-related procedures at Unit 4. All subordinate Standard Operating Procedures (SOPs), work instructions, and permit systems referenced throughout this manual derive their authority from this policy.</w:t>
      </w:r>
    </w:p>
    <w:p>
      <w:pPr>
        <w:pStyle w:val="Heading1"/>
        <w:spacing w:after="160" w:before="280"/>
      </w:pPr>
      <w:r>
        <w:t xml:space="preserve">2. Purpose and Objectives</w:t>
      </w:r>
    </w:p>
    <w:p>
      <w:pPr>
        <w:spacing w:after="160" w:line="276" w:lineRule="auto"/>
        <w:jc w:val="both"/>
      </w:pPr>
      <w:r>
        <w:rPr>
          <w:sz w:val="20"/>
          <w:szCs w:val="20"/>
        </w:rPr>
        <w:t xml:space="preserve">The purpose of this manual is to establish a single, comprehensive reference for the safety management systems in operation at Unit 4, consolidating policy, procedure, and regulatory obligation into one controlled document. Specific objectives are to:</w:t>
      </w:r>
    </w:p>
    <w:p>
      <w:pPr>
        <w:pStyle w:val="ListParagraph"/>
        <w:numPr>
          <w:ilvl w:val="0"/>
          <w:numId w:val="2"/>
        </w:numPr>
        <w:spacing w:after="110" w:line="276" w:lineRule="auto"/>
      </w:pPr>
      <w:r>
        <w:rPr>
          <w:sz w:val="20"/>
          <w:szCs w:val="20"/>
        </w:rPr>
        <w:t xml:space="preserve">Eliminate, so far as is reasonably practicable, the risk of injury, illness, fire, explosion, or uncontrolled chemical release arising from plant operations;</w:t>
      </w:r>
    </w:p>
    <w:p>
      <w:pPr>
        <w:pStyle w:val="ListParagraph"/>
        <w:numPr>
          <w:ilvl w:val="0"/>
          <w:numId w:val="2"/>
        </w:numPr>
        <w:spacing w:after="110" w:line="276" w:lineRule="auto"/>
      </w:pPr>
      <w:r>
        <w:rPr>
          <w:sz w:val="20"/>
          <w:szCs w:val="20"/>
        </w:rPr>
        <w:t xml:space="preserve">Ensure full compliance with the Factories Act, 1948, the Petroleum and Explosives Safety Organisation (PESO) rules, OISD standards applicable to chemical process industries, and all other statutory obligations applicable to Unit 4;</w:t>
      </w:r>
    </w:p>
    <w:p>
      <w:pPr>
        <w:pStyle w:val="ListParagraph"/>
        <w:numPr>
          <w:ilvl w:val="0"/>
          <w:numId w:val="2"/>
        </w:numPr>
        <w:spacing w:after="110" w:line="276" w:lineRule="auto"/>
      </w:pPr>
      <w:r>
        <w:rPr>
          <w:sz w:val="20"/>
          <w:szCs w:val="20"/>
        </w:rPr>
        <w:t xml:space="preserve">Provide a documented framework of permits, procedures, and controls that is auditable, trainable, and consistently applied across all shifts and departments;</w:t>
      </w:r>
    </w:p>
    <w:p>
      <w:pPr>
        <w:pStyle w:val="ListParagraph"/>
        <w:numPr>
          <w:ilvl w:val="0"/>
          <w:numId w:val="2"/>
        </w:numPr>
        <w:spacing w:after="110" w:line="276" w:lineRule="auto"/>
      </w:pPr>
      <w:r>
        <w:rPr>
          <w:sz w:val="20"/>
          <w:szCs w:val="20"/>
        </w:rPr>
        <w:t xml:space="preserve">Ensure that lessons learned from incidents, near-misses, and audit findings are systematically captured and used to prevent recurrence;</w:t>
      </w:r>
    </w:p>
    <w:p>
      <w:pPr>
        <w:pStyle w:val="ListParagraph"/>
        <w:numPr>
          <w:ilvl w:val="0"/>
          <w:numId w:val="2"/>
        </w:numPr>
        <w:spacing w:after="110" w:line="276" w:lineRule="auto"/>
      </w:pPr>
      <w:r>
        <w:rPr>
          <w:sz w:val="20"/>
          <w:szCs w:val="20"/>
        </w:rPr>
        <w:t xml:space="preserve">Maintain a state of emergency preparedness such that any credible incident scenario at Unit 4 can be responded to promptly and effectively.</w:t>
      </w:r>
    </w:p>
    <w:p>
      <w:pPr>
        <w:pStyle w:val="Heading1"/>
        <w:spacing w:after="160" w:before="280"/>
      </w:pPr>
      <w:r>
        <w:t xml:space="preserve">3. Scope and Applicability</w:t>
      </w:r>
    </w:p>
    <w:p>
      <w:pPr>
        <w:spacing w:after="160" w:line="276" w:lineRule="auto"/>
        <w:jc w:val="both"/>
      </w:pPr>
      <w:r>
        <w:rPr>
          <w:sz w:val="20"/>
          <w:szCs w:val="20"/>
        </w:rPr>
        <w:t xml:space="preserve">This policy applies, without exception, to all permanent employees, temporary employees, contract workers, sub-contractors, transporters, vendors, and visitors while present within the Unit 4 plant boundary. This includes but is not limited to Process Bay 1 (Reaction Area), Process Bay 2 (Pumping and Transfer Area), Process Bay 3 (Heat Recovery Area), the Utility Block, the Storage Tank Farm, all internal roadways, the administrative block, and the main gate security area.</w:t>
      </w:r>
    </w:p>
    <w:p>
      <w:pPr>
        <w:spacing w:after="160" w:line="276" w:lineRule="auto"/>
        <w:jc w:val="both"/>
      </w:pPr>
      <w:r>
        <w:rPr>
          <w:sz w:val="20"/>
          <w:szCs w:val="20"/>
        </w:rPr>
        <w:t xml:space="preserve">The policy applies to all activities conducted at Unit 4 irrespective of shift, duration, or perceived risk level, including activities that may appear administrative or low-risk in nature. Contractors and third parties engaged for work at Unit 4 are contractually bound to comply with this policy and its subordinate procedures as a condition of site access, as further detailed in Section 19.</w:t>
      </w:r>
    </w:p>
    <w:p>
      <w:pPr>
        <w:pStyle w:val="Heading1"/>
        <w:spacing w:after="160" w:before="280"/>
      </w:pPr>
      <w:r>
        <w:t xml:space="preserve">4. Definitions and Abbreviations</w:t>
      </w:r>
    </w:p>
    <w:p>
      <w:pPr>
        <w:spacing w:after="160" w:line="276" w:lineRule="auto"/>
        <w:jc w:val="both"/>
      </w:pPr>
      <w:r>
        <w:rPr>
          <w:sz w:val="20"/>
          <w:szCs w:val="20"/>
        </w:rPr>
        <w:t xml:space="preserve">The following terms and abbreviations are used consistently throughout this manual and its subordinate SOPs. Where a term used in this manual conflicts with a statutory definition under the Factories Act, 1948, or applicable OISD/PESO standards, the statutory definition shall prevail.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Term</w:t>
            </w:r>
          </w:p>
        </w:tc>
        <w:tc>
          <w:tcPr>
            <w:tcW w:type="dxa" w:w="7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Definition</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EHS</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Environment, Health and Safety</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HIRA</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Hazard Identification and Risk Assessment</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MAH Unit</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Major Accident Hazard Unit, as classified under the Factories Act, 1948</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Oil Industry Safety Directorate – issues safety standards applicable to process industries</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PESO</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Petroleum and Explosives Safety Organisation</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PPE</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Personal Protective Equipment</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PTW</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to Work</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MOC</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Management of Change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LOTO</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Lock-Out, Tag-Out</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SDS</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Data Sheet</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ERP</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On-Site Emergency Response Plan (document ERP-SC-01)</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ERC</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Emergency Response Coordinator</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Near-Miss</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 unplanned event that did not result in injury, illness, or damage, but had the potential to do so</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Unplanned Downtime</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Any equipment stoppage not scheduled in the preventive maintenance calendar</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Confined Space</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 enclosed or partially enclosed space, not designed for continuous occupancy, with restricted entry/exit and the potential for hazardous atmosphere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Hot Work</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Any activity producing sparks, open flame, or heat sufficient to act as an ignition source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Competent Person</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 individual who, by training, certification, or experience, is deemed capable of performing a specified task safely</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Stop-Work Authority</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The right and obligation of any individual to halt an activity they believe to be unsafe, without requiring prior management approval</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Root Cause</w:t>
            </w:r>
          </w:p>
        </w:tc>
        <w:tc>
          <w:tcPr>
            <w:tcW w:type="dxa" w:w="7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The most fundamental, underlying reason an incident occurred, as distinct from its immediate or contributing causes</w:t>
            </w:r>
          </w:p>
        </w:tc>
      </w:tr>
    </w:tbl>
    <w:p>
      <w:pPr>
        <w:spacing w:after="200"/>
      </w:pPr>
    </w:p>
    <w:p>
      <w:pPr>
        <w:pStyle w:val="Heading1"/>
        <w:spacing w:after="160" w:before="280"/>
      </w:pPr>
      <w:r>
        <w:t xml:space="preserve">5. Legal and Regulatory Framework</w:t>
      </w:r>
    </w:p>
    <w:p>
      <w:pPr>
        <w:spacing w:after="160" w:line="276" w:lineRule="auto"/>
        <w:jc w:val="both"/>
      </w:pPr>
      <w:r>
        <w:rPr>
          <w:sz w:val="20"/>
          <w:szCs w:val="20"/>
        </w:rPr>
        <w:t xml:space="preserve">Unit 4 is classified as a Major Accident Hazard (MAH) unit under the Factories Act, 1948, and operates under the regulatory oversight of the Maharashtra Factory Inspectorate, the Petroleum and Explosives Safety Organisation (PESO), and applicable OISD standards for the chemical process industry. The following statutory and industry instruments govern this policy and its subordinate procedures: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Instrument</w:t>
            </w:r>
          </w:p>
        </w:tc>
        <w:tc>
          <w:tcPr>
            <w:tcW w:type="dxa" w:w="6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Relevance to Unit 4</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Factories Act, 1948, Sec. 87</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Hazardous process registration and annual safety audit requirement</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Factories Act, 1948, Sec. 41B</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Disclosure of information to workers regarding hazards of MAH units</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OISD-105</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vessel inspection intervals and integrity management</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OISD-STD-116</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Fire protection facilities for process plants</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PESO Storage Rules</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Static electricity grounding and certification for hazardous storage areas</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Environment Protection Act, 1986</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Emission and effluent discharge limits</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MSIHC Rules, 1989</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On-site emergency plan requirements for MAH units</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Maharashtra Factory Rules</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State-level supplementary provisions to the Factories Act</w:t>
            </w:r>
          </w:p>
        </w:tc>
      </w:tr>
      <w:tr>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Indian Boiler Regulations, 1950</w:t>
            </w:r>
          </w:p>
        </w:tc>
        <w:tc>
          <w:tcPr>
            <w:tcW w:type="dxa" w:w="6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Statutory inspection and certification of Boiler B-501</w:t>
            </w:r>
          </w:p>
        </w:tc>
      </w:tr>
    </w:tbl>
    <w:p>
      <w:pPr>
        <w:spacing w:after="200"/>
      </w:pPr>
    </w:p>
    <w:p>
      <w:pPr>
        <w:spacing w:after="160" w:line="276" w:lineRule="auto"/>
        <w:jc w:val="both"/>
      </w:pPr>
      <w:r>
        <w:rPr>
          <w:sz w:val="20"/>
          <w:szCs w:val="20"/>
        </w:rPr>
        <w:t xml:space="preserve">Where a conflict exists between this policy and any statutory requirement, the statutory requirement shall prevail, and the Compliance Officer shall be notified immediately to initiate a policy revision under the Management of Change procedure (Section 26).</w:t>
      </w:r>
    </w:p>
    <w:p>
      <w:pPr>
        <w:pStyle w:val="Heading1"/>
        <w:spacing w:after="160" w:before="280"/>
      </w:pPr>
      <w:r>
        <w:t xml:space="preserve">6. Organization, Roles and Responsibilities</w:t>
      </w:r>
    </w:p>
    <w:p>
      <w:pPr>
        <w:spacing w:after="160" w:line="276" w:lineRule="auto"/>
        <w:jc w:val="both"/>
      </w:pPr>
      <w:r>
        <w:rPr>
          <w:sz w:val="20"/>
          <w:szCs w:val="20"/>
        </w:rPr>
        <w:t xml:space="preserve">Accountability for safety at Unit 4 is structured across four tiers: plant leadership, the EHS function, line management, and individual employees/contractors. Each tier carries distinct, non-transferable responsibilities as set out below.</w:t>
      </w:r>
    </w:p>
    <w:p>
      <w:pPr>
        <w:pStyle w:val="Heading3"/>
        <w:spacing w:after="100" w:before="160"/>
      </w:pPr>
      <w:r>
        <w:t xml:space="preserve">6.1 Plant Manager</w:t>
      </w:r>
    </w:p>
    <w:p>
      <w:pPr>
        <w:spacing w:after="160" w:line="276" w:lineRule="auto"/>
        <w:jc w:val="both"/>
      </w:pPr>
      <w:r>
        <w:rPr>
          <w:sz w:val="20"/>
          <w:szCs w:val="20"/>
        </w:rPr>
        <w:t xml:space="preserve">The Plant Manager (currently Vikram Joshi) holds overall accountability for safety performance across Unit 4, including final approval of this policy, chairing the monthly Plant Safety Committee, allocating budget for safety-critical maintenance, and serving as the senior on-site authority during any declared emergency.</w:t>
      </w:r>
    </w:p>
    <w:p>
      <w:pPr>
        <w:pStyle w:val="Heading3"/>
        <w:spacing w:after="100" w:before="160"/>
      </w:pPr>
      <w:r>
        <w:t xml:space="preserve">6.2 Safety Officer (EHS)</w:t>
      </w:r>
    </w:p>
    <w:p>
      <w:pPr>
        <w:spacing w:after="160" w:line="276" w:lineRule="auto"/>
        <w:jc w:val="both"/>
      </w:pPr>
      <w:r>
        <w:rPr>
          <w:sz w:val="20"/>
          <w:szCs w:val="20"/>
        </w:rPr>
        <w:t xml:space="preserve">The Safety Officer (currently Meera Iyer) is responsible for authorship and maintenance of this manual, coordination of internal and statutory safety audits, oversight of incident investigation, administration of the Permit to Work system, and delivery or coordination of safety training across the plant.</w:t>
      </w:r>
    </w:p>
    <w:p>
      <w:pPr>
        <w:pStyle w:val="Heading3"/>
        <w:spacing w:after="100" w:before="160"/>
      </w:pPr>
      <w:r>
        <w:t xml:space="preserve">6.3 Compliance Officer</w:t>
      </w:r>
    </w:p>
    <w:p>
      <w:pPr>
        <w:spacing w:after="160" w:line="276" w:lineRule="auto"/>
        <w:jc w:val="both"/>
      </w:pPr>
      <w:r>
        <w:rPr>
          <w:sz w:val="20"/>
          <w:szCs w:val="20"/>
        </w:rPr>
        <w:t xml:space="preserve">The Compliance Officer (currently Suresh Patil) is responsible for regulatory filings, tracking of statutory inspection and certification schedules, maintaining the compliance evidence register, and liaising with the Factory Inspectorate and other regulatory bodies.</w:t>
      </w:r>
    </w:p>
    <w:p>
      <w:pPr>
        <w:pStyle w:val="Heading3"/>
        <w:spacing w:after="100" w:before="160"/>
      </w:pPr>
      <w:r>
        <w:t xml:space="preserve">6.4 Department Heads and Line Supervisors</w:t>
      </w:r>
    </w:p>
    <w:p>
      <w:pPr>
        <w:spacing w:after="160" w:line="276" w:lineRule="auto"/>
        <w:jc w:val="both"/>
      </w:pPr>
      <w:r>
        <w:rPr>
          <w:sz w:val="20"/>
          <w:szCs w:val="20"/>
        </w:rPr>
        <w:t xml:space="preserve">Department Heads and shift/line supervisors enforce this policy within their area of control, including verification that Permits to Work are correctly issued and closed, PPE compliance, and prompt reporting of near-misses.</w:t>
      </w:r>
    </w:p>
    <w:p>
      <w:pPr>
        <w:pStyle w:val="Heading3"/>
        <w:spacing w:after="100" w:before="160"/>
      </w:pPr>
      <w:r>
        <w:t xml:space="preserve">6.5 Maintenance and Engineering Personnel</w:t>
      </w:r>
    </w:p>
    <w:p>
      <w:pPr>
        <w:spacing w:after="160" w:line="276" w:lineRule="auto"/>
        <w:jc w:val="both"/>
      </w:pPr>
      <w:r>
        <w:rPr>
          <w:sz w:val="20"/>
          <w:szCs w:val="20"/>
        </w:rPr>
        <w:t xml:space="preserve">Maintenance engineers and technicians execute preventive maintenance schedules per Section 16, report any equipment condition that could constitute a safety risk, and strictly adhere to Permit to Work and Lock-Out Tag-Out requirements.</w:t>
      </w:r>
    </w:p>
    <w:p>
      <w:pPr>
        <w:pStyle w:val="Heading3"/>
        <w:spacing w:after="100" w:before="160"/>
      </w:pPr>
      <w:r>
        <w:t xml:space="preserve">6.6 All Employees and Contractors</w:t>
      </w:r>
    </w:p>
    <w:p>
      <w:pPr>
        <w:spacing w:after="160" w:line="276" w:lineRule="auto"/>
        <w:jc w:val="both"/>
      </w:pPr>
      <w:r>
        <w:rPr>
          <w:sz w:val="20"/>
          <w:szCs w:val="20"/>
        </w:rPr>
        <w:t xml:space="preserve">Every individual present at Unit 4 is responsible for complying with this policy, using provided PPE correctly, reporting hazards and incidents promptly, and exercising the right and obligation to stop any work believed to be unsafe.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Role</w:t>
            </w:r>
          </w:p>
        </w:tc>
        <w:tc>
          <w:tcPr>
            <w:tcW w:type="dxa" w:w="6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Primary Safety Responsibility</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Plant Manager (Vikram Joshi)</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Overall accountability for safety performance across Unit 4</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Officer (Meera Iyer)</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Policy authorship, audit coordination, incident investigation oversight</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Compliance Officer (Suresh Patil)</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Regulatory filing, inspection/certification tracking</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Maintenance Engineers</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PM schedule execution, incident reporting, permit and LOTO compliance</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Field Technicians</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Task-level hazard awareness, PPE use, near-miss reporting</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All Personnel</w:t>
            </w:r>
          </w:p>
        </w:tc>
        <w:tc>
          <w:tcPr>
            <w:tcW w:type="dxa" w:w="6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Policy compliance, hazard reporting, stop-work authority</w:t>
            </w:r>
          </w:p>
        </w:tc>
      </w:tr>
    </w:tbl>
    <w:p>
      <w:pPr>
        <w:spacing w:after="200"/>
      </w:pPr>
    </w:p>
    <w:p>
      <w:pPr>
        <w:pStyle w:val="Heading3"/>
        <w:spacing w:after="100" w:before="160"/>
      </w:pPr>
      <w:r>
        <w:t xml:space="preserve">6.7 Shift Supervisors and Control Room Operators</w:t>
      </w:r>
    </w:p>
    <w:p>
      <w:pPr>
        <w:spacing w:after="160" w:line="276" w:lineRule="auto"/>
        <w:jc w:val="both"/>
      </w:pPr>
      <w:r>
        <w:rPr>
          <w:sz w:val="20"/>
          <w:szCs w:val="20"/>
        </w:rPr>
        <w:t xml:space="preserve">Shift Supervisors hold delegated authority to issue General Work Permits during their shift, conduct the emergency assembly-point headcount, and escalate any safety concern to the Safety Officer or Plant Manager outside normal working hours. Control Room Operators are responsible for monitoring process parameters against defined safe operating limits and initiating the plant alarm in the event of any parameter excursion, per Section 16.3.</w:t>
      </w:r>
    </w:p>
    <w:p>
      <w:pPr>
        <w:pStyle w:val="Heading3"/>
        <w:spacing w:after="100" w:before="160"/>
      </w:pPr>
      <w:r>
        <w:t xml:space="preserve">6.8 Elected Worker Safety Representatives</w:t>
      </w:r>
    </w:p>
    <w:p>
      <w:pPr>
        <w:spacing w:after="160" w:line="276" w:lineRule="auto"/>
        <w:jc w:val="both"/>
      </w:pPr>
      <w:r>
        <w:rPr>
          <w:sz w:val="20"/>
          <w:szCs w:val="20"/>
        </w:rPr>
        <w:t xml:space="preserve">In accordance with the Factories Act provisions on worker participation, Unit 4 maintains two elected worker safety representatives, nominated by the workforce and serving two-year terms, who sit on the Plant Safety Committee (Section 23) and are entitled to accompany the Safety Officer on department safety walkdowns.</w:t>
      </w:r>
    </w:p>
    <w:p>
      <w:pPr>
        <w:pStyle w:val="Heading1"/>
        <w:spacing w:after="160" w:before="280"/>
      </w:pPr>
      <w:r>
        <w:t xml:space="preserve">7. Hazard Identification and Risk Assessment (HIRA)</w:t>
      </w:r>
    </w:p>
    <w:p>
      <w:pPr>
        <w:spacing w:after="160" w:line="276" w:lineRule="auto"/>
        <w:jc w:val="both"/>
      </w:pPr>
      <w:r>
        <w:rPr>
          <w:sz w:val="20"/>
          <w:szCs w:val="20"/>
        </w:rPr>
        <w:t xml:space="preserve">A documented Hazard Identification and Risk Assessment shall be conducted for every process unit, piece of equipment, and routine or non-routine task carried out at Unit 4, reviewed on a triennial cycle at minimum, and immediately following any incident or Management of Change that could alter the risk profile of the activity assessed.</w:t>
      </w:r>
    </w:p>
    <w:p>
      <w:pPr>
        <w:pStyle w:val="Heading3"/>
        <w:spacing w:after="100" w:before="160"/>
      </w:pPr>
      <w:r>
        <w:t xml:space="preserve">7.1 Risk Ranking Methodology</w:t>
      </w:r>
    </w:p>
    <w:p>
      <w:pPr>
        <w:spacing w:after="160" w:line="276" w:lineRule="auto"/>
        <w:jc w:val="both"/>
      </w:pPr>
      <w:r>
        <w:rPr>
          <w:sz w:val="20"/>
          <w:szCs w:val="20"/>
        </w:rPr>
        <w:t xml:space="preserve">Hazards are ranked on a 5x5 likelihood/severity matrix. Risk scores of 15 or above (on the 25-point scale) require Plant Manager sign-off before the associated activity may proceed.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600"/>
      </w:tblGrid>
      <w:tr>
        <w:trPr>
          <w:tblHeader/>
        </w:trPr>
        <w:tc>
          <w:tcPr>
            <w:tcW w:type="dxa" w:w="1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Risk Score</w:t>
            </w:r>
          </w:p>
        </w:tc>
        <w:tc>
          <w:tcPr>
            <w:tcW w:type="dxa" w:w="2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Classification</w:t>
            </w:r>
          </w:p>
        </w:tc>
        <w:tc>
          <w:tcPr>
            <w:tcW w:type="dxa" w:w="5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Required Action</w:t>
            </w:r>
          </w:p>
        </w:tc>
      </w:tr>
      <w:tr>
        <w:tc>
          <w:tcPr>
            <w:tcW w:type="dxa" w:w="1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1–4</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Low</w:t>
            </w:r>
          </w:p>
        </w:tc>
        <w:tc>
          <w:tcPr>
            <w:tcW w:type="dxa" w:w="5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Monitor; no immediate action required</w:t>
            </w:r>
          </w:p>
        </w:tc>
      </w:tr>
      <w:tr>
        <w:tc>
          <w:tcPr>
            <w:tcW w:type="dxa" w:w="1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5–9</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Moderate</w:t>
            </w:r>
          </w:p>
        </w:tc>
        <w:tc>
          <w:tcPr>
            <w:tcW w:type="dxa" w:w="5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Implement additional controls within 30 days</w:t>
            </w:r>
          </w:p>
        </w:tc>
      </w:tr>
      <w:tr>
        <w:tc>
          <w:tcPr>
            <w:tcW w:type="dxa" w:w="1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10–14</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High</w:t>
            </w:r>
          </w:p>
        </w:tc>
        <w:tc>
          <w:tcPr>
            <w:tcW w:type="dxa" w:w="5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Implement additional controls before next shift; supervisor sign-off</w:t>
            </w:r>
          </w:p>
        </w:tc>
      </w:tr>
      <w:tr>
        <w:tc>
          <w:tcPr>
            <w:tcW w:type="dxa" w:w="1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15–25</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Critical</w:t>
            </w:r>
          </w:p>
        </w:tc>
        <w:tc>
          <w:tcPr>
            <w:tcW w:type="dxa" w:w="5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Activity halted until controls implemented; Plant Manager sign-off required</w:t>
            </w:r>
          </w:p>
        </w:tc>
      </w:tr>
    </w:tbl>
    <w:p>
      <w:pPr>
        <w:spacing w:after="200"/>
      </w:pPr>
    </w:p>
    <w:p>
      <w:pPr>
        <w:pStyle w:val="Heading3"/>
        <w:spacing w:after="100" w:before="160"/>
      </w:pPr>
      <w:r>
        <w:t xml:space="preserve">7.2 Equipment-Level Risk Register (Extract)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300"/>
      </w:tblGrid>
      <w:tr>
        <w:trPr>
          <w:tblHeader/>
        </w:trPr>
        <w:tc>
          <w:tcPr>
            <w:tcW w:type="dxa" w:w="20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Equipment</w:t>
            </w:r>
          </w:p>
        </w:tc>
        <w:tc>
          <w:tcPr>
            <w:tcW w:type="dxa" w:w="28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Principal Hazard</w:t>
            </w:r>
          </w:p>
        </w:tc>
        <w:tc>
          <w:tcPr>
            <w:tcW w:type="dxa" w:w="1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Risk Score</w:t>
            </w:r>
          </w:p>
        </w:tc>
        <w:tc>
          <w:tcPr>
            <w:tcW w:type="dxa" w:w="3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Key Control</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Pump P-204A</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Bearing/seal failure, rotating part entanglement</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9 (Moderate)</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90-day lubrication PM cycle, vibration monitoring</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Heat Exchanger HX-302</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Hot surface contact, tube-bundle fouling</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6 (Moderate)</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Scheduled cleaning, heat-resistant gloves</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Compressor C-101</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Valve plate fatigue failure, high-pressure release</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(High)</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PM schedule tied to OEM fatigue rating, pressure relief</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Relief Valve V-118</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Seal/gasket degradation, uncontrolled release</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 (High)</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PESO certification, walkaround inspection</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Reactor R-220</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vessel integrity loss, process excursion</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16 (Critical)</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OISD-105 inspection cycle, process interlocks</w:t>
            </w:r>
          </w:p>
        </w:tc>
      </w:tr>
      <w:tr>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Boiler B-501</w:t>
            </w:r>
          </w:p>
        </w:tc>
        <w:tc>
          <w:tcPr>
            <w:tcW w:type="dxa" w:w="2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vessel failure, combustion hazard</w:t>
            </w:r>
          </w:p>
        </w:tc>
        <w:tc>
          <w:tcPr>
            <w:tcW w:type="dxa" w:w="1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14 (High)</w:t>
            </w:r>
          </w:p>
        </w:tc>
        <w:tc>
          <w:tcPr>
            <w:tcW w:type="dxa" w:w="3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Indian Boiler Regulations certification</w:t>
            </w:r>
          </w:p>
        </w:tc>
      </w:tr>
    </w:tbl>
    <w:p>
      <w:pPr>
        <w:pStyle w:val="Heading1"/>
        <w:spacing w:after="160" w:before="280"/>
      </w:pPr>
      <w:r>
        <w:t xml:space="preserve">8. Permit to Work System</w:t>
      </w:r>
    </w:p>
    <w:p>
      <w:pPr>
        <w:spacing w:after="160" w:line="276" w:lineRule="auto"/>
        <w:jc w:val="both"/>
      </w:pPr>
      <w:r>
        <w:rPr>
          <w:sz w:val="20"/>
          <w:szCs w:val="20"/>
        </w:rPr>
        <w:t xml:space="preserve">No maintenance, modification, or non-routine activity involving pressurized systems, rotating equipment, electrical isolation, hot work, confined space entry, or work at height may commence at Unit 4 without a valid, signed Permit to Work (PTW), issued in accordance with SOP-PTW-01.</w:t>
      </w:r>
    </w:p>
    <w:p>
      <w:pPr>
        <w:pStyle w:val="Heading3"/>
        <w:spacing w:after="100" w:before="160"/>
      </w:pPr>
      <w:r>
        <w:t xml:space="preserve">8.1 Permit Categories</w:t>
      </w:r>
    </w:p>
    <w:p>
      <w:pPr>
        <w:pStyle w:val="ListParagraph"/>
        <w:numPr>
          <w:ilvl w:val="0"/>
          <w:numId w:val="2"/>
        </w:numPr>
        <w:spacing w:after="110" w:line="276" w:lineRule="auto"/>
      </w:pPr>
      <w:r>
        <w:rPr>
          <w:sz w:val="20"/>
          <w:szCs w:val="20"/>
        </w:rPr>
        <w:t xml:space="preserve">General Work Permit – routine maintenance not involving special hazards</w:t>
      </w:r>
    </w:p>
    <w:p>
      <w:pPr>
        <w:pStyle w:val="ListParagraph"/>
        <w:numPr>
          <w:ilvl w:val="0"/>
          <w:numId w:val="2"/>
        </w:numPr>
        <w:spacing w:after="110" w:line="276" w:lineRule="auto"/>
      </w:pPr>
      <w:r>
        <w:rPr>
          <w:sz w:val="20"/>
          <w:szCs w:val="20"/>
        </w:rPr>
        <w:t xml:space="preserve">Hot Work Permit – welding, cutting, grinding, or any spark-producing activity</w:t>
      </w:r>
    </w:p>
    <w:p>
      <w:pPr>
        <w:pStyle w:val="ListParagraph"/>
        <w:numPr>
          <w:ilvl w:val="0"/>
          <w:numId w:val="2"/>
        </w:numPr>
        <w:spacing w:after="110" w:line="276" w:lineRule="auto"/>
      </w:pPr>
      <w:r>
        <w:rPr>
          <w:sz w:val="20"/>
          <w:szCs w:val="20"/>
        </w:rPr>
        <w:t xml:space="preserve">Confined Space Entry Permit – entry into vessels, tanks, or enclosed process equipment</w:t>
      </w:r>
    </w:p>
    <w:p>
      <w:pPr>
        <w:pStyle w:val="ListParagraph"/>
        <w:numPr>
          <w:ilvl w:val="0"/>
          <w:numId w:val="2"/>
        </w:numPr>
        <w:spacing w:after="110" w:line="276" w:lineRule="auto"/>
      </w:pPr>
      <w:r>
        <w:rPr>
          <w:sz w:val="20"/>
          <w:szCs w:val="20"/>
        </w:rPr>
        <w:t xml:space="preserve">Electrical Isolation Permit – work requiring Lock-Out, Tag-Out of electrical systems</w:t>
      </w:r>
    </w:p>
    <w:p>
      <w:pPr>
        <w:pStyle w:val="ListParagraph"/>
        <w:numPr>
          <w:ilvl w:val="0"/>
          <w:numId w:val="2"/>
        </w:numPr>
        <w:spacing w:after="110" w:line="276" w:lineRule="auto"/>
      </w:pPr>
      <w:r>
        <w:rPr>
          <w:sz w:val="20"/>
          <w:szCs w:val="20"/>
        </w:rPr>
        <w:t xml:space="preserve">Excavation Permit – any ground-breaking activity within the plant boundary</w:t>
      </w:r>
    </w:p>
    <w:p>
      <w:pPr>
        <w:pStyle w:val="Heading3"/>
        <w:spacing w:after="100" w:before="160"/>
      </w:pPr>
      <w:r>
        <w:t xml:space="preserve">8.2 Issuance and Closure</w:t>
      </w:r>
    </w:p>
    <w:p>
      <w:pPr>
        <w:spacing w:after="160" w:line="276" w:lineRule="auto"/>
        <w:jc w:val="both"/>
      </w:pPr>
      <w:r>
        <w:rPr>
          <w:sz w:val="20"/>
          <w:szCs w:val="20"/>
        </w:rPr>
        <w:t xml:space="preserve">Permits are issued by an authorised Permit Issuer following verification of site conditions, isolation status, and atmospheric testing where applicable. All permits carry a maximum validity of one shift (12 hours) and must be formally closed before expiry or extension.</w:t>
      </w:r>
    </w:p>
    <w:p>
      <w:pPr>
        <w:pStyle w:val="Heading1"/>
        <w:spacing w:after="160" w:before="280"/>
      </w:pPr>
      <w:r>
        <w:t xml:space="preserve">9. Personal Protective Equipment (PPE)</w:t>
      </w:r>
    </w:p>
    <w:p>
      <w:pPr>
        <w:spacing w:after="160" w:line="276" w:lineRule="auto"/>
        <w:jc w:val="both"/>
      </w:pPr>
      <w:r>
        <w:rPr>
          <w:sz w:val="20"/>
          <w:szCs w:val="20"/>
        </w:rPr>
        <w:t xml:space="preserve">Minimum baseline PPE for all Process Bays and the Utility Block consists of safety glasses, steel-toe safety footwear, and a hard hat. Additional PPE is mandated by zone and task as detailed in Appendix B.</w:t>
      </w:r>
    </w:p>
    <w:p>
      <w:pPr>
        <w:pStyle w:val="Heading3"/>
        <w:spacing w:after="100" w:before="160"/>
      </w:pPr>
      <w:r>
        <w:t xml:space="preserve">9.1 Zone-Specific Requirements</w:t>
      </w:r>
    </w:p>
    <w:p>
      <w:pPr>
        <w:spacing w:after="160" w:line="276" w:lineRule="auto"/>
        <w:jc w:val="both"/>
      </w:pPr>
      <w:r>
        <w:rPr>
          <w:sz w:val="20"/>
          <w:szCs w:val="20"/>
        </w:rPr>
        <w:t xml:space="preserve">Hearing protection is mandatory in the Utility Block due to sustained noise levels from Compressor C-101 and Boiler B-501. Chemical-resistant gloves and face shields are mandatory in Process Bay 1. Static-dissipative footwear is mandatory within the Storage Tank Farm.</w:t>
      </w:r>
    </w:p>
    <w:p>
      <w:pPr>
        <w:pStyle w:val="Heading3"/>
        <w:spacing w:after="100" w:before="160"/>
      </w:pPr>
      <w:r>
        <w:t xml:space="preserve">9.2 Task-Specific PPE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Task</w:t>
            </w:r>
          </w:p>
        </w:tc>
        <w:tc>
          <w:tcPr>
            <w:tcW w:type="dxa" w:w="58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Additional PPE Required</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Hot work (welding, cutting, grinding)</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Welding helmet/goggles, fire-resistant coveralls, leather gloves</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Confined space entry</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Full-body harness, supplied-air respirator (if indicated)</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Working at height &gt;1.8m</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Full-body harness with double lanyard</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Electrical work (LOTO)</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Insulated gloves rated to system voltage</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Handling corrosive chemicals</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Chemical-resistant apron, face shield, gauntlet gloves</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Tanker loading/unloading</w:t>
            </w:r>
          </w:p>
        </w:tc>
        <w:tc>
          <w:tcPr>
            <w:tcW w:type="dxa" w:w="5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Static-dissipative footwear, chemical-resistant gloves</w:t>
            </w:r>
          </w:p>
        </w:tc>
      </w:tr>
    </w:tbl>
    <w:p>
      <w:pPr>
        <w:spacing w:after="200"/>
      </w:pPr>
    </w:p>
    <w:p>
      <w:pPr>
        <w:pStyle w:val="Heading3"/>
        <w:spacing w:after="100" w:before="160"/>
      </w:pPr>
      <w:r>
        <w:t xml:space="preserve">9.3 Non-Compliance</w:t>
      </w:r>
    </w:p>
    <w:p>
      <w:pPr>
        <w:spacing w:after="160" w:line="276" w:lineRule="auto"/>
        <w:jc w:val="both"/>
      </w:pPr>
      <w:r>
        <w:rPr>
          <w:sz w:val="20"/>
          <w:szCs w:val="20"/>
        </w:rPr>
        <w:t xml:space="preserve">Any individual found not wearing mandated PPE for their zone or task will be required to leave the area immediately. Repeated non-compliance is addressed under Section 25.</w:t>
      </w:r>
    </w:p>
    <w:p>
      <w:pPr>
        <w:pStyle w:val="Heading1"/>
        <w:spacing w:after="160" w:before="280"/>
      </w:pPr>
      <w:r>
        <w:t xml:space="preserve">10. Confined Space Entry</w:t>
      </w:r>
    </w:p>
    <w:p>
      <w:pPr>
        <w:spacing w:after="160" w:line="276" w:lineRule="auto"/>
        <w:jc w:val="both"/>
      </w:pPr>
      <w:r>
        <w:rPr>
          <w:sz w:val="20"/>
          <w:szCs w:val="20"/>
        </w:rPr>
        <w:t xml:space="preserve">Confined space entry at Unit 4 – including entry into Reactor R-220 or any storage vessel – is governed by SOP-CSE-01 and requires a dedicated Confined Space Entry Permit.</w:t>
      </w:r>
    </w:p>
    <w:p>
      <w:pPr>
        <w:pStyle w:val="ListParagraph"/>
        <w:numPr>
          <w:ilvl w:val="0"/>
          <w:numId w:val="2"/>
        </w:numPr>
        <w:spacing w:after="110" w:line="276" w:lineRule="auto"/>
      </w:pPr>
      <w:r>
        <w:rPr>
          <w:sz w:val="20"/>
          <w:szCs w:val="20"/>
        </w:rPr>
        <w:t xml:space="preserve">Atmospheric testing (oxygen, flammable gas, toxic gas) must be conducted and recorded immediately before entry and at intervals not exceeding 60 minutes during occupancy;</w:t>
      </w:r>
    </w:p>
    <w:p>
      <w:pPr>
        <w:pStyle w:val="ListParagraph"/>
        <w:numPr>
          <w:ilvl w:val="0"/>
          <w:numId w:val="2"/>
        </w:numPr>
        <w:spacing w:after="110" w:line="276" w:lineRule="auto"/>
      </w:pPr>
      <w:r>
        <w:rPr>
          <w:sz w:val="20"/>
          <w:szCs w:val="20"/>
        </w:rPr>
        <w:t xml:space="preserve">A trained standby attendant must remain at the entry point for the full duration of entry, with no other duties assigned;</w:t>
      </w:r>
    </w:p>
    <w:p>
      <w:pPr>
        <w:pStyle w:val="ListParagraph"/>
        <w:numPr>
          <w:ilvl w:val="0"/>
          <w:numId w:val="2"/>
        </w:numPr>
        <w:spacing w:after="110" w:line="276" w:lineRule="auto"/>
      </w:pPr>
      <w:r>
        <w:rPr>
          <w:sz w:val="20"/>
          <w:szCs w:val="20"/>
        </w:rPr>
        <w:t xml:space="preserve">Continuous communication must be maintained between the entrant and the standby attendant at all times;</w:t>
      </w:r>
    </w:p>
    <w:p>
      <w:pPr>
        <w:pStyle w:val="ListParagraph"/>
        <w:numPr>
          <w:ilvl w:val="0"/>
          <w:numId w:val="2"/>
        </w:numPr>
        <w:spacing w:after="110" w:line="276" w:lineRule="auto"/>
      </w:pPr>
      <w:r>
        <w:rPr>
          <w:sz w:val="20"/>
          <w:szCs w:val="20"/>
        </w:rPr>
        <w:t xml:space="preserve">Rescue equipment appropriate to the specific confined space must be staged at the entry point before entry commences.</w:t>
      </w:r>
    </w:p>
    <w:p>
      <w:pPr>
        <w:pStyle w:val="Heading1"/>
        <w:spacing w:after="160" w:before="280"/>
      </w:pPr>
      <w:r>
        <w:t xml:space="preserve">11. Hot Work and Fire Prevention</w:t>
      </w:r>
    </w:p>
    <w:p>
      <w:pPr>
        <w:spacing w:after="160" w:line="276" w:lineRule="auto"/>
        <w:jc w:val="both"/>
      </w:pPr>
      <w:r>
        <w:rPr>
          <w:sz w:val="20"/>
          <w:szCs w:val="20"/>
        </w:rPr>
        <w:t xml:space="preserve">Hot work requires a Hot Work Permit and is prohibited within 15 metres of the Storage Tank Farm without additional gas-testing and fire-watch controls. A dedicated fire watch, equipped with an appropriate extinguisher, must be present for the duration of hot work and for a minimum of 30 minutes following completion.</w:t>
      </w:r>
    </w:p>
    <w:p>
      <w:pPr>
        <w:pStyle w:val="Heading1"/>
        <w:spacing w:after="160" w:before="280"/>
      </w:pPr>
      <w:r>
        <w:t xml:space="preserve">12. Working at Height</w:t>
      </w:r>
    </w:p>
    <w:p>
      <w:pPr>
        <w:spacing w:after="160" w:line="276" w:lineRule="auto"/>
        <w:jc w:val="both"/>
      </w:pPr>
      <w:r>
        <w:rPr>
          <w:sz w:val="20"/>
          <w:szCs w:val="20"/>
        </w:rPr>
        <w:t xml:space="preserve">Any work conducted at a height of 1.8 metres or more requires fall-protection measures appropriate to the task, which may include guardrails, safety harnesses with double lanyards, or scaffold with toe-boards, as determined by the task-specific risk assessment.</w:t>
      </w:r>
    </w:p>
    <w:p>
      <w:pPr>
        <w:pStyle w:val="Heading1"/>
        <w:spacing w:after="160" w:before="280"/>
      </w:pPr>
      <w:r>
        <w:t xml:space="preserve">13. Electrical Safety</w:t>
      </w:r>
    </w:p>
    <w:p>
      <w:pPr>
        <w:spacing w:after="160" w:line="276" w:lineRule="auto"/>
        <w:jc w:val="both"/>
      </w:pPr>
      <w:r>
        <w:rPr>
          <w:sz w:val="20"/>
          <w:szCs w:val="20"/>
        </w:rPr>
        <w:t xml:space="preserve">All electrical work requires Lock-Out, Tag-Out (LOTO) of the relevant circuit prior to commencement, verified by a trained and authorised electrician using a calibrated voltage-testing device.</w:t>
      </w:r>
    </w:p>
    <w:p>
      <w:pPr>
        <w:pStyle w:val="Heading1"/>
        <w:spacing w:after="160" w:before="280"/>
      </w:pPr>
      <w:r>
        <w:t xml:space="preserve">14. Lifting and Material Handling Operations</w:t>
      </w:r>
    </w:p>
    <w:p>
      <w:pPr>
        <w:spacing w:after="160" w:line="276" w:lineRule="auto"/>
        <w:jc w:val="both"/>
      </w:pPr>
      <w:r>
        <w:rPr>
          <w:sz w:val="20"/>
          <w:szCs w:val="20"/>
        </w:rPr>
        <w:t xml:space="preserve">All lifting equipment used at Unit 4 is subject to statutory periodic inspection and certification. Lift plans are required for any lift exceeding 1 tonne or involving personnel, hazardous materials, or proximity to live process equipment.</w:t>
      </w:r>
    </w:p>
    <w:p>
      <w:pPr>
        <w:pStyle w:val="Heading1"/>
        <w:spacing w:after="160" w:before="280"/>
      </w:pPr>
      <w:r>
        <w:t xml:space="preserve">15. Chemical Handling, Storage and Static Electricity Control</w:t>
      </w:r>
    </w:p>
    <w:p>
      <w:pPr>
        <w:spacing w:after="160" w:line="276" w:lineRule="auto"/>
        <w:jc w:val="both"/>
      </w:pPr>
      <w:r>
        <w:rPr>
          <w:sz w:val="20"/>
          <w:szCs w:val="20"/>
        </w:rPr>
        <w:t xml:space="preserve">All chemical storage vessels within the Storage Tank Farm are subject to mandatory static electricity grounding, certified annually under PESO Storage Rules.</w:t>
      </w:r>
    </w:p>
    <w:p>
      <w:pPr>
        <w:pStyle w:val="Heading3"/>
        <w:spacing w:after="100" w:before="160"/>
      </w:pPr>
      <w:r>
        <w:t xml:space="preserve">15.1 Principal Hazardous Chemical Inventory (Extract)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600"/>
      </w:tblGrid>
      <w:tr>
        <w:trPr>
          <w:tblHeader/>
        </w:trPr>
        <w:tc>
          <w:tcPr>
            <w:tcW w:type="dxa" w:w="2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Chemical Class</w:t>
            </w:r>
          </w:p>
        </w:tc>
        <w:tc>
          <w:tcPr>
            <w:tcW w:type="dxa" w:w="2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Primary Hazard</w:t>
            </w:r>
          </w:p>
        </w:tc>
        <w:tc>
          <w:tcPr>
            <w:tcW w:type="dxa" w:w="2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Storage Location</w:t>
            </w:r>
          </w:p>
        </w:tc>
        <w:tc>
          <w:tcPr>
            <w:tcW w:type="dxa" w:w="2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Key Control</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Flammable solvents</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Fire, explosive vapour</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Storage Tank Farm</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Static grounding, vapour recovery</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Corrosive intermediates</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Skin/eye burns</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1</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Chemical-resistant PPE, eyewash stations</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catalysts</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Toxic if inhaled/ingested</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1, secured store</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Restricted access, respiratory PPE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Cooling/utility chemicals</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Mild irritant</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Utility Block</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Standard PPE, SDS available</w:t>
            </w:r>
          </w:p>
        </w:tc>
      </w:tr>
    </w:tbl>
    <w:p>
      <w:pPr>
        <w:pStyle w:val="Heading1"/>
        <w:spacing w:after="160" w:before="280"/>
      </w:pPr>
      <w:r>
        <w:t xml:space="preserve">16. Preventive Maintenance and Equipment Integrity</w:t>
      </w:r>
    </w:p>
    <w:p>
      <w:pPr>
        <w:spacing w:after="160" w:line="276" w:lineRule="auto"/>
        <w:jc w:val="both"/>
      </w:pPr>
      <w:r>
        <w:rPr>
          <w:sz w:val="20"/>
          <w:szCs w:val="20"/>
        </w:rPr>
        <w:t xml:space="preserve">All rotating and pressurized equipment at Unit 4 is subject to a documented preventive maintenance (PM) schedule maintained by the Maintenance and Engineering section, based on OEM recommendations and applicable statutory inspection intervals.</w:t>
      </w:r>
    </w:p>
    <w:p>
      <w:pPr>
        <w:spacing w:after="160" w:line="276" w:lineRule="auto"/>
        <w:jc w:val="both"/>
      </w:pPr>
      <w:r>
        <w:rPr>
          <w:b/>
          <w:bCs/>
          <w:sz w:val="20"/>
          <w:szCs w:val="20"/>
        </w:rPr>
        <w:t xml:space="preserve">Preventive maintenance schedules must be reviewed and updated whenever an OEM bulletin revises a component's rated service life. </w:t>
      </w:r>
      <w:r>
        <w:rPr>
          <w:sz w:val="20"/>
          <w:szCs w:val="20"/>
        </w:rPr>
        <w:t xml:space="preserve">This requirement was introduced following incident INC-2024-119, in which a compressor valve plate on C-101 failed after exceeding its OEM-rated fatigue cycle limit without the PM schedule having been updated to reflect the revised rating.</w:t>
      </w:r>
    </w:p>
    <w:p>
      <w:pPr>
        <w:pStyle w:val="Heading3"/>
        <w:spacing w:after="100" w:before="160"/>
      </w:pPr>
      <w:r>
        <w:t xml:space="preserve">16.1 Equipment-Specific Maintenance Intervals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200"/>
        <w:gridCol w:w="2400"/>
      </w:tblGrid>
      <w:tr>
        <w:trPr>
          <w:tblHeader/>
        </w:trPr>
        <w:tc>
          <w:tcPr>
            <w:tcW w:type="dxa" w:w="23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Equipment</w:t>
            </w:r>
          </w:p>
        </w:tc>
        <w:tc>
          <w:tcPr>
            <w:tcW w:type="dxa" w:w="2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PM Type</w:t>
            </w:r>
          </w:p>
        </w:tc>
        <w:tc>
          <w:tcPr>
            <w:tcW w:type="dxa" w:w="2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Interval</w:t>
            </w:r>
          </w:p>
        </w:tc>
        <w:tc>
          <w:tcPr>
            <w:tcW w:type="dxa" w:w="2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Statutory Reference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Pump P-204A</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Lubrication and seal check</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90 days</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Heat Exchanger HX-302</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Tube-bundle cleaning and inspection</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6 months</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Compressor C-101</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Valve plate condition check</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 OEM fatigue-cycle rating</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Relief Valve V-118</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Certification and function test</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PESO Storage Rules</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Reactor R-220</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Internal pressure vessel inspection</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24 months</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OISD-105</w:t>
            </w:r>
          </w:p>
        </w:tc>
      </w:tr>
      <w:tr>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Boiler B-501</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Statutory boiler inspection</w:t>
            </w:r>
          </w:p>
        </w:tc>
        <w:tc>
          <w:tcPr>
            <w:tcW w:type="dxa" w:w="2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Indian Boiler Regulations, 1950</w:t>
            </w:r>
          </w:p>
        </w:tc>
      </w:tr>
    </w:tbl>
    <w:p>
      <w:pPr>
        <w:spacing w:after="200"/>
      </w:pPr>
    </w:p>
    <w:p>
      <w:pPr>
        <w:pStyle w:val="Heading3"/>
        <w:spacing w:after="100" w:before="160"/>
      </w:pPr>
      <w:r>
        <w:t xml:space="preserve">16.2 OEM Bulletin Review Process</w:t>
      </w:r>
    </w:p>
    <w:p>
      <w:pPr>
        <w:spacing w:after="160" w:line="276" w:lineRule="auto"/>
        <w:jc w:val="both"/>
      </w:pPr>
      <w:r>
        <w:rPr>
          <w:sz w:val="20"/>
          <w:szCs w:val="20"/>
        </w:rPr>
        <w:t xml:space="preserve">On receipt of any OEM service bulletin affecting equipment installed at Unit 4, the responsible maintenance engineer must, within 5 working days, determine whether the bulletin revises a rated component life, update the affected PM schedule if so, and assess whether comparable equipment elsewhere in the plant is subject to the same latent risk.</w:t>
      </w:r>
    </w:p>
    <w:p>
      <w:pPr>
        <w:pStyle w:val="Heading3"/>
        <w:spacing w:after="100" w:before="160"/>
      </w:pPr>
      <w:r>
        <w:t xml:space="preserve">16.3 Process Safety Information</w:t>
      </w:r>
    </w:p>
    <w:p>
      <w:pPr>
        <w:spacing w:after="160" w:line="276" w:lineRule="auto"/>
        <w:jc w:val="both"/>
      </w:pPr>
      <w:r>
        <w:rPr>
          <w:sz w:val="20"/>
          <w:szCs w:val="20"/>
        </w:rPr>
        <w:t xml:space="preserve">Safe operating limits for all critical process parameters on Reactor R-220 and associated equipment are documented in the Process Safety Information register. Any proposed change to a documented safe operating limit requires sign-off through the Management of Change process (Section 26).</w:t>
      </w:r>
    </w:p>
    <w:p>
      <w:pPr>
        <w:pStyle w:val="Heading3"/>
        <w:spacing w:after="100" w:before="160"/>
      </w:pPr>
      <w:r>
        <w:t xml:space="preserve">16.4 Process Interlocks and Trip Systems</w:t>
      </w:r>
    </w:p>
    <w:p>
      <w:pPr>
        <w:spacing w:after="160" w:line="276" w:lineRule="auto"/>
        <w:jc w:val="both"/>
      </w:pPr>
      <w:r>
        <w:rPr>
          <w:sz w:val="20"/>
          <w:szCs w:val="20"/>
        </w:rPr>
        <w:t xml:space="preserve">Reactor R-220 and Boiler B-501 are fitted with independent high-high pressure and high-high temperature trip systems that are functionally tested during each statutory inspection cycle and are not permitted to be bypassed for any reason without Plant Manager authorisation, a documented risk assessment, and a time-limited bypass permit issued by the Safety Officer.</w:t>
      </w:r>
    </w:p>
    <w:p>
      <w:pPr>
        <w:pStyle w:val="Heading1"/>
        <w:spacing w:after="160" w:before="280"/>
      </w:pPr>
      <w:r>
        <w:t xml:space="preserve">17. Emergency Preparedness and Response</w:t>
      </w:r>
    </w:p>
    <w:p>
      <w:pPr>
        <w:spacing w:after="160" w:line="276" w:lineRule="auto"/>
        <w:jc w:val="both"/>
      </w:pPr>
      <w:r>
        <w:rPr>
          <w:sz w:val="20"/>
          <w:szCs w:val="20"/>
        </w:rPr>
        <w:t xml:space="preserve">Unit 4 maintains a formal On-Site Emergency Plan (document ERP-SC-01), mandatory for MAH units under the Manufacture, Storage and Import of Hazardous Chemicals Rules, 1989.</w:t>
      </w:r>
    </w:p>
    <w:p>
      <w:pPr>
        <w:pStyle w:val="Heading3"/>
        <w:spacing w:after="100" w:before="160"/>
      </w:pPr>
      <w:r>
        <w:t xml:space="preserve">17.1 Alarm and Evacuation</w:t>
      </w:r>
    </w:p>
    <w:p>
      <w:pPr>
        <w:spacing w:after="160" w:line="276" w:lineRule="auto"/>
        <w:jc w:val="both"/>
      </w:pPr>
      <w:r>
        <w:rPr>
          <w:sz w:val="20"/>
          <w:szCs w:val="20"/>
        </w:rPr>
        <w:t xml:space="preserve">On activation of the plant emergency siren, all personnel must cease work immediately and proceed via the nearest marked evacuation route to the assembly point at the main gate. Shift supervisors conduct a headcount and report status to the Emergency Response Coordinator within 10 minutes.</w:t>
      </w:r>
    </w:p>
    <w:p>
      <w:pPr>
        <w:pStyle w:val="Heading3"/>
        <w:spacing w:after="100" w:before="160"/>
      </w:pPr>
      <w:r>
        <w:t xml:space="preserve">17.2 Scenario-Specific Response — Fire</w:t>
      </w:r>
    </w:p>
    <w:p>
      <w:pPr>
        <w:pStyle w:val="ListParagraph"/>
        <w:numPr>
          <w:ilvl w:val="0"/>
          <w:numId w:val="2"/>
        </w:numPr>
        <w:spacing w:after="110" w:line="276" w:lineRule="auto"/>
      </w:pPr>
      <w:r>
        <w:rPr>
          <w:sz w:val="20"/>
          <w:szCs w:val="20"/>
        </w:rPr>
        <w:t xml:space="preserve">Raise the alarm immediately via the nearest manual call point or radio;</w:t>
      </w:r>
    </w:p>
    <w:p>
      <w:pPr>
        <w:pStyle w:val="ListParagraph"/>
        <w:numPr>
          <w:ilvl w:val="0"/>
          <w:numId w:val="2"/>
        </w:numPr>
        <w:spacing w:after="110" w:line="276" w:lineRule="auto"/>
      </w:pPr>
      <w:r>
        <w:rPr>
          <w:sz w:val="20"/>
          <w:szCs w:val="20"/>
        </w:rPr>
        <w:t xml:space="preserve">If trained and safe to do so, attempt to contain a small fire using the nearest extinguisher;</w:t>
      </w:r>
    </w:p>
    <w:p>
      <w:pPr>
        <w:pStyle w:val="ListParagraph"/>
        <w:numPr>
          <w:ilvl w:val="0"/>
          <w:numId w:val="2"/>
        </w:numPr>
        <w:spacing w:after="110" w:line="276" w:lineRule="auto"/>
      </w:pPr>
      <w:r>
        <w:rPr>
          <w:sz w:val="20"/>
          <w:szCs w:val="20"/>
        </w:rPr>
        <w:t xml:space="preserve">Evacuate and proceed to the assembly point if the fire cannot be controlled immediately;</w:t>
      </w:r>
    </w:p>
    <w:p>
      <w:pPr>
        <w:pStyle w:val="ListParagraph"/>
        <w:numPr>
          <w:ilvl w:val="0"/>
          <w:numId w:val="2"/>
        </w:numPr>
        <w:spacing w:after="110" w:line="276" w:lineRule="auto"/>
      </w:pPr>
      <w:r>
        <w:rPr>
          <w:sz w:val="20"/>
          <w:szCs w:val="20"/>
        </w:rPr>
        <w:t xml:space="preserve">Confirm the Fire Department has been called (101) with exact location and nature of the fire.</w:t>
      </w:r>
    </w:p>
    <w:p>
      <w:pPr>
        <w:pStyle w:val="Heading3"/>
        <w:spacing w:after="100" w:before="160"/>
      </w:pPr>
      <w:r>
        <w:t xml:space="preserve">17.3 Scenario-Specific Response — Chemical Release</w:t>
      </w:r>
    </w:p>
    <w:p>
      <w:pPr>
        <w:pStyle w:val="ListParagraph"/>
        <w:numPr>
          <w:ilvl w:val="0"/>
          <w:numId w:val="2"/>
        </w:numPr>
        <w:spacing w:after="110" w:line="276" w:lineRule="auto"/>
      </w:pPr>
      <w:r>
        <w:rPr>
          <w:sz w:val="20"/>
          <w:szCs w:val="20"/>
        </w:rPr>
        <w:t xml:space="preserve">Move upwind and uphill of the release point without delay;</w:t>
      </w:r>
    </w:p>
    <w:p>
      <w:pPr>
        <w:pStyle w:val="ListParagraph"/>
        <w:numPr>
          <w:ilvl w:val="0"/>
          <w:numId w:val="2"/>
        </w:numPr>
        <w:spacing w:after="110" w:line="276" w:lineRule="auto"/>
      </w:pPr>
      <w:r>
        <w:rPr>
          <w:sz w:val="20"/>
          <w:szCs w:val="20"/>
        </w:rPr>
        <w:t xml:space="preserve">The shift supervisor confirms the chemical identity from the SDS register;</w:t>
      </w:r>
    </w:p>
    <w:p>
      <w:pPr>
        <w:pStyle w:val="ListParagraph"/>
        <w:numPr>
          <w:ilvl w:val="0"/>
          <w:numId w:val="2"/>
        </w:numPr>
        <w:spacing w:after="110" w:line="276" w:lineRule="auto"/>
      </w:pPr>
      <w:r>
        <w:rPr>
          <w:sz w:val="20"/>
          <w:szCs w:val="20"/>
        </w:rPr>
        <w:t xml:space="preserve">Non-essential personnel evacuate; only trained, protected personnel approach to isolate the source;</w:t>
      </w:r>
    </w:p>
    <w:p>
      <w:pPr>
        <w:pStyle w:val="ListParagraph"/>
        <w:numPr>
          <w:ilvl w:val="0"/>
          <w:numId w:val="2"/>
        </w:numPr>
        <w:spacing w:after="110" w:line="276" w:lineRule="auto"/>
      </w:pPr>
      <w:r>
        <w:rPr>
          <w:sz w:val="20"/>
          <w:szCs w:val="20"/>
        </w:rPr>
        <w:t xml:space="preserve">The Emergency Response Coordinator determines whether external notification is required.</w:t>
      </w:r>
    </w:p>
    <w:p>
      <w:pPr>
        <w:pStyle w:val="Heading3"/>
        <w:spacing w:after="100" w:before="160"/>
      </w:pPr>
      <w:r>
        <w:t xml:space="preserve">17.4 Scenario-Specific Response — Medical Emergency</w:t>
      </w:r>
    </w:p>
    <w:p>
      <w:pPr>
        <w:pStyle w:val="ListParagraph"/>
        <w:numPr>
          <w:ilvl w:val="0"/>
          <w:numId w:val="2"/>
        </w:numPr>
        <w:spacing w:after="110" w:line="276" w:lineRule="auto"/>
      </w:pPr>
      <w:r>
        <w:rPr>
          <w:sz w:val="20"/>
          <w:szCs w:val="20"/>
        </w:rPr>
        <w:t xml:space="preserve">The nearest trained first aider is summoned via radio;</w:t>
      </w:r>
    </w:p>
    <w:p>
      <w:pPr>
        <w:pStyle w:val="ListParagraph"/>
        <w:numPr>
          <w:ilvl w:val="0"/>
          <w:numId w:val="2"/>
        </w:numPr>
        <w:spacing w:after="110" w:line="276" w:lineRule="auto"/>
      </w:pPr>
      <w:r>
        <w:rPr>
          <w:sz w:val="20"/>
          <w:szCs w:val="20"/>
        </w:rPr>
        <w:t xml:space="preserve">For injuries beyond first-aid scope, an ambulance is called immediately (108);</w:t>
      </w:r>
    </w:p>
    <w:p>
      <w:pPr>
        <w:pStyle w:val="ListParagraph"/>
        <w:numPr>
          <w:ilvl w:val="0"/>
          <w:numId w:val="2"/>
        </w:numPr>
        <w:spacing w:after="110" w:line="276" w:lineRule="auto"/>
      </w:pPr>
      <w:r>
        <w:rPr>
          <w:sz w:val="20"/>
          <w:szCs w:val="20"/>
        </w:rPr>
        <w:t xml:space="preserve">The affected individual is not moved unless remaining in place presents further hazard.</w:t>
      </w:r>
    </w:p>
    <w:p>
      <w:pPr>
        <w:pStyle w:val="Heading3"/>
        <w:spacing w:after="100" w:before="160"/>
      </w:pPr>
      <w:r>
        <w:t xml:space="preserve">17.5 Scenario-Specific Response — Natural Disaster (Flood, Cyclone, Earthquake)</w:t>
      </w:r>
    </w:p>
    <w:p>
      <w:pPr>
        <w:pStyle w:val="ListParagraph"/>
        <w:numPr>
          <w:ilvl w:val="0"/>
          <w:numId w:val="2"/>
        </w:numPr>
        <w:spacing w:after="110" w:line="276" w:lineRule="auto"/>
      </w:pPr>
      <w:r>
        <w:rPr>
          <w:sz w:val="20"/>
          <w:szCs w:val="20"/>
        </w:rPr>
        <w:t xml:space="preserve">On receipt of a severe weather warning, the Plant Manager convenes a pre-emptive review of process shutdown requirements for at-risk equipment, particularly the Storage Tank Farm;</w:t>
      </w:r>
    </w:p>
    <w:p>
      <w:pPr>
        <w:pStyle w:val="ListParagraph"/>
        <w:numPr>
          <w:ilvl w:val="0"/>
          <w:numId w:val="2"/>
        </w:numPr>
        <w:spacing w:after="110" w:line="276" w:lineRule="auto"/>
      </w:pPr>
      <w:r>
        <w:rPr>
          <w:sz w:val="20"/>
          <w:szCs w:val="20"/>
        </w:rPr>
        <w:t xml:space="preserve">In the event of an earthquake, personnel take cover under stable structures until shaking stops, then evacuate to the assembly point, avoiding areas beneath elevated piping or tanks;</w:t>
      </w:r>
    </w:p>
    <w:p>
      <w:pPr>
        <w:pStyle w:val="ListParagraph"/>
        <w:numPr>
          <w:ilvl w:val="0"/>
          <w:numId w:val="2"/>
        </w:numPr>
        <w:spacing w:after="110" w:line="276" w:lineRule="auto"/>
      </w:pPr>
      <w:r>
        <w:rPr>
          <w:sz w:val="20"/>
          <w:szCs w:val="20"/>
        </w:rPr>
        <w:t xml:space="preserve">Post-event, no equipment is restarted until a structural and process-integrity inspection has been completed and signed off by the Safety Officer.</w:t>
      </w:r>
    </w:p>
    <w:p>
      <w:pPr>
        <w:pStyle w:val="Heading3"/>
        <w:spacing w:after="100" w:before="160"/>
      </w:pPr>
      <w:r>
        <w:t xml:space="preserve">17.6 Emergency Drills</w:t>
      </w:r>
    </w:p>
    <w:p>
      <w:pPr>
        <w:spacing w:after="160" w:line="276" w:lineRule="auto"/>
        <w:jc w:val="both"/>
      </w:pPr>
      <w:r>
        <w:rPr>
          <w:sz w:val="20"/>
          <w:szCs w:val="20"/>
        </w:rPr>
        <w:t xml:space="preserve">A full-scale evacuation drill is conducted quarterly, and a table-top emergency scenario exercise is conducted twice per year for the Emergency Response Coordinator and department heads.</w:t>
      </w:r>
    </w:p>
    <w:p>
      <w:pPr>
        <w:pStyle w:val="Heading1"/>
        <w:spacing w:after="160" w:before="280"/>
      </w:pPr>
      <w:r>
        <w:t xml:space="preserve">18. Incident Reporting, Investigation and Corrective Action</w:t>
      </w:r>
    </w:p>
    <w:p>
      <w:pPr>
        <w:spacing w:after="160" w:line="276" w:lineRule="auto"/>
        <w:jc w:val="both"/>
      </w:pPr>
      <w:r>
        <w:rPr>
          <w:sz w:val="20"/>
          <w:szCs w:val="20"/>
        </w:rPr>
        <w:t xml:space="preserve">Any equipment failure resulting in unplanned downtime exceeding one hour, any injury requiring first aid or greater, any chemical release, and any near-miss with potential for serious harm, must be reported to the Safety Officer within 24 hours using the Incident Report form (Appendix D).</w:t>
      </w:r>
    </w:p>
    <w:p>
      <w:pPr>
        <w:pStyle w:val="Heading3"/>
        <w:spacing w:after="100" w:before="160"/>
      </w:pPr>
      <w:r>
        <w:t xml:space="preserve">18.1 Investigation Methodology</w:t>
      </w:r>
    </w:p>
    <w:p>
      <w:pPr>
        <w:spacing w:after="160" w:line="276" w:lineRule="auto"/>
        <w:jc w:val="both"/>
      </w:pPr>
      <w:r>
        <w:rPr>
          <w:sz w:val="20"/>
          <w:szCs w:val="20"/>
        </w:rPr>
        <w:t xml:space="preserve">Investigators distinguish between the immediate cause, contributing causes, and the root cause. For example, in the investigation of INC-2024-119, the immediate cause was cracking of the compressor valve plate; the contributing cause was operation beyond rated fatigue cycles; and the root cause was the absence of a formal process for updating PM schedules following OEM bulletin revisions — a gap subsequently closed by Section 16.2 of this manual.</w:t>
      </w:r>
    </w:p>
    <w:p>
      <w:pPr>
        <w:pStyle w:val="Heading3"/>
        <w:spacing w:after="100" w:before="160"/>
      </w:pPr>
      <w:r>
        <w:t xml:space="preserve">18.2 Corrective Action Tracking</w:t>
      </w:r>
    </w:p>
    <w:p>
      <w:pPr>
        <w:spacing w:after="160" w:line="276" w:lineRule="auto"/>
        <w:jc w:val="both"/>
      </w:pPr>
      <w:r>
        <w:rPr>
          <w:sz w:val="20"/>
          <w:szCs w:val="20"/>
        </w:rPr>
        <w:t xml:space="preserve">Corrective actions are logged in the Unit 4 Corrective Action Register and tracked to closure by the Safety Officer. Actions overdue by more than 30 days are escalated to the Plant Manager.</w:t>
      </w:r>
    </w:p>
    <w:p>
      <w:pPr>
        <w:pStyle w:val="Heading1"/>
        <w:spacing w:after="160" w:before="280"/>
      </w:pPr>
      <w:r>
        <w:t xml:space="preserve">19. Contractor and Third-Party Safety Management</w:t>
      </w:r>
    </w:p>
    <w:p>
      <w:pPr>
        <w:spacing w:after="160" w:line="276" w:lineRule="auto"/>
        <w:jc w:val="both"/>
      </w:pPr>
      <w:r>
        <w:rPr>
          <w:sz w:val="20"/>
          <w:szCs w:val="20"/>
        </w:rPr>
        <w:t xml:space="preserve">All contractors are required to complete a site safety induction before commencing any activity, and to comply fully with this policy as a contractual condition of site access.</w:t>
      </w:r>
    </w:p>
    <w:p>
      <w:pPr>
        <w:pStyle w:val="Heading3"/>
        <w:spacing w:after="100" w:before="160"/>
      </w:pPr>
      <w:r>
        <w:t xml:space="preserve">19.1 Pre-Qualification</w:t>
      </w:r>
    </w:p>
    <w:p>
      <w:pPr>
        <w:spacing w:after="160" w:line="276" w:lineRule="auto"/>
        <w:jc w:val="both"/>
      </w:pPr>
      <w:r>
        <w:rPr>
          <w:sz w:val="20"/>
          <w:szCs w:val="20"/>
        </w:rPr>
        <w:t xml:space="preserve">Contractors engaged for High or Critical risk work are subject to a documented pre-qualification review by the Safety Officer before being added to the approved contractor list.</w:t>
      </w:r>
    </w:p>
    <w:p>
      <w:pPr>
        <w:pStyle w:val="Heading3"/>
        <w:spacing w:after="100" w:before="160"/>
      </w:pPr>
      <w:r>
        <w:t xml:space="preserve">19.2 On-Site Supervision</w:t>
      </w:r>
    </w:p>
    <w:p>
      <w:pPr>
        <w:spacing w:after="160" w:line="276" w:lineRule="auto"/>
        <w:jc w:val="both"/>
      </w:pPr>
      <w:r>
        <w:rPr>
          <w:sz w:val="20"/>
          <w:szCs w:val="20"/>
        </w:rPr>
        <w:t xml:space="preserve">Contractor personnel do not work unsupervised in any High or Critical risk area. A Unit 4 Permit Issuer or Contractor Safety Coordinator must confirm isolation status and permit validity before work commences each shift.</w:t>
      </w:r>
    </w:p>
    <w:p>
      <w:pPr>
        <w:pStyle w:val="Heading3"/>
        <w:spacing w:after="100" w:before="160"/>
      </w:pPr>
      <w:r>
        <w:t xml:space="preserve">19.3 Contractor Incident Reporting</w:t>
      </w:r>
    </w:p>
    <w:p>
      <w:pPr>
        <w:spacing w:after="160" w:line="276" w:lineRule="auto"/>
        <w:jc w:val="both"/>
      </w:pPr>
      <w:r>
        <w:rPr>
          <w:sz w:val="20"/>
          <w:szCs w:val="20"/>
        </w:rPr>
        <w:t xml:space="preserve">Contractors are contractually obligated to report any incident, injury, or near-miss involving their personnel to the Unit 4 Safety Officer within the same 24-hour window required of Company employees under Section 18, regardless of severity or whether the contractor's own internal reporting process has been completed.</w:t>
      </w:r>
    </w:p>
    <w:p>
      <w:pPr>
        <w:pStyle w:val="Heading1"/>
        <w:spacing w:after="160" w:before="280"/>
      </w:pPr>
      <w:r>
        <w:t xml:space="preserve">20. Training and Competency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700"/>
      </w:tblGrid>
      <w:tr>
        <w:trPr>
          <w:tblHeader/>
        </w:trPr>
        <w:tc>
          <w:tcPr>
            <w:tcW w:type="dxa" w:w="2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Training</w:t>
            </w:r>
          </w:p>
        </w:tc>
        <w:tc>
          <w:tcPr>
            <w:tcW w:type="dxa" w:w="38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Audience</w:t>
            </w:r>
          </w:p>
        </w:tc>
        <w:tc>
          <w:tcPr>
            <w:tcW w:type="dxa" w:w="2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Frequency</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Site Safety Induction</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All new employees, contractors, visitors</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Before first site access</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to Work System</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issuers and users</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refresher</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Confined Space Entry</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Entrants and standby attendants</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refresher</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Fire Fighting and Fire Watch</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All shift personnel</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First Aid</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Designated first aiders per shift</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Biennial certification</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Emergency Response Coordinator</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Plant Manager, Safety Officer, dept. heads</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Lock-Out, Tag-Out (LOTO)</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Maintenance and electrical personnel</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refresher</w:t>
            </w:r>
          </w:p>
        </w:tc>
      </w:tr>
      <w:tr>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HIRA Methodology</w:t>
            </w:r>
          </w:p>
        </w:tc>
        <w:tc>
          <w:tcPr>
            <w:tcW w:type="dxa" w:w="3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Department heads, Safety Officer team</w:t>
            </w:r>
          </w:p>
        </w:tc>
        <w:tc>
          <w:tcPr>
            <w:tcW w:type="dxa" w:w="2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Biennial</w:t>
            </w:r>
          </w:p>
        </w:tc>
      </w:tr>
    </w:tbl>
    <w:p>
      <w:pPr>
        <w:spacing w:after="200"/>
      </w:pPr>
    </w:p>
    <w:p>
      <w:pPr>
        <w:pStyle w:val="Heading3"/>
        <w:spacing w:after="100" w:before="160"/>
      </w:pPr>
      <w:r>
        <w:t xml:space="preserve">20.1 Training Effectiveness Review</w:t>
      </w:r>
    </w:p>
    <w:p>
      <w:pPr>
        <w:spacing w:after="160" w:line="276" w:lineRule="auto"/>
        <w:jc w:val="both"/>
      </w:pPr>
      <w:r>
        <w:rPr>
          <w:sz w:val="20"/>
          <w:szCs w:val="20"/>
        </w:rPr>
        <w:t xml:space="preserve">The effectiveness of safety training is reviewed annually by the Safety Officer through a combination of post-training assessment scores, incident trend analysis, and direct observation during department safety walkdowns. Where a training programme is found ineffective, it is revised under the Management of Change process before the next scheduled delivery.</w:t>
      </w:r>
    </w:p>
    <w:p>
      <w:pPr>
        <w:pStyle w:val="Heading1"/>
        <w:spacing w:after="160" w:before="280"/>
      </w:pPr>
      <w:r>
        <w:t xml:space="preserve">21. Occupational Health and Medical Surveillance</w:t>
      </w:r>
    </w:p>
    <w:p>
      <w:pPr>
        <w:spacing w:after="160" w:line="276" w:lineRule="auto"/>
        <w:jc w:val="both"/>
      </w:pPr>
      <w:r>
        <w:rPr>
          <w:sz w:val="20"/>
          <w:szCs w:val="20"/>
        </w:rPr>
        <w:t xml:space="preserve">Employees engaged in roles with defined chemical exposure risk undergo periodic medical examination in accordance with the Factories Act Schedule of Occupational Health Surveillance.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4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Exposure Category</w:t>
            </w:r>
          </w:p>
        </w:tc>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Examination</w:t>
            </w:r>
          </w:p>
        </w:tc>
        <w:tc>
          <w:tcPr>
            <w:tcW w:type="dxa" w:w="2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Frequency</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Utility Block personnel (noise)</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Audiometry</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Confined space entrants</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Respiratory function (spirometry)</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1 (chemical exposure)</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Full medical examination</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All other plant floor personnel</w:t>
            </w:r>
          </w:p>
        </w:tc>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General health check-up</w:t>
            </w:r>
          </w:p>
        </w:tc>
        <w:tc>
          <w:tcPr>
            <w:tcW w:type="dxa" w:w="2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Biennial</w:t>
            </w:r>
          </w:p>
        </w:tc>
      </w:tr>
    </w:tbl>
    <w:p>
      <w:pPr>
        <w:spacing w:after="200"/>
      </w:pPr>
    </w:p>
    <w:p>
      <w:pPr>
        <w:pStyle w:val="Heading3"/>
        <w:spacing w:after="100" w:before="160"/>
      </w:pPr>
      <w:r>
        <w:t xml:space="preserve">21.1 Health Surveillance Triggers</w:t>
      </w:r>
    </w:p>
    <w:p>
      <w:pPr>
        <w:spacing w:after="160" w:line="276" w:lineRule="auto"/>
        <w:jc w:val="both"/>
      </w:pPr>
      <w:r>
        <w:rPr>
          <w:sz w:val="20"/>
          <w:szCs w:val="20"/>
        </w:rPr>
        <w:t xml:space="preserve">In addition to the scheduled examinations above, an unscheduled medical review is triggered following any chemical exposure incident, any confined space entry where atmospheric testing indicated an out-of-specification reading, or on request by the employee where they have reason to believe their health may have been affected by workplace exposure.</w:t>
      </w:r>
    </w:p>
    <w:p>
      <w:pPr>
        <w:pStyle w:val="Heading1"/>
        <w:spacing w:after="160" w:before="280"/>
      </w:pPr>
      <w:r>
        <w:t xml:space="preserve">22. Housekeeping and Plant Cleanliness</w:t>
      </w:r>
    </w:p>
    <w:p>
      <w:pPr>
        <w:spacing w:after="160" w:line="276" w:lineRule="auto"/>
        <w:jc w:val="both"/>
      </w:pPr>
      <w:r>
        <w:rPr>
          <w:sz w:val="20"/>
          <w:szCs w:val="20"/>
        </w:rPr>
        <w:t xml:space="preserve">All work areas must be maintained free of spill hazards, obstructed walkways, and accumulated combustible material, subject to weekly supervisor inspection and monthly audit by the Safety Officer.</w:t>
      </w:r>
    </w:p>
    <w:p>
      <w:pPr>
        <w:pStyle w:val="Heading1"/>
        <w:spacing w:after="160" w:before="280"/>
      </w:pPr>
      <w:r>
        <w:t xml:space="preserve">23. Safety Committees, Meetings and Communication</w:t>
      </w:r>
    </w:p>
    <w:p>
      <w:pPr>
        <w:spacing w:after="160" w:line="276" w:lineRule="auto"/>
        <w:jc w:val="both"/>
      </w:pPr>
      <w:r>
        <w:rPr>
          <w:sz w:val="20"/>
          <w:szCs w:val="20"/>
        </w:rPr>
        <w:t xml:space="preserve">The Plant Safety Committee, chaired by the Plant Manager, meets monthly to review incident trends, audit findings, and corrective action status. Minutes are circulated to all department notice boards within 5 working days.</w:t>
      </w:r>
    </w:p>
    <w:p>
      <w:pPr>
        <w:pStyle w:val="Heading1"/>
        <w:spacing w:after="160" w:before="280"/>
      </w:pPr>
      <w:r>
        <w:t xml:space="preserve">24. Audit, Inspection and Review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6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Activity</w:t>
            </w:r>
          </w:p>
        </w:tc>
        <w:tc>
          <w:tcPr>
            <w:tcW w:type="dxa" w:w="32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Frequency</w:t>
            </w:r>
          </w:p>
        </w:tc>
        <w:tc>
          <w:tcPr>
            <w:tcW w:type="dxa" w:w="2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Responsible</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Statutory Factory Inspectorate audit</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(external)</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Compliance Officer</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Internal EHS management system audit</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Officer</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Department-level safety walkdown</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Weekly</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Department Heads</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Fire extinguisher inspection</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Monthly</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Officer team</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This policy manual – formal review</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 or on major incident/MOC</w:t>
            </w:r>
          </w:p>
        </w:tc>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Officer / Plant Manager</w:t>
            </w:r>
          </w:p>
        </w:tc>
      </w:tr>
    </w:tbl>
    <w:p>
      <w:pPr>
        <w:pStyle w:val="Heading1"/>
        <w:spacing w:after="160" w:before="280"/>
      </w:pPr>
      <w:r>
        <w:t xml:space="preserve">25. Non-Conformance and Disciplinary Procedure</w:t>
      </w:r>
    </w:p>
    <w:p>
      <w:pPr>
        <w:spacing w:after="160" w:line="276" w:lineRule="auto"/>
        <w:jc w:val="both"/>
      </w:pPr>
      <w:r>
        <w:rPr>
          <w:sz w:val="20"/>
          <w:szCs w:val="20"/>
        </w:rPr>
        <w:t xml:space="preserve">Non-compliance is addressed proportionately, from verbal counselling for minor infractions to suspension of site access for repeated or wilful violations, particularly bypassing the Permit to Work system. Serious violations are referred to the Plant Manager and may result in termination, per Company HR policy.</w:t>
      </w:r>
    </w:p>
    <w:p>
      <w:pPr>
        <w:pStyle w:val="Heading1"/>
        <w:spacing w:after="160" w:before="280"/>
      </w:pPr>
      <w:r>
        <w:t xml:space="preserve">26. Management of Change (MOC)</w:t>
      </w:r>
    </w:p>
    <w:p>
      <w:pPr>
        <w:spacing w:after="160" w:line="276" w:lineRule="auto"/>
        <w:jc w:val="both"/>
      </w:pPr>
      <w:r>
        <w:rPr>
          <w:sz w:val="20"/>
          <w:szCs w:val="20"/>
        </w:rPr>
        <w:t xml:space="preserve">Any permanent or temporary change to plant equipment, process parameters, organisational structure, or this policy must be assessed through the Management of Change process before implementation, with sign-off from the Plant Manager before the change is authorised.</w:t>
      </w:r>
    </w:p>
    <w:p>
      <w:r>
        <w:br w:type="page"/>
      </w:r>
    </w:p>
    <w:p>
      <w:pPr>
        <w:pStyle w:val="Heading1"/>
        <w:spacing w:after="160" w:before="280"/>
      </w:pPr>
      <w:r>
        <w:t xml:space="preserve">Appendix A — Emergency Contact Directory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Function</w:t>
            </w:r>
          </w:p>
        </w:tc>
        <w:tc>
          <w:tcPr>
            <w:tcW w:type="dxa" w:w="47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Contact</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Plant Emergency Siren / Control Room</w:t>
            </w:r>
          </w:p>
        </w:tc>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Extension 100 (internal)</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Emergency Response Coordinator (Plant Manager)</w:t>
            </w:r>
          </w:p>
        </w:tc>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Vikram Joshi – Extension 101</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Officer (EHS)</w:t>
            </w:r>
          </w:p>
        </w:tc>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Meera Iyer – Extension 105</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Local Fire Department</w:t>
            </w:r>
          </w:p>
        </w:tc>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101 / Ambarnath Fire Station</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Ambulance</w:t>
            </w:r>
          </w:p>
        </w:tc>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108</w:t>
            </w:r>
          </w:p>
        </w:tc>
      </w:tr>
    </w:tbl>
    <w:p>
      <w:pPr>
        <w:pStyle w:val="Heading1"/>
        <w:spacing w:after="160" w:before="280"/>
      </w:pPr>
      <w:r>
        <w:t xml:space="preserve">Appendix B — PPE Requirement Matrix by Zone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Zone</w:t>
            </w:r>
          </w:p>
        </w:tc>
        <w:tc>
          <w:tcPr>
            <w:tcW w:type="dxa" w:w="60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Mandatory PPE</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1 (Reactor R-220)</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glasses, hard hat, steel-toe boots, chemical-resistant gloves, face shield</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2 (Pump P-204A)</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glasses, hard hat, steel-toe boots</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Process Bay 3 (Heat Exchanger HX-302)</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glasses, hard hat, steel-toe boots, heat-resistant gloves</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Utility Block (C-101, B-501)</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glasses, hard hat, steel-toe boots, hearing protection</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Storage Tank Farm (V-118)</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Safety glasses, hard hat, static-dissipative footwear, chemical-resistant gloves</w:t>
            </w:r>
          </w:p>
        </w:tc>
      </w:tr>
    </w:tbl>
    <w:p>
      <w:pPr>
        <w:pStyle w:val="Heading1"/>
        <w:spacing w:after="160" w:before="280"/>
      </w:pPr>
      <w:r>
        <w:t xml:space="preserve">Appendix C — Permit to Work (Sample Form Layout)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Field</w:t>
            </w:r>
          </w:p>
        </w:tc>
        <w:tc>
          <w:tcPr>
            <w:tcW w:type="dxa" w:w="60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Entry</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No.</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Type</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 General  ☐ Hot Work  ☐ Confined Space  ☐ Electrical  ☐ Excavation</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Equipment / Location</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Description of Work</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Isolations Confirmed (Y/N)</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Issued By / Time</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Closed By / Time</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bl>
    <w:p>
      <w:pPr>
        <w:pStyle w:val="Heading1"/>
        <w:spacing w:after="160" w:before="280"/>
      </w:pPr>
      <w:r>
        <w:t xml:space="preserve">Appendix D — Incident Report (Sample Form Layout)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Field</w:t>
            </w:r>
          </w:p>
        </w:tc>
        <w:tc>
          <w:tcPr>
            <w:tcW w:type="dxa" w:w="60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Entry</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Incident ID</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Date / Time of Incident</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Location / Equipment</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Severity (Low / Medium / High)</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Description</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Root Cause (on completion)</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r>
        <w:tc>
          <w:tcPr>
            <w:tcW w:type="dxa" w:w="34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Corrective Action(s)</w:t>
            </w:r>
          </w:p>
        </w:tc>
        <w:tc>
          <w:tcPr>
            <w:tcW w:type="dxa" w:w="6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________________</w:t>
            </w:r>
          </w:p>
        </w:tc>
      </w:tr>
    </w:tbl>
    <w:p>
      <w:pPr>
        <w:pStyle w:val="Heading1"/>
        <w:spacing w:after="160" w:before="280"/>
      </w:pPr>
      <w:r>
        <w:t xml:space="preserve">Appendix E — Statutory Inspection and Certification Calendar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gridCol w:w="1900"/>
      </w:tblGrid>
      <w:tr>
        <w:trPr>
          <w:tblHeader/>
        </w:trPr>
        <w:tc>
          <w:tcPr>
            <w:tcW w:type="dxa" w:w="3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Equipment / System</w:t>
            </w:r>
          </w:p>
        </w:tc>
        <w:tc>
          <w:tcPr>
            <w:tcW w:type="dxa" w:w="39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Certification</w:t>
            </w:r>
          </w:p>
        </w:tc>
        <w:tc>
          <w:tcPr>
            <w:tcW w:type="dxa" w:w="19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Renewal Frequency</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Reactor R-220</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OISD-105 internal pressure vessel inspection</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24 months</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Boiler B-501</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Indian Boiler Regulations certification</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Pressure Relief Valve V-118</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PESO Storage Rules certification</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Storage Tank Farm grounding</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PESO static-electricity grounding certificate</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Lifting equipment (cranes, hoists, slings)</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Statutory lifting equipment certification</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12 months</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Fire extinguishers (all zones)</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Internal inspection</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Monthly</w:t>
            </w:r>
          </w:p>
        </w:tc>
      </w:tr>
      <w:tr>
        <w:tc>
          <w:tcPr>
            <w:tcW w:type="dxa" w:w="3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Unit 4 hazardous process registration</w:t>
            </w:r>
          </w:p>
        </w:tc>
        <w:tc>
          <w:tcPr>
            <w:tcW w:type="dxa" w:w="3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Factories Act Sec. 87 renewal</w:t>
            </w:r>
          </w:p>
        </w:tc>
        <w:tc>
          <w:tcPr>
            <w:tcW w:type="dxa" w:w="1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Annual</w:t>
            </w:r>
          </w:p>
        </w:tc>
      </w:tr>
    </w:tbl>
    <w:p>
      <w:pPr>
        <w:pStyle w:val="Heading1"/>
        <w:spacing w:after="160" w:before="280"/>
      </w:pPr>
      <w:r>
        <w:t xml:space="preserve">Appendix F — Referenced Subordinate Documents</w:t>
      </w:r>
    </w:p>
    <w:p>
      <w:pPr>
        <w:spacing w:after="160" w:line="276" w:lineRule="auto"/>
        <w:jc w:val="both"/>
      </w:pPr>
      <w:r>
        <w:rPr>
          <w:sz w:val="20"/>
          <w:szCs w:val="20"/>
        </w:rPr>
        <w:t xml:space="preserve">This manual is the top-level governing document for Unit 4 safety management. The following subordinate SOPs and plans are referenced throughout and are maintained as separate controlled documents in the Unit 4 Document Management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Document No.</w:t>
            </w:r>
          </w:p>
        </w:tc>
        <w:tc>
          <w:tcPr>
            <w:tcW w:type="dxa" w:w="6800"/>
            <w:tcBorders>
              <w:top w:val="single" w:color="BBBBBB" w:sz="2"/>
              <w:left w:val="single" w:color="BBBBBB" w:sz="2"/>
              <w:bottom w:val="single" w:color="BBBBBB" w:sz="2"/>
              <w:right w:val="single" w:color="BBBBBB" w:sz="2"/>
            </w:tcBorders>
            <w:shd w:fill="E8E8E8" w:color="auto" w:val="clear"/>
            <w:tcMar>
              <w:top w:type="dxa" w:w="80"/>
              <w:left w:type="dxa" w:w="100"/>
              <w:bottom w:type="dxa" w:w="80"/>
              <w:right w:type="dxa" w:w="100"/>
            </w:tcMar>
          </w:tcPr>
          <w:p>
            <w:r>
              <w:rPr>
                <w:b/>
                <w:bCs/>
                <w:sz w:val="18"/>
                <w:szCs w:val="18"/>
              </w:rPr>
              <w:t xml:space="preserve">Title</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SOP-PTW-01</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Permit to Work Policy</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SOP-CSE-01</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Confined Space Entry</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SOP-PM-204</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Pump Maintenance Procedure – P-204 Series</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SOP-PPE-01</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PPE Policy – Plant Floor</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SOP-EHS-Shift</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Shift Handover Policy</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ERP-SC-01</w:t>
            </w:r>
          </w:p>
        </w:tc>
        <w:tc>
          <w:tcPr>
            <w:tcW w:type="dxa" w:w="6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8"/>
                <w:szCs w:val="18"/>
              </w:rPr>
              <w:t xml:space="preserve">On-Site Emergency Response Plan</w:t>
            </w:r>
          </w:p>
        </w:tc>
      </w:tr>
    </w:tbl>
    <w:p>
      <w:pPr>
        <w:spacing w:after="300"/>
      </w:pPr>
    </w:p>
    <w:p>
      <w:pPr>
        <w:spacing w:after="100"/>
      </w:pPr>
      <w:r>
        <w:rPr>
          <w:i/>
          <w:iCs/>
          <w:color w:val="555555"/>
          <w:sz w:val="16"/>
          <w:szCs w:val="16"/>
        </w:rPr>
        <w:t xml:space="preserve">End of document. This manual is uncontrolled when printed. Refer to the Unit 4 Document Management System for the current approved revision. Questions regarding this policy should be directed to the Safety Officer, EHS Department, Suraksha Chemicals Pvt. Ltd., Unit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b/>
      <w:bCs/>
      <w:color w:val="111111"/>
      <w:sz w:val="28"/>
      <w:szCs w:val="28"/>
    </w:rPr>
  </w:style>
  <w:style w:type="paragraph" w:styleId="Heading2">
    <w:name w:val="Heading 2"/>
    <w:basedOn w:val="Normal"/>
    <w:next w:val="Normal"/>
    <w:qFormat/>
    <w:pPr>
      <w:spacing w:after="120" w:before="220"/>
    </w:pPr>
    <w:rPr>
      <w:b/>
      <w:bCs/>
      <w:color w:val="1A1A1A"/>
      <w:sz w:val="23"/>
      <w:szCs w:val="23"/>
    </w:rPr>
  </w:style>
  <w:style w:type="paragraph" w:styleId="Heading3">
    <w:name w:val="Heading 3"/>
    <w:basedOn w:val="Normal"/>
    <w:next w:val="Normal"/>
    <w:qFormat/>
    <w:pPr>
      <w:spacing w:after="100" w:before="160"/>
    </w:pPr>
    <w:rPr>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2026-07-11T11:25:33.768Z</dcterms:created>
  <dcterms:modified xsi:type="dcterms:W3CDTF">2026-07-11T11:25:33.768Z</dcterms:modified>
</cp:coreProperties>
</file>

<file path=docProps/custom.xml><?xml version="1.0" encoding="utf-8"?>
<Properties xmlns="http://schemas.openxmlformats.org/officeDocument/2006/custom-properties" xmlns:vt="http://schemas.openxmlformats.org/officeDocument/2006/docPropsVTypes"/>
</file>