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26"/>
          <w:szCs w:val="26"/>
        </w:rPr>
        <w:t xml:space="preserve">Suraksha Chemicals Pvt. Ltd.</w:t>
      </w:r>
    </w:p>
    <w:p>
      <w:pPr>
        <w:spacing w:after="240"/>
      </w:pPr>
      <w:r>
        <w:rPr>
          <w:color w:val="555555"/>
          <w:sz w:val="18"/>
          <w:szCs w:val="18"/>
        </w:rPr>
        <w:t xml:space="preserve">Unit 4 — Specialty Chemicals &amp; Intermediates, Ambarnath, Maharashtra</w:t>
      </w:r>
    </w:p>
    <w:p>
      <w:pPr>
        <w:spacing w:after="40"/>
      </w:pPr>
      <w:r>
        <w:rPr>
          <w:b/>
          <w:bCs/>
          <w:sz w:val="30"/>
          <w:szCs w:val="30"/>
        </w:rPr>
        <w:t xml:space="preserve">STANDARD OPERATING PROCEDURE</w:t>
      </w:r>
    </w:p>
    <w:p>
      <w:pPr>
        <w:spacing w:after="260"/>
      </w:pPr>
      <w:r>
        <w:rPr>
          <w:color w:val="555555"/>
          <w:sz w:val="20"/>
          <w:szCs w:val="20"/>
        </w:rPr>
        <w:t xml:space="preserve">Pump Maintenance Procedure — P-204 Series — Document SOP-PM-204</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c>
          <w:tcPr>
            <w:tcW w:type="dxa" w:w="26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9"/>
                <w:szCs w:val="19"/>
              </w:rPr>
              <w:t xml:space="preserve">Document No.</w:t>
            </w:r>
          </w:p>
        </w:tc>
        <w:tc>
          <w:tcPr>
            <w:tcW w:type="dxa" w:w="61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SOP-PM-204</w:t>
            </w:r>
          </w:p>
        </w:tc>
      </w:tr>
      <w:tr>
        <w:tc>
          <w:tcPr>
            <w:tcW w:type="dxa" w:w="26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9"/>
                <w:szCs w:val="19"/>
              </w:rPr>
              <w:t xml:space="preserve">Issued By</w:t>
            </w:r>
          </w:p>
        </w:tc>
        <w:tc>
          <w:tcPr>
            <w:tcW w:type="dxa" w:w="61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Meera Iyer, Safety Officer (EHS)</w:t>
            </w:r>
          </w:p>
        </w:tc>
      </w:tr>
      <w:tr>
        <w:tc>
          <w:tcPr>
            <w:tcW w:type="dxa" w:w="26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9"/>
                <w:szCs w:val="19"/>
              </w:rPr>
              <w:t xml:space="preserve">Effective Date</w:t>
            </w:r>
          </w:p>
        </w:tc>
        <w:tc>
          <w:tcPr>
            <w:tcW w:type="dxa" w:w="61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01-Jan-2024</w:t>
            </w:r>
          </w:p>
        </w:tc>
      </w:tr>
      <w:tr>
        <w:tc>
          <w:tcPr>
            <w:tcW w:type="dxa" w:w="2600"/>
            <w:tcBorders>
              <w:top w:val="single" w:color="BBBBBB" w:sz="2"/>
              <w:left w:val="single" w:color="BBBBBB" w:sz="2"/>
              <w:bottom w:val="single" w:color="BBBBBB" w:sz="2"/>
              <w:right w:val="single" w:color="BBBBBB" w:sz="2"/>
            </w:tcBorders>
            <w:shd w:fill="F2F2F2" w:color="auto" w:val="clear"/>
            <w:tcMar>
              <w:top w:type="dxa" w:w="80"/>
              <w:left w:type="dxa" w:w="100"/>
              <w:bottom w:type="dxa" w:w="80"/>
              <w:right w:type="dxa" w:w="100"/>
            </w:tcMar>
          </w:tcPr>
          <w:p>
            <w:r>
              <w:rPr>
                <w:b/>
                <w:bCs/>
                <w:sz w:val="19"/>
                <w:szCs w:val="19"/>
              </w:rPr>
              <w:t xml:space="preserve">Applies To</w:t>
            </w:r>
          </w:p>
        </w:tc>
        <w:tc>
          <w:tcPr>
            <w:tcW w:type="dxa" w:w="6100"/>
            <w:tcBorders>
              <w:top w:val="single" w:color="BBBBBB" w:sz="2"/>
              <w:left w:val="single" w:color="BBBBBB" w:sz="2"/>
              <w:bottom w:val="single" w:color="BBBBBB" w:sz="2"/>
              <w:right w:val="single" w:color="BBBBBB" w:sz="2"/>
            </w:tcBorders>
            <w:tcMar>
              <w:top w:type="dxa" w:w="80"/>
              <w:left w:type="dxa" w:w="100"/>
              <w:bottom w:type="dxa" w:w="80"/>
              <w:right w:type="dxa" w:w="100"/>
            </w:tcMar>
          </w:tcPr>
          <w:p>
            <w:r>
              <w:rPr>
                <w:b w:val="false"/>
                <w:bCs w:val="false"/>
                <w:sz w:val="19"/>
                <w:szCs w:val="19"/>
              </w:rPr>
              <w:t xml:space="preserve">Centrifugal Pump P-204A and other P-204 series pumps</w:t>
            </w:r>
          </w:p>
        </w:tc>
      </w:tr>
    </w:tbl>
    <w:p>
      <w:pPr>
        <w:spacing w:after="260"/>
      </w:pPr>
    </w:p>
    <w:p>
      <w:pPr>
        <w:pStyle w:val="Heading1"/>
        <w:spacing w:after="140" w:before="200"/>
      </w:pPr>
      <w:r>
        <w:t xml:space="preserve">1. Purpose</w:t>
      </w:r>
    </w:p>
    <w:p>
      <w:pPr>
        <w:spacing w:after="160" w:line="276" w:lineRule="auto"/>
        <w:jc w:val="both"/>
      </w:pPr>
      <w:r>
        <w:rPr>
          <w:sz w:val="20"/>
          <w:szCs w:val="20"/>
        </w:rPr>
        <w:t xml:space="preserve">This procedure defines the routine and corrective maintenance steps for P-204 series pumps, including Pump P-204A in Process Bay 2, covering lubrication, seal inspection, and vibration verification.</w:t>
      </w:r>
    </w:p>
    <w:p>
      <w:pPr>
        <w:pStyle w:val="Heading1"/>
        <w:spacing w:after="140" w:before="200"/>
      </w:pPr>
      <w:r>
        <w:t xml:space="preserve">2. Permit Requirement</w:t>
      </w:r>
    </w:p>
    <w:p>
      <w:pPr>
        <w:spacing w:after="160" w:line="276" w:lineRule="auto"/>
        <w:jc w:val="both"/>
      </w:pPr>
      <w:r>
        <w:rPr>
          <w:sz w:val="20"/>
          <w:szCs w:val="20"/>
        </w:rPr>
        <w:t xml:space="preserve">Any maintenance activity under this procedure that requires isolation of the pump — including bearing replacement, seal inspection, or housing disassembly — requires an approved General Work Permit issued in accordance with the Permit to Work Policy (SOP-PTW-01) before work commences. The permit must be closed and the pump returned to a verified safe condition before it is released for isolation removal.</w:t>
      </w:r>
    </w:p>
    <w:p>
      <w:pPr>
        <w:pStyle w:val="Heading1"/>
        <w:spacing w:after="140" w:before="200"/>
      </w:pPr>
      <w:r>
        <w:t xml:space="preserve">3. Routine Lubrication Cycle</w:t>
      </w:r>
    </w:p>
    <w:p>
      <w:pPr>
        <w:spacing w:after="160" w:line="276" w:lineRule="auto"/>
        <w:jc w:val="both"/>
      </w:pPr>
      <w:r>
        <w:rPr>
          <w:sz w:val="20"/>
          <w:szCs w:val="20"/>
        </w:rPr>
        <w:t xml:space="preserve">Bearing housings are lubricated on a 90-day cycle using the grade specified in the equipment manufacturer's documentation. Each lubrication cycle includes a visual inspection of the mechanical seal and a post-service vibration check.</w:t>
      </w:r>
    </w:p>
    <w:p>
      <w:pPr>
        <w:pStyle w:val="Heading1"/>
        <w:spacing w:after="140" w:before="200"/>
      </w:pPr>
      <w:r>
        <w:t xml:space="preserve">4. Maintenance Checklist</w:t>
      </w:r>
    </w:p>
    <w:p>
      <w:pPr>
        <w:pStyle w:val="ListParagraph"/>
        <w:numPr>
          <w:ilvl w:val="0"/>
          <w:numId w:val="2"/>
        </w:numPr>
        <w:spacing w:after="110" w:line="276" w:lineRule="auto"/>
      </w:pPr>
      <w:r>
        <w:rPr>
          <w:sz w:val="20"/>
          <w:szCs w:val="20"/>
        </w:rPr>
        <w:t xml:space="preserve">Confirm an approved General Work Permit (SOP-PTW-01) is in place before isolating the pump;</w:t>
      </w:r>
    </w:p>
    <w:p>
      <w:pPr>
        <w:pStyle w:val="ListParagraph"/>
        <w:numPr>
          <w:ilvl w:val="0"/>
          <w:numId w:val="2"/>
        </w:numPr>
        <w:spacing w:after="110" w:line="276" w:lineRule="auto"/>
      </w:pPr>
      <w:r>
        <w:rPr>
          <w:sz w:val="20"/>
          <w:szCs w:val="20"/>
        </w:rPr>
        <w:t xml:space="preserve">Inspect bearing housing for signs of oil leakage or discoloration;</w:t>
      </w:r>
    </w:p>
    <w:p>
      <w:pPr>
        <w:pStyle w:val="ListParagraph"/>
        <w:numPr>
          <w:ilvl w:val="0"/>
          <w:numId w:val="2"/>
        </w:numPr>
        <w:spacing w:after="110" w:line="276" w:lineRule="auto"/>
      </w:pPr>
      <w:r>
        <w:rPr>
          <w:sz w:val="20"/>
          <w:szCs w:val="20"/>
        </w:rPr>
        <w:t xml:space="preserve">Drain and replace bearing lubricant with the specified grade;</w:t>
      </w:r>
    </w:p>
    <w:p>
      <w:pPr>
        <w:pStyle w:val="ListParagraph"/>
        <w:numPr>
          <w:ilvl w:val="0"/>
          <w:numId w:val="2"/>
        </w:numPr>
        <w:spacing w:after="110" w:line="276" w:lineRule="auto"/>
      </w:pPr>
      <w:r>
        <w:rPr>
          <w:sz w:val="20"/>
          <w:szCs w:val="20"/>
        </w:rPr>
        <w:t xml:space="preserve">Inspect mechanical seal for visible wear, cracking, or weeping;</w:t>
      </w:r>
    </w:p>
    <w:p>
      <w:pPr>
        <w:pStyle w:val="ListParagraph"/>
        <w:numPr>
          <w:ilvl w:val="0"/>
          <w:numId w:val="2"/>
        </w:numPr>
        <w:spacing w:after="110" w:line="276" w:lineRule="auto"/>
      </w:pPr>
      <w:r>
        <w:rPr>
          <w:sz w:val="20"/>
          <w:szCs w:val="20"/>
        </w:rPr>
        <w:t xml:space="preserve">Re-torque housing bolts to specification after reassembly;</w:t>
      </w:r>
    </w:p>
    <w:p>
      <w:pPr>
        <w:pStyle w:val="ListParagraph"/>
        <w:numPr>
          <w:ilvl w:val="0"/>
          <w:numId w:val="2"/>
        </w:numPr>
        <w:spacing w:after="110" w:line="276" w:lineRule="auto"/>
      </w:pPr>
      <w:r>
        <w:rPr>
          <w:sz w:val="20"/>
          <w:szCs w:val="20"/>
        </w:rPr>
        <w:t xml:space="preserve">Run pump and record vibration readings at drive-end and non-drive-end bearings;</w:t>
      </w:r>
    </w:p>
    <w:p>
      <w:pPr>
        <w:pStyle w:val="ListParagraph"/>
        <w:numPr>
          <w:ilvl w:val="0"/>
          <w:numId w:val="2"/>
        </w:numPr>
        <w:spacing w:after="110" w:line="276" w:lineRule="auto"/>
      </w:pPr>
      <w:r>
        <w:rPr>
          <w:sz w:val="20"/>
          <w:szCs w:val="20"/>
        </w:rPr>
        <w:t xml:space="preserve">Confirm vibration readings are within the threshold specified in Section 5;</w:t>
      </w:r>
    </w:p>
    <w:p>
      <w:pPr>
        <w:pStyle w:val="ListParagraph"/>
        <w:numPr>
          <w:ilvl w:val="0"/>
          <w:numId w:val="2"/>
        </w:numPr>
        <w:spacing w:after="110" w:line="276" w:lineRule="auto"/>
      </w:pPr>
      <w:r>
        <w:rPr>
          <w:sz w:val="20"/>
          <w:szCs w:val="20"/>
        </w:rPr>
        <w:t xml:space="preserve">Close the Permit to Work and return the pump to normal operating status.</w:t>
      </w:r>
    </w:p>
    <w:p>
      <w:pPr>
        <w:pStyle w:val="Heading1"/>
        <w:spacing w:after="140" w:before="200"/>
      </w:pPr>
      <w:r>
        <w:t xml:space="preserve">5. Vibration Threshold</w:t>
      </w:r>
    </w:p>
    <w:p>
      <w:pPr>
        <w:spacing w:after="160" w:line="276" w:lineRule="auto"/>
        <w:jc w:val="both"/>
      </w:pPr>
      <w:r>
        <w:rPr>
          <w:sz w:val="20"/>
          <w:szCs w:val="20"/>
        </w:rPr>
        <w:t xml:space="preserve">Vibration readings at both drive-end and non-drive-end bearings must not exceed 4.5 mm/s RMS. Any reading above this threshold requires escalation to a corrective work order rather than closure of the routine permit.</w:t>
      </w:r>
    </w:p>
    <w:p>
      <w:pPr>
        <w:pStyle w:val="Heading1"/>
        <w:spacing w:after="140" w:before="200"/>
      </w:pPr>
      <w:r>
        <w:t xml:space="preserve">6. Interval Review</w:t>
      </w:r>
    </w:p>
    <w:p>
      <w:pPr>
        <w:spacing w:after="160" w:line="276" w:lineRule="auto"/>
        <w:jc w:val="both"/>
      </w:pPr>
      <w:r>
        <w:rPr>
          <w:sz w:val="20"/>
          <w:szCs w:val="20"/>
        </w:rPr>
        <w:t xml:space="preserve">The 90-day lubrication interval specified in this procedure is reviewed by the Maintenance and Engineering section whenever an OEM bulletin revises the component's rated service life, or following any incident investigation that identifies the interval as a contributing factor.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00"/>
    </w:pPr>
    <w:rPr>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2026-07-19T13:25:44.402Z</dcterms:created>
  <dcterms:modified xsi:type="dcterms:W3CDTF">2026-07-19T13:25:44.414Z</dcterms:modified>
</cp:coreProperties>
</file>

<file path=docProps/custom.xml><?xml version="1.0" encoding="utf-8"?>
<Properties xmlns="http://schemas.openxmlformats.org/officeDocument/2006/custom-properties" xmlns:vt="http://schemas.openxmlformats.org/officeDocument/2006/docPropsVTypes"/>
</file>