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26"/>
          <w:szCs w:val="26"/>
        </w:rPr>
        <w:t xml:space="preserve">Suraksha Chemicals Pvt. Ltd.</w:t>
      </w:r>
    </w:p>
    <w:p>
      <w:pPr>
        <w:spacing w:after="240"/>
      </w:pPr>
      <w:r>
        <w:rPr>
          <w:color w:val="555555"/>
          <w:sz w:val="18"/>
          <w:szCs w:val="18"/>
        </w:rPr>
        <w:t xml:space="preserve">Unit 4 — Specialty Chemicals &amp; Intermediates, Ambarnath, Maharashtra</w:t>
      </w:r>
    </w:p>
    <w:p>
      <w:pPr>
        <w:spacing w:after="40"/>
      </w:pPr>
      <w:r>
        <w:rPr>
          <w:b/>
          <w:bCs/>
          <w:sz w:val="30"/>
          <w:szCs w:val="30"/>
        </w:rPr>
        <w:t xml:space="preserve">MAINTENANCE WORK ORDER</w:t>
      </w:r>
    </w:p>
    <w:p>
      <w:pPr>
        <w:spacing w:after="260"/>
      </w:pPr>
      <w:r>
        <w:rPr>
          <w:color w:val="555555"/>
          <w:sz w:val="20"/>
          <w:szCs w:val="20"/>
        </w:rPr>
        <w:t xml:space="preserve">Preventive Maintenance — Routine Lubrication and Seal Check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2500"/>
      </w:tblGrid>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Work Order No.</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WO-2025-0033</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Date Issued</w:t>
            </w:r>
          </w:p>
        </w:tc>
        <w:tc>
          <w:tcPr>
            <w:tcW w:type="dxa" w:w="25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20-Jan-2025</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Equipment</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Centrifugal Pump P-204A</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Location</w:t>
            </w:r>
          </w:p>
        </w:tc>
        <w:tc>
          <w:tcPr>
            <w:tcW w:type="dxa" w:w="25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Process Bay 2</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Work Type</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Preventive</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Reference SOP</w:t>
            </w:r>
          </w:p>
        </w:tc>
        <w:tc>
          <w:tcPr>
            <w:tcW w:type="dxa" w:w="25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SOP-PM-204</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Assigned Technician</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Ananya Deshmukh (Field Technician)</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Shift</w:t>
            </w:r>
          </w:p>
        </w:tc>
        <w:tc>
          <w:tcPr>
            <w:tcW w:type="dxa" w:w="25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Day Shift</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Permit Required</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General Work Permit (SOP-PTW-01)</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Estimated Duration</w:t>
            </w:r>
          </w:p>
        </w:tc>
        <w:tc>
          <w:tcPr>
            <w:tcW w:type="dxa" w:w="25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1.5 hours</w:t>
            </w:r>
          </w:p>
        </w:tc>
      </w:tr>
    </w:tbl>
    <w:p>
      <w:pPr>
        <w:spacing w:after="260"/>
      </w:pPr>
    </w:p>
    <w:p>
      <w:pPr>
        <w:pStyle w:val="Heading2"/>
        <w:spacing w:after="100" w:before="180"/>
      </w:pPr>
      <w:r>
        <w:t xml:space="preserve">Description of Work</w:t>
      </w:r>
    </w:p>
    <w:p>
      <w:pPr>
        <w:spacing w:after="140" w:line="276" w:lineRule="auto"/>
        <w:jc w:val="both"/>
      </w:pPr>
      <w:r>
        <w:rPr>
          <w:sz w:val="20"/>
          <w:szCs w:val="20"/>
        </w:rPr>
        <w:t xml:space="preserve">Routine 90-day preventive maintenance on Pump P-204A per SOP-PM-204 (Pump Maintenance Procedure — P-204 Series). Scope covers lubrication of bearing housings, inspection of mechanical seal condition, and verification of vibration levels against the established threshold. This work order is issued as part of the standard 90-day lubrication cycle and is not in response to any reported fault.</w:t>
      </w:r>
    </w:p>
    <w:p>
      <w:pPr>
        <w:pStyle w:val="Heading2"/>
        <w:spacing w:after="100" w:before="180"/>
      </w:pPr>
      <w:r>
        <w:t xml:space="preserve">Maintenance Checklist (per SOP-PM-204)</w:t>
      </w:r>
    </w:p>
    <w:p>
      <w:pPr>
        <w:spacing w:after="90"/>
      </w:pPr>
      <w:r>
        <w:rPr>
          <w:sz w:val="20"/>
          <w:szCs w:val="20"/>
        </w:rPr>
        <w:t xml:space="preserve">☒ Isolate pump per Permit to Work; confirm zero-energy state before opening housing</w:t>
      </w:r>
    </w:p>
    <w:p>
      <w:pPr>
        <w:spacing w:after="90"/>
      </w:pPr>
      <w:r>
        <w:rPr>
          <w:sz w:val="20"/>
          <w:szCs w:val="20"/>
        </w:rPr>
        <w:t xml:space="preserve">☒ Inspect bearing housing for signs of oil leakage or discoloration</w:t>
      </w:r>
    </w:p>
    <w:p>
      <w:pPr>
        <w:spacing w:after="90"/>
      </w:pPr>
      <w:r>
        <w:rPr>
          <w:sz w:val="20"/>
          <w:szCs w:val="20"/>
        </w:rPr>
        <w:t xml:space="preserve">☒ Drain and replace bearing lubricant with specified grade (see SOP-PM-204, Section 3)</w:t>
      </w:r>
    </w:p>
    <w:p>
      <w:pPr>
        <w:spacing w:after="90"/>
      </w:pPr>
      <w:r>
        <w:rPr>
          <w:sz w:val="20"/>
          <w:szCs w:val="20"/>
        </w:rPr>
        <w:t xml:space="preserve">☒ Inspect mechanical seal for visible wear, cracking, or weeping</w:t>
      </w:r>
    </w:p>
    <w:p>
      <w:pPr>
        <w:spacing w:after="90"/>
      </w:pPr>
      <w:r>
        <w:rPr>
          <w:sz w:val="20"/>
          <w:szCs w:val="20"/>
        </w:rPr>
        <w:t xml:space="preserve">☒ Re-torque housing bolts to specification after reassembly</w:t>
      </w:r>
    </w:p>
    <w:p>
      <w:pPr>
        <w:spacing w:after="90"/>
      </w:pPr>
      <w:r>
        <w:rPr>
          <w:sz w:val="20"/>
          <w:szCs w:val="20"/>
        </w:rPr>
        <w:t xml:space="preserve">☒ Run pump and record vibration reading at drive-end and non-drive-end bearings</w:t>
      </w:r>
    </w:p>
    <w:p>
      <w:pPr>
        <w:spacing w:after="90"/>
      </w:pPr>
      <w:r>
        <w:rPr>
          <w:sz w:val="20"/>
          <w:szCs w:val="20"/>
        </w:rPr>
        <w:t xml:space="preserve">☒ Confirm vibration reading is within threshold specified in SOP-PM-204</w:t>
      </w:r>
    </w:p>
    <w:p>
      <w:pPr>
        <w:spacing w:after="90"/>
      </w:pPr>
      <w:r>
        <w:rPr>
          <w:sz w:val="20"/>
          <w:szCs w:val="20"/>
        </w:rPr>
        <w:t xml:space="preserve">☒ Remove isolation and return equipment to normal operating status</w:t>
      </w:r>
    </w:p>
    <w:p>
      <w:pPr>
        <w:spacing w:after="200"/>
      </w:pPr>
    </w:p>
    <w:p>
      <w:pPr>
        <w:pStyle w:val="Heading2"/>
        <w:spacing w:after="100" w:before="180"/>
      </w:pPr>
      <w:r>
        <w:t xml:space="preserve">Findings</w:t>
      </w:r>
    </w:p>
    <w:p>
      <w:pPr>
        <w:spacing w:after="140" w:line="276" w:lineRule="auto"/>
        <w:jc w:val="both"/>
      </w:pPr>
      <w:r>
        <w:rPr>
          <w:sz w:val="20"/>
          <w:szCs w:val="20"/>
        </w:rPr>
        <w:t xml:space="preserve">Bearing lubricant condition was within normal range at time of inspection, with no visible contamination. Mechanical seal showed no signs of wear or leakage. Vibration readings on both drive-end and non-drive-end bearings were within the threshold specified in SOP-PM-204. No corrective action required at this time.</w:t>
      </w:r>
    </w:p>
    <w:p>
      <w:pPr>
        <w:pStyle w:val="Heading2"/>
        <w:spacing w:after="100" w:before="180"/>
      </w:pPr>
      <w:r>
        <w:t xml:space="preserve">Vibration Readings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300"/>
        <w:gridCol w:w="1800"/>
      </w:tblGrid>
      <w:tr>
        <w:trPr>
          <w:tblHeader/>
        </w:trPr>
        <w:tc>
          <w:tcPr>
            <w:tcW w:type="dxa" w:w="29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Measurement Point</w:t>
            </w:r>
          </w:p>
        </w:tc>
        <w:tc>
          <w:tcPr>
            <w:tcW w:type="dxa" w:w="23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Reading (mm/s RMS)</w:t>
            </w:r>
          </w:p>
        </w:tc>
        <w:tc>
          <w:tcPr>
            <w:tcW w:type="dxa" w:w="23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Threshold (mm/s RMS)</w:t>
            </w:r>
          </w:p>
        </w:tc>
        <w:tc>
          <w:tcPr>
            <w:tcW w:type="dxa" w:w="18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Status</w:t>
            </w:r>
          </w:p>
        </w:tc>
      </w:tr>
      <w:tr>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Drive-end bearing</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2.1</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4.5</w:t>
            </w:r>
          </w:p>
        </w:tc>
        <w:tc>
          <w:tcPr>
            <w:tcW w:type="dxa" w:w="1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Normal</w:t>
            </w:r>
          </w:p>
        </w:tc>
      </w:tr>
      <w:tr>
        <w:tc>
          <w:tcPr>
            <w:tcW w:type="dxa" w:w="29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Non-drive-end bearing</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1.8</w:t>
            </w:r>
          </w:p>
        </w:tc>
        <w:tc>
          <w:tcPr>
            <w:tcW w:type="dxa" w:w="23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4.5</w:t>
            </w:r>
          </w:p>
        </w:tc>
        <w:tc>
          <w:tcPr>
            <w:tcW w:type="dxa" w:w="18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Normal</w:t>
            </w:r>
          </w:p>
        </w:tc>
      </w:tr>
    </w:tbl>
    <w:p>
      <w:pPr>
        <w:spacing w:after="260"/>
      </w:pPr>
    </w:p>
    <w:p>
      <w:pPr>
        <w:pStyle w:val="Heading2"/>
        <w:spacing w:after="100" w:before="180"/>
      </w:pPr>
      <w:r>
        <w:t xml:space="preserve">Parts and Materials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700"/>
        <w:gridCol w:w="1600"/>
        <w:gridCol w:w="3000"/>
      </w:tblGrid>
      <w:tr>
        <w:trPr>
          <w:tblHeader/>
        </w:trPr>
        <w:tc>
          <w:tcPr>
            <w:tcW w:type="dxa" w:w="47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Item</w:t>
            </w:r>
          </w:p>
        </w:tc>
        <w:tc>
          <w:tcPr>
            <w:tcW w:type="dxa" w:w="16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Quantity</w:t>
            </w:r>
          </w:p>
        </w:tc>
        <w:tc>
          <w:tcPr>
            <w:tcW w:type="dxa" w:w="30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Notes</w:t>
            </w:r>
          </w:p>
        </w:tc>
      </w:tr>
      <w:tr>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Bearing grease (specified grade per SOP-PM-204)</w:t>
            </w:r>
          </w:p>
        </w:tc>
        <w:tc>
          <w:tcPr>
            <w:tcW w:type="dxa" w:w="1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150 g</w:t>
            </w:r>
          </w:p>
        </w:tc>
        <w:tc>
          <w:tcPr>
            <w:tcW w:type="dxa" w:w="3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Standard 90-day replacement quantity</w:t>
            </w:r>
          </w:p>
        </w:tc>
      </w:tr>
      <w:tr>
        <w:tc>
          <w:tcPr>
            <w:tcW w:type="dxa" w:w="47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Housing gasket</w:t>
            </w:r>
          </w:p>
        </w:tc>
        <w:tc>
          <w:tcPr>
            <w:tcW w:type="dxa" w:w="1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1</w:t>
            </w:r>
          </w:p>
        </w:tc>
        <w:tc>
          <w:tcPr>
            <w:tcW w:type="dxa" w:w="3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Replaced as standard practice during reassembly</w:t>
            </w:r>
          </w:p>
        </w:tc>
      </w:tr>
    </w:tbl>
    <w:p>
      <w:pPr>
        <w:spacing w:after="260"/>
      </w:pPr>
    </w:p>
    <w:p>
      <w:pPr>
        <w:pStyle w:val="Heading2"/>
        <w:spacing w:after="100" w:before="180"/>
      </w:pPr>
      <w:r>
        <w:t xml:space="preserve">Related Records</w:t>
      </w:r>
    </w:p>
    <w:p>
      <w:pPr>
        <w:spacing w:after="140" w:line="276" w:lineRule="auto"/>
        <w:jc w:val="both"/>
      </w:pPr>
      <w:r>
        <w:rPr>
          <w:sz w:val="20"/>
          <w:szCs w:val="20"/>
        </w:rPr>
        <w:t xml:space="preserve">This work order follows the prior corrective work order WO-2024-1187 (bearing assembly replacement, 14-Nov-2024), issued after incident INC-2025-041. No further corrective action was required during this preventive cycle.</w:t>
      </w:r>
    </w:p>
    <w:p>
      <w:pPr>
        <w:pStyle w:val="Heading2"/>
        <w:spacing w:after="100" w:before="180"/>
      </w:pPr>
      <w:r>
        <w:t xml:space="preserve">Sign-Off</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2500"/>
      </w:tblGrid>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Work Completed By</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Ananya Deshmukh</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Date/Time</w:t>
            </w:r>
          </w:p>
        </w:tc>
        <w:tc>
          <w:tcPr>
            <w:tcW w:type="dxa" w:w="25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20-Jan-2025, 11:40</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Permit Closed By</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Ananya Deshmukh</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Date/Time</w:t>
            </w:r>
          </w:p>
        </w:tc>
        <w:tc>
          <w:tcPr>
            <w:tcW w:type="dxa" w:w="25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20-Jan-2025, 11:45</w:t>
            </w:r>
          </w:p>
        </w:tc>
      </w:tr>
      <w:tr>
        <w:tc>
          <w:tcPr>
            <w:tcW w:type="dxa" w:w="26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Reviewed By</w:t>
            </w:r>
          </w:p>
        </w:tc>
        <w:tc>
          <w:tcPr>
            <w:tcW w:type="dxa" w:w="32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Rajesh Kumar (Senior Maintenance Engineer)</w:t>
            </w:r>
          </w:p>
        </w:tc>
        <w:tc>
          <w:tcPr>
            <w:tcW w:type="dxa" w:w="20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Date</w:t>
            </w:r>
          </w:p>
        </w:tc>
        <w:tc>
          <w:tcPr>
            <w:tcW w:type="dxa" w:w="25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21-Jan-2025</w:t>
            </w:r>
          </w:p>
        </w:tc>
      </w:tr>
    </w:tbl>
    <w:p>
      <w:pPr>
        <w:spacing w:after="300"/>
      </w:pPr>
    </w:p>
    <w:p>
      <w:pPr>
        <w:spacing w:after="100"/>
      </w:pPr>
      <w:r>
        <w:rPr>
          <w:i/>
          <w:iCs/>
          <w:color w:val="666666"/>
          <w:sz w:val="16"/>
          <w:szCs w:val="16"/>
        </w:rPr>
        <w:t xml:space="preserve">This work order is a controlled maintenance record. Refer to SOP-PM-204 for full procedural detail. Filed under Unit 4 Maintenance Records, Process Bay 2 — Pump P-204A.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pPr>
    <w:rPr>
      <w:b/>
      <w:bCs/>
      <w:color w:val="111111"/>
      <w:sz w:val="26"/>
      <w:szCs w:val="26"/>
    </w:rPr>
  </w:style>
  <w:style w:type="paragraph" w:styleId="Heading2">
    <w:name w:val="Heading 2"/>
    <w:basedOn w:val="Normal"/>
    <w:next w:val="Normal"/>
    <w:qFormat/>
    <w:pPr>
      <w:spacing w:after="100" w:before="18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2026-07-11T11:43:02.655Z</dcterms:created>
  <dcterms:modified xsi:type="dcterms:W3CDTF">2026-07-11T11:43:02.694Z</dcterms:modified>
</cp:coreProperties>
</file>

<file path=docProps/custom.xml><?xml version="1.0" encoding="utf-8"?>
<Properties xmlns="http://schemas.openxmlformats.org/officeDocument/2006/custom-properties" xmlns:vt="http://schemas.openxmlformats.org/officeDocument/2006/docPropsVTypes"/>
</file>