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Pulse: Why we are moving from OpenFaaS CE to Knative</w:t>
      </w:r>
    </w:p>
    <w:p>
      <w:pPr/>
      <w:r>
        <w:t xml:space="preserve">Oct 16, 2026</w:t>
      </w:r>
      <w:r>
        <w:t xml:space="preserve"> · </w:t>
      </w:r>
      <w:r>
        <w:t xml:space="preserve">@Sankalp Patel</w:t>
      </w:r>
    </w:p>
    <w:p>
      <w:pPr>
        <w:pStyle w:val="Heading2"/>
      </w:pPr>
      <w:r>
        <w:t xml:space="preserve">Decision</w:t>
      </w:r>
    </w:p>
    <w:p>
      <w:pPr/>
      <w:r>
        <w:t xml:space="preserve">We are moving Pulse's serverless layer from OpenFaaS Community Edition (CE) to Knative Serving. On Kubernetes, OpenFaaS CE never lets a function stay at zero replicas, so tools never go cold again during a workload run. Without repeated cold starts we cannot build the C0 baseline, TTL eviction or the miss fallback, and the project's latency claims cannot be tested. Knative scales idle tools to zero by itself and wakes them on the next request: our C0 test produced 10/10 real cold starts.</w:t>
      </w:r>
    </w:p>
    <w:p>
      <w:pPr>
        <w:pStyle w:val="Heading2"/>
      </w:pPr>
      <w:r>
        <w:t xml:space="preserve">What Pulse needs from the platform</w:t>
      </w:r>
    </w:p>
    <w:p>
      <w:pPr/>
      <w:r>
        <w:t xml:space="preserve">Pulse needs each tool to go through this cycle many times during one 10-minute run:</w:t>
      </w:r>
    </w:p>
    <w:p>
      <w:pPr>
        <w:pStyle w:val="ListParagraph"/>
        <w:numPr>
          <w:ilvl w:val="0"/>
          <w:numId w:val="2"/>
        </w:numPr>
      </w:pPr>
      <w:r>
        <w:t xml:space="preserve">The tool sits idle, so the platform scales it to </w:t>
      </w:r>
      <w:r>
        <w:rPr>
          <w:b/>
        </w:rPr>
        <w:t xml:space="preserve">0 replicas</w:t>
      </w:r>
      <w:r>
        <w:t xml:space="preserve">.</w:t>
      </w:r>
    </w:p>
    <w:p>
      <w:pPr>
        <w:pStyle w:val="ListParagraph"/>
        <w:numPr>
          <w:ilvl w:val="0"/>
          <w:numId w:val="2"/>
        </w:numPr>
      </w:pPr>
      <w:r>
        <w:t xml:space="preserve">A request arrives; the platform </w:t>
      </w:r>
      <w:r>
        <w:rPr>
          <w:b/>
        </w:rPr>
        <w:t xml:space="preserve">holds it</w:t>
      </w:r>
      <w:r>
        <w:t xml:space="preserve">, starts a pod and forwards the request when the pod is ready. This is the cold start.</w:t>
      </w:r>
    </w:p>
    <w:p>
      <w:pPr>
        <w:pStyle w:val="ListParagraph"/>
        <w:numPr>
          <w:ilvl w:val="0"/>
          <w:numId w:val="2"/>
        </w:numPr>
      </w:pPr>
      <w:r>
        <w:t xml:space="preserve">The tool stays warm while in use, then goes idle again and returns to step 1.</w:t>
      </w:r>
    </w:p>
    <w:p>
      <w:pPr/>
      <w:r>
        <w:t xml:space="preserve">Three parts of the PRD depend on this cycle: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PRD item</w:t>
            </w:r>
          </w:p>
        </w:tc>
        <w:tc>
          <w:tcPr>
            <w:tcW w:w="4680" w:type="dxa"/>
            <w:shd w:val="clear" w:color="auto" w:fill="F2F2F2"/>
          </w:tcPr>
          <w:p>
            <w:pPr/>
            <w:r>
              <w:t xml:space="preserve">Needs</w:t>
            </w:r>
          </w:p>
        </w:tc>
      </w:tr>
      <w:tr>
        <w:tc>
          <w:tcPr>
            <w:tcW w:w="4680" w:type="dxa"/>
          </w:tcPr>
          <w:p>
            <w:pPr/>
            <w:r>
              <w:t xml:space="preserve">C0 baseline (scale-to-zero, NFR-1/2 latency targets, E1/E2)</w:t>
            </w:r>
          </w:p>
        </w:tc>
        <w:tc>
          <w:tcPr>
            <w:tcW w:w="4680" w:type="dxa"/>
          </w:tcPr>
          <w:p>
            <w:pPr/>
            <w:r>
              <w:t xml:space="preserve">Tools that go back to zero when idle, so later calls are cold</w:t>
            </w:r>
          </w:p>
        </w:tc>
      </w:tr>
      <w:tr>
        <w:tc>
          <w:tcPr>
            <w:tcW w:w="4680" w:type="dxa"/>
          </w:tcPr>
          <w:p>
            <w:pPr/>
            <w:r>
              <w:t xml:space="preserve">TTL eviction (FR-7, NFR-7/8, E7)</w:t>
            </w:r>
          </w:p>
        </w:tc>
        <w:tc>
          <w:tcPr>
            <w:tcW w:w="4680" w:type="dxa"/>
          </w:tcPr>
          <w:p>
            <w:pPr/>
            <w:r>
              <w:t xml:space="preserve">The controller can scale a prewarmed but unused tool back to zero</w:t>
            </w:r>
          </w:p>
        </w:tc>
      </w:tr>
      <w:tr>
        <w:tc>
          <w:tcPr>
            <w:tcW w:w="4680" w:type="dxa"/>
          </w:tcPr>
          <w:p>
            <w:pPr/>
            <w:r>
              <w:t xml:space="preserve">Miss fallback (FR-8)</w:t>
            </w:r>
          </w:p>
        </w:tc>
        <w:tc>
          <w:tcPr>
            <w:tcW w:w="4680" w:type="dxa"/>
          </w:tcPr>
          <w:p>
            <w:pPr/>
            <w:r>
              <w:t xml:space="preserve">A tool at zero still answers a call (slower, but correct)</w:t>
            </w:r>
          </w:p>
        </w:tc>
      </w:tr>
    </w:tbl>
    <w:p>
      <w:pPr/>
      <w:r>
        <w:t xml:space="preserve">Measuring how long </w:t>
      </w:r>
      <w:r>
        <w:rPr>
          <w:i/>
        </w:rPr>
        <w:t xml:space="preserve">one</w:t>
      </w:r>
      <w:r>
        <w:t xml:space="preserve"> cold start takes is not enough. The cold starts must happen during the workload, repeatedly, driven by idleness.</w:t>
      </w:r>
    </w:p>
    <w:p>
      <w:pPr>
        <w:pStyle w:val="Heading2"/>
      </w:pPr>
      <w:r>
        <w:t xml:space="preserve">What we observed on OpenFaaS CE</w:t>
      </w:r>
    </w:p>
    <w:p>
      <w:pPr/>
      <w:r>
        <w:t xml:space="preserve">On OpenFaaS CE (Kubernetes edition, Helm chart 15.0.13, local kind cluster, 14 Oct 2026), a function could not be kept at zero replicas by any method we tried.</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Test</w:t>
            </w:r>
          </w:p>
        </w:tc>
        <w:tc>
          <w:tcPr>
            <w:tcW w:w="3120" w:type="dxa"/>
            <w:shd w:val="clear" w:color="auto" w:fill="F2F2F2"/>
          </w:tcPr>
          <w:p>
            <w:pPr/>
            <w:r>
              <w:t xml:space="preserve">What we did</w:t>
            </w:r>
          </w:p>
        </w:tc>
        <w:tc>
          <w:tcPr>
            <w:tcW w:w="3120" w:type="dxa"/>
            <w:shd w:val="clear" w:color="auto" w:fill="F2F2F2"/>
          </w:tcPr>
          <w:p>
            <w:pPr/>
            <w:r>
              <w:t xml:space="preserve">Result</w:t>
            </w:r>
          </w:p>
        </w:tc>
      </w:tr>
      <w:tr>
        <w:tc>
          <w:tcPr>
            <w:tcW w:w="3120" w:type="dxa"/>
          </w:tcPr>
          <w:p>
            <w:pPr/>
            <w:r>
              <w:t xml:space="preserve">Scale with kubectl</w:t>
            </w:r>
          </w:p>
        </w:tc>
        <w:tc>
          <w:tcPr>
            <w:tcW w:w="3120" w:type="dxa"/>
          </w:tcPr>
          <w:p>
            <w:pPr/>
            <w:r>
              <w:rPr>
                <w:rStyle w:val="CodeChar"/>
              </w:rPr>
              <w:t xml:space="preserve">kubectl scale --replicas=0</w:t>
            </w:r>
            <w:r>
              <w:t xml:space="preserve"> on the function's Deployment</w:t>
            </w:r>
          </w:p>
        </w:tc>
        <w:tc>
          <w:tcPr>
            <w:tcW w:w="3120" w:type="dxa"/>
          </w:tcPr>
          <w:p>
            <w:pPr/>
            <w:r>
              <w:t xml:space="preserve">Reverted to 1 replica within about 1 s. Kubernetes records </w:t>
            </w:r>
            <w:r>
              <w:rPr>
                <w:rStyle w:val="CodeChar"/>
              </w:rPr>
              <w:t xml:space="preserve">faas-netes</w:t>
            </w:r>
            <w:r>
              <w:t xml:space="preserve"> (the CE provider) as the component that reset it</w:t>
            </w:r>
          </w:p>
        </w:tc>
      </w:tr>
      <w:tr>
        <w:tc>
          <w:tcPr>
            <w:tcW w:w="3120" w:type="dxa"/>
          </w:tcPr>
          <w:p>
            <w:pPr/>
            <w:r>
              <w:t xml:space="preserve">Scale with the OpenFaaS API</w:t>
            </w:r>
          </w:p>
        </w:tc>
        <w:tc>
          <w:tcPr>
            <w:tcW w:w="3120" w:type="dxa"/>
          </w:tcPr>
          <w:p>
            <w:pPr/>
            <w:r>
              <w:rPr>
                <w:rStyle w:val="CodeChar"/>
              </w:rPr>
              <w:t xml:space="preserve">POST /system/scale-function</w:t>
            </w:r>
            <w:r>
              <w:t xml:space="preserve"> with </w:t>
            </w:r>
            <w:r>
              <w:rPr>
                <w:rStyle w:val="CodeChar"/>
              </w:rPr>
              <w:t xml:space="preserve">replicas: 0</w:t>
            </w:r>
          </w:p>
        </w:tc>
        <w:tc>
          <w:tcPr>
            <w:tcW w:w="3120" w:type="dxa"/>
          </w:tcPr>
          <w:p>
            <w:pPr/>
            <w:r>
              <w:t xml:space="preserve">Clamped. Provider log: </w:t>
            </w:r>
            <w:r>
              <w:rPr>
                <w:rStyle w:val="CodeChar"/>
              </w:rPr>
              <w:t xml:space="preserve">Set replicas - cold-tool, 1 =&gt; 1</w:t>
            </w:r>
          </w:p>
        </w:tc>
      </w:tr>
      <w:tr>
        <w:tc>
          <w:tcPr>
            <w:tcW w:w="3120" w:type="dxa"/>
          </w:tcPr>
          <w:p>
            <w:pPr/>
            <w:r>
              <w:t xml:space="preserve">Kill the pod, call immediately</w:t>
            </w:r>
          </w:p>
        </w:tc>
        <w:tc>
          <w:tcPr>
            <w:tcW w:w="3120" w:type="dxa"/>
          </w:tcPr>
          <w:p>
            <w:pPr/>
            <w:r>
              <w:t xml:space="preserve">Delete the pod, then send a request while it restarts</w:t>
            </w:r>
          </w:p>
        </w:tc>
        <w:tc>
          <w:tcPr>
            <w:tcW w:w="3120" w:type="dxa"/>
          </w:tcPr>
          <w:p>
            <w:pPr/>
            <w:r>
              <w:t xml:space="preserve">The gateway does not hold the request: 3/5 and 4/5 calls failed with HTTP 500/503; the rest took 3.7 to 5.8 s</w:t>
            </w:r>
          </w:p>
        </w:tc>
      </w:tr>
      <w:tr>
        <w:tc>
          <w:tcPr>
            <w:tcW w:w="3120" w:type="dxa"/>
          </w:tcPr>
          <w:p>
            <w:pPr/>
            <w:r>
              <w:t xml:space="preserve">Kill the container (faasd-style </w:t>
            </w:r>
            <w:r>
              <w:rPr>
                <w:rStyle w:val="CodeChar"/>
              </w:rPr>
              <w:t xml:space="preserve">ctr task kill</w:t>
            </w:r>
            <w:r>
              <w:t xml:space="preserve">)</w:t>
            </w:r>
          </w:p>
        </w:tc>
        <w:tc>
          <w:tcPr>
            <w:tcW w:w="3120" w:type="dxa"/>
          </w:tcPr>
          <w:p>
            <w:pPr/>
            <w:r>
              <w:t xml:space="preserve">Not run; analysed</w:t>
            </w:r>
          </w:p>
        </w:tc>
        <w:tc>
          <w:tcPr>
            <w:tcW w:w="3120" w:type="dxa"/>
          </w:tcPr>
          <w:p>
            <w:pPr/>
            <w:r>
              <w:t xml:space="preserve">kubelet restarts the container at once, so replicas stay 1 and requests fail as above</w:t>
            </w:r>
          </w:p>
        </w:tc>
      </w:tr>
    </w:tbl>
    <w:p>
      <w:pPr/>
      <w:r>
        <w:t xml:space="preserve">Two more CE rules surfaced: CE only accepts </w:t>
      </w:r>
      <w:r>
        <w:rPr>
          <w:b/>
        </w:rPr>
        <w:t xml:space="preserve">public images</w:t>
      </w:r>
      <w:r>
        <w:t xml:space="preserve"> (deploys of a local image were refused with </w:t>
      </w:r>
      <w:r>
        <w:rPr>
          <w:i/>
        </w:rPr>
        <w:t xml:space="preserve">"the Community Edition license agreement only allows public images"</w:t>
      </w:r>
      <w:r>
        <w:t xml:space="preserve">), and CE forces </w:t>
      </w:r>
      <w:r>
        <w:rPr>
          <w:rStyle w:val="CodeChar"/>
        </w:rPr>
        <w:t xml:space="preserve">imagePullPolicy: Always</w:t>
      </w:r>
      <w:r>
        <w:t xml:space="preserve">, which added about 2 s to each cold start.</w:t>
      </w:r>
    </w:p>
    <w:p>
      <w:pPr/>
      <w:r>
        <w:t xml:space="preserve">Why this happens: in OpenFaaS, </w:t>
      </w:r>
      <w:r>
        <w:rPr>
          <w:rStyle w:val="CodeChar"/>
        </w:rPr>
        <w:t xml:space="preserve">faas-netes</w:t>
      </w:r>
      <w:r>
        <w:t xml:space="preserve"> both blocks scale-to-zero (a CE restriction) and performs scale-from-zero for the gateway. Removing it is not possible, because without it the gateway cannot deploy, list or scale anything.</w:t>
      </w:r>
    </w:p>
    <w:p>
      <w:pPr>
        <w:pStyle w:val="Heading2"/>
      </w:pPr>
      <w:r>
        <w:t xml:space="preserve">Why the workarounds do not solve it</w:t>
      </w:r>
    </w:p>
    <w:p>
      <w:pPr/>
      <w:r>
        <w:t xml:space="preserve">Each workaround can at best </w:t>
      </w:r>
      <w:r>
        <w:rPr>
          <w:i/>
        </w:rPr>
        <w:t xml:space="preserve">measure</w:t>
      </w:r>
      <w:r>
        <w:t xml:space="preserve"> a cold start once; none makes cold starts happen during a run.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Workaround</w:t>
            </w:r>
          </w:p>
        </w:tc>
        <w:tc>
          <w:tcPr>
            <w:tcW w:w="3120" w:type="dxa"/>
            <w:shd w:val="clear" w:color="auto" w:fill="F2F2F2"/>
          </w:tcPr>
          <w:p>
            <w:pPr/>
            <w:r>
              <w:t xml:space="preserve">What it gives</w:t>
            </w:r>
          </w:p>
        </w:tc>
        <w:tc>
          <w:tcPr>
            <w:tcW w:w="3120" w:type="dxa"/>
            <w:shd w:val="clear" w:color="auto" w:fill="F2F2F2"/>
          </w:tcPr>
          <w:p>
            <w:pPr/>
            <w:r>
              <w:t xml:space="preserve">Why it is not enough for Pulse</w:t>
            </w:r>
          </w:p>
        </w:tc>
      </w:tr>
      <w:tr>
        <w:tc>
          <w:tcPr>
            <w:tcW w:w="3120" w:type="dxa"/>
          </w:tcPr>
          <w:p>
            <w:pPr/>
            <w:r>
              <w:t xml:space="preserve">First call after a fresh deploy</w:t>
            </w:r>
          </w:p>
        </w:tc>
        <w:tc>
          <w:tcPr>
            <w:tcW w:w="3120" w:type="dxa"/>
          </w:tcPr>
          <w:p>
            <w:pPr/>
            <w:r>
              <w:t xml:space="preserve">One cold start per deploy</w:t>
            </w:r>
          </w:p>
        </w:tc>
        <w:tc>
          <w:tcPr>
            <w:tcW w:w="3120" w:type="dxa"/>
          </w:tcPr>
          <w:p>
            <w:pPr/>
            <w:r>
              <w:t xml:space="preserve">Includes deployment overhead (Deployment, Service, endpoints), so it overstates the cost; tools stay warm afterwards</w:t>
            </w:r>
          </w:p>
        </w:tc>
      </w:tr>
      <w:tr>
        <w:tc>
          <w:tcPr>
            <w:tcW w:w="3120" w:type="dxa"/>
          </w:tcPr>
          <w:p>
            <w:pPr/>
            <w:r>
              <w:t xml:space="preserve">Remove and redeploy before each measurement</w:t>
            </w:r>
          </w:p>
        </w:tc>
        <w:tc>
          <w:tcPr>
            <w:tcW w:w="3120" w:type="dxa"/>
          </w:tcPr>
          <w:p>
            <w:pPr/>
            <w:r>
              <w:t xml:space="preserve">Repeatable cold-start samples</w:t>
            </w:r>
          </w:p>
        </w:tc>
        <w:tc>
          <w:tcPr>
            <w:tcW w:w="3120" w:type="dxa"/>
          </w:tcPr>
          <w:p>
            <w:pPr/>
            <w:r>
              <w:t xml:space="preserve">Same overstatement; one sample per redeploy; nothing goes cold during a workload</w:t>
            </w:r>
          </w:p>
        </w:tc>
      </w:tr>
      <w:tr>
        <w:tc>
          <w:tcPr>
            <w:tcW w:w="3120" w:type="dxa"/>
          </w:tcPr>
          <w:p>
            <w:pPr/>
            <w:r>
              <w:t xml:space="preserve">Scale 1 to 2 replicas, time the new pod</w:t>
            </w:r>
          </w:p>
        </w:tc>
        <w:tc>
          <w:tcPr>
            <w:tcW w:w="3120" w:type="dxa"/>
          </w:tcPr>
          <w:p>
            <w:pPr/>
            <w:r>
              <w:t xml:space="preserve">Clean pod start-up time (E1 only)</w:t>
            </w:r>
          </w:p>
        </w:tc>
        <w:tc>
          <w:tcPr>
            <w:tcW w:w="3120" w:type="dxa"/>
          </w:tcPr>
          <w:p>
            <w:pPr/>
            <w:r>
              <w:t xml:space="preserve">Never reaches zero, so no C0, TTL eviction or fallback</w:t>
            </w:r>
          </w:p>
        </w:tc>
      </w:tr>
      <w:tr>
        <w:tc>
          <w:tcPr>
            <w:tcW w:w="3120" w:type="dxa"/>
          </w:tcPr>
          <w:p>
            <w:pPr/>
            <w:r>
              <w:t xml:space="preserve">faasd (our earlier experiment)</w:t>
            </w:r>
          </w:p>
        </w:tc>
        <w:tc>
          <w:tcPr>
            <w:tcW w:w="3120" w:type="dxa"/>
          </w:tcPr>
          <w:p>
            <w:pPr/>
            <w:r>
              <w:t xml:space="preserve">Real scale-from-zero after killing the task</w:t>
            </w:r>
          </w:p>
        </w:tc>
        <w:tc>
          <w:tcPr>
            <w:tcW w:w="3120" w:type="dxa"/>
          </w:tcPr>
          <w:p>
            <w:pPr/>
            <w:r>
              <w:t xml:space="preserve">Not Kubernetes: no scheduler, controller or CRD, which the Pulse design needs</w:t>
            </w:r>
          </w:p>
        </w:tc>
      </w:tr>
      <w:tr>
        <w:tc>
          <w:tcPr>
            <w:tcW w:w="3120" w:type="dxa"/>
          </w:tcPr>
          <w:p>
            <w:pPr/>
            <w:r>
              <w:t xml:space="preserve">Fork faas-netes to allow zero</w:t>
            </w:r>
          </w:p>
        </w:tc>
        <w:tc>
          <w:tcPr>
            <w:tcW w:w="3120" w:type="dxa"/>
          </w:tcPr>
          <w:p>
            <w:pPr/>
            <w:r>
              <w:t xml:space="preserve">Possibly works</w:t>
            </w:r>
          </w:p>
        </w:tc>
        <w:tc>
          <w:tcPr>
            <w:tcW w:w="3120" w:type="dxa"/>
          </w:tcPr>
          <w:p>
            <w:pPr/>
            <w:r>
              <w:t xml:space="preserve">CE licence terms to check; we would be testing a modified OpenFaaS; weeks of platform work</w:t>
            </w:r>
          </w:p>
        </w:tc>
      </w:tr>
      <w:tr>
        <w:tc>
          <w:tcPr>
            <w:tcW w:w="3120" w:type="dxa"/>
          </w:tcPr>
          <w:p>
            <w:pPr/>
            <w:r>
              <w:t xml:space="preserve">OpenFaaS Pro</w:t>
            </w:r>
          </w:p>
        </w:tc>
        <w:tc>
          <w:tcPr>
            <w:tcW w:w="3120" w:type="dxa"/>
          </w:tcPr>
          <w:p>
            <w:pPr/>
            <w:r>
              <w:t xml:space="preserve">Scale-to-zero is a supported feature</w:t>
            </w:r>
          </w:p>
        </w:tc>
        <w:tc>
          <w:tcPr>
            <w:tcW w:w="3120" w:type="dxa"/>
          </w:tcPr>
          <w:p>
            <w:pPr/>
            <w:r>
              <w:t xml:space="preserve">Paid licence; only viable if an academic or trial licence arrives quickly</w:t>
            </w:r>
          </w:p>
        </w:tc>
      </w:tr>
      <w:tr>
        <w:tc>
          <w:tcPr>
            <w:tcW w:w="3120" w:type="dxa"/>
          </w:tcPr>
          <w:p>
            <w:pPr/>
            <w:r>
              <w:t xml:space="preserve">Label </w:t>
            </w:r>
            <w:r>
              <w:rPr>
                <w:rStyle w:val="CodeChar"/>
              </w:rPr>
              <w:t xml:space="preserve">com.openfaas.scale.min: "0"</w:t>
            </w:r>
          </w:p>
        </w:tc>
        <w:tc>
          <w:tcPr>
            <w:tcW w:w="3120" w:type="dxa"/>
          </w:tcPr>
          <w:p>
            <w:pPr/>
            <w:r>
              <w:t xml:space="preserve">Unknown</w:t>
            </w:r>
          </w:p>
        </w:tc>
        <w:tc>
          <w:tcPr>
            <w:tcW w:w="3120" w:type="dxa"/>
          </w:tcPr>
          <w:p>
            <w:pPr/>
            <w:r>
              <w:t xml:space="preserve">Not tested yet; expected to be ignored by CE, like the API clamp</w:t>
            </w:r>
          </w:p>
        </w:tc>
      </w:tr>
    </w:tbl>
    <w:p>
      <w:pPr/>
      <w:r>
        <w:t xml:space="preserve">The 1-to-2 scale-up remains useful for characterising pod start-up time (E1), whichever platform we use.</w:t>
      </w:r>
    </w:p>
    <w:p>
      <w:pPr>
        <w:pStyle w:val="Heading2"/>
      </w:pPr>
      <w:r>
        <w:t xml:space="preserve">What Knative gave us</w:t>
      </w:r>
    </w:p>
    <w:p>
      <w:pPr/>
      <w:r>
        <w:t xml:space="preserve">With Knative Serving v1.23 and Kourier on the same kind setup, all 10 C0 cold calls succeeded, at a median of 1.69 s against 0.11 s warm. Nothing was forced: each trial waited for Knative to remove the idle pod itself, then called the tool.</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Measure (10 trials, 15 Oct 2026)</w:t>
            </w:r>
          </w:p>
        </w:tc>
        <w:tc>
          <w:tcPr>
            <w:tcW w:w="4680" w:type="dxa"/>
            <w:shd w:val="clear" w:color="auto" w:fill="F2F2F2"/>
          </w:tcPr>
          <w:p>
            <w:pPr/>
            <w:r>
              <w:t xml:space="preserve">Value</w:t>
            </w:r>
          </w:p>
        </w:tc>
      </w:tr>
      <w:tr>
        <w:tc>
          <w:tcPr>
            <w:tcW w:w="4680" w:type="dxa"/>
          </w:tcPr>
          <w:p>
            <w:pPr/>
            <w:r>
              <w:t xml:space="preserve">Cold calls answered by a fresh pod (HTTP 200)</w:t>
            </w:r>
          </w:p>
        </w:tc>
        <w:tc>
          <w:tcPr>
            <w:tcW w:w="4680" w:type="dxa"/>
          </w:tcPr>
          <w:p>
            <w:pPr/>
            <w:r>
              <w:t xml:space="preserve">10 / 10</w:t>
            </w:r>
          </w:p>
        </w:tc>
      </w:tr>
      <w:tr>
        <w:tc>
          <w:tcPr>
            <w:tcW w:w="4680" w:type="dxa"/>
          </w:tcPr>
          <w:p>
            <w:pPr/>
            <w:r>
              <w:t xml:space="preserve">Cold call latency, p50 / p95</w:t>
            </w:r>
          </w:p>
        </w:tc>
        <w:tc>
          <w:tcPr>
            <w:tcW w:w="4680" w:type="dxa"/>
          </w:tcPr>
          <w:p>
            <w:pPr/>
            <w:r>
              <w:t xml:space="preserve">1.69 s / 3.25 s (range 1.26 to 3.25 s)</w:t>
            </w:r>
          </w:p>
        </w:tc>
      </w:tr>
      <w:tr>
        <w:tc>
          <w:tcPr>
            <w:tcW w:w="4680" w:type="dxa"/>
          </w:tcPr>
          <w:p>
            <w:pPr/>
            <w:r>
              <w:t xml:space="preserve">Warm call latency, p50 / p95</w:t>
            </w:r>
          </w:p>
        </w:tc>
        <w:tc>
          <w:tcPr>
            <w:tcW w:w="4680" w:type="dxa"/>
          </w:tcPr>
          <w:p>
            <w:pPr/>
            <w:r>
              <w:t xml:space="preserve">0.11 s / 0.12 s</w:t>
            </w:r>
          </w:p>
        </w:tc>
      </w:tr>
      <w:tr>
        <w:tc>
          <w:tcPr>
            <w:tcW w:w="4680" w:type="dxa"/>
          </w:tcPr>
          <w:p>
            <w:pPr/>
            <w:r>
              <w:t xml:space="preserve">Cold-start penalty (p50 cold minus p50 warm)</w:t>
            </w:r>
          </w:p>
        </w:tc>
        <w:tc>
          <w:tcPr>
            <w:tcW w:w="4680" w:type="dxa"/>
          </w:tcPr>
          <w:p>
            <w:pPr/>
            <w:r>
              <w:t xml:space="preserve">about 1.6 s</w:t>
            </w:r>
          </w:p>
        </w:tc>
      </w:tr>
      <w:tr>
        <w:tc>
          <w:tcPr>
            <w:tcW w:w="4680" w:type="dxa"/>
          </w:tcPr>
          <w:p>
            <w:pPr/>
            <w:r>
              <w:t xml:space="preserve">Time for an idle tool to reach zero</w:t>
            </w:r>
          </w:p>
        </w:tc>
        <w:tc>
          <w:tcPr>
            <w:tcW w:w="4680" w:type="dxa"/>
          </w:tcPr>
          <w:p>
            <w:pPr/>
            <w:r>
              <w:t xml:space="preserve">38 to 49 s (6 s idle window + 30 s grace period)</w:t>
            </w:r>
          </w:p>
        </w:tc>
      </w:tr>
    </w:tbl>
    <w:p>
      <w:pPr/>
      <w:r>
        <w:t xml:space="preserve">The test function does 100 ms of work, matching the PRD's 50 to 150 ms tool time; the penalty sits inside the PRD's assumed 1 to 3 s cold-start range. A first run showed 4/10 HTTP 500s, traced to our own readiness probe (it passed before the Python handler listened); after fixing the probe, every cold call succeeded.</w:t>
      </w:r>
    </w:p>
    <w:p>
      <w:pPr/>
      <w:r>
        <w:t xml:space="preserve">Knative also covers what CE could not: its </w:t>
      </w:r>
      <w:r>
        <w:rPr>
          <w:b/>
        </w:rPr>
        <w:t xml:space="preserve">activator</w:t>
      </w:r>
      <w:r>
        <w:t xml:space="preserve"> holds requests while a pod starts (the miss fallback), the idle timeout is configurable per tool (the basis for TTL), and private images are allowed.</w:t>
      </w:r>
    </w:p>
    <w:p>
      <w:pPr>
        <w:pStyle w:val="Heading2"/>
      </w:pPr>
      <w:r>
        <w:t xml:space="preserve">Impact on the PRD and plan</w:t>
      </w:r>
    </w:p>
    <w:p>
      <w:pPr/>
      <w:r>
        <w:t xml:space="preserve">The architecture stays the same (agent, predictor, CRD controller, serverless tools); only the serverless layer and the way the controller prewarms change.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Area</w:t>
            </w:r>
          </w:p>
        </w:tc>
        <w:tc>
          <w:tcPr>
            <w:tcW w:w="4680" w:type="dxa"/>
            <w:shd w:val="clear" w:color="auto" w:fill="F2F2F2"/>
          </w:tcPr>
          <w:p>
            <w:pPr/>
            <w:r>
              <w:t xml:space="preserve">Change</w:t>
            </w:r>
          </w:p>
        </w:tc>
      </w:tr>
      <w:tr>
        <w:tc>
          <w:tcPr>
            <w:tcW w:w="4680" w:type="dxa"/>
          </w:tcPr>
          <w:p>
            <w:pPr/>
            <w:r>
              <w:t xml:space="preserve">PRD title, §6.2 stack, OpenFaaS Pro note</w:t>
            </w:r>
          </w:p>
        </w:tc>
        <w:tc>
          <w:tcPr>
            <w:tcW w:w="4680" w:type="dxa"/>
          </w:tcPr>
          <w:p>
            <w:pPr/>
            <w:r>
              <w:t xml:space="preserve">OpenFaaS becomes Knative Serving (+ Kourier networking)</w:t>
            </w:r>
          </w:p>
        </w:tc>
      </w:tr>
      <w:tr>
        <w:tc>
          <w:tcPr>
            <w:tcW w:w="4680" w:type="dxa"/>
          </w:tcPr>
          <w:p>
            <w:pPr/>
            <w:r>
              <w:t xml:space="preserve">C0 / C1 configs</w:t>
            </w:r>
          </w:p>
        </w:tc>
        <w:tc>
          <w:tcPr>
            <w:tcW w:w="4680" w:type="dxa"/>
          </w:tcPr>
          <w:p>
            <w:pPr/>
            <w:r>
              <w:t xml:space="preserve">C0 = </w:t>
            </w:r>
            <w:r>
              <w:rPr>
                <w:rStyle w:val="CodeChar"/>
              </w:rPr>
              <w:t xml:space="preserve">min-scale: 0</w:t>
            </w:r>
            <w:r>
              <w:t xml:space="preserve">; C1 = </w:t>
            </w:r>
            <w:r>
              <w:rPr>
                <w:rStyle w:val="CodeChar"/>
              </w:rPr>
              <w:t xml:space="preserve">min-scale: 1</w:t>
            </w:r>
            <w:r>
              <w:t xml:space="preserve">. One annotation per tool</w:t>
            </w:r>
          </w:p>
        </w:tc>
      </w:tr>
      <w:tr>
        <w:tc>
          <w:tcPr>
            <w:tcW w:w="4680" w:type="dxa"/>
          </w:tcPr>
          <w:p>
            <w:pPr/>
            <w:r>
              <w:t xml:space="preserve">Prewarm mechanism (controller)</w:t>
            </w:r>
          </w:p>
        </w:tc>
        <w:tc>
          <w:tcPr>
            <w:tcW w:w="4680" w:type="dxa"/>
          </w:tcPr>
          <w:p>
            <w:pPr/>
            <w:r>
              <w:t xml:space="preserve">Not a replica count any more. Options: send a warm-up request, or raise the minimum scale at the autoscaler level. Changing the Knative Service itself creates a new revision (new pods), so it cannot be used. Needs a short design check</w:t>
            </w:r>
          </w:p>
        </w:tc>
      </w:tr>
      <w:tr>
        <w:tc>
          <w:tcPr>
            <w:tcW w:w="4680" w:type="dxa"/>
          </w:tcPr>
          <w:p>
            <w:pPr/>
            <w:r>
              <w:t xml:space="preserve">TTL</w:t>
            </w:r>
          </w:p>
        </w:tc>
        <w:tc>
          <w:tcPr>
            <w:tcW w:w="4680" w:type="dxa"/>
          </w:tcPr>
          <w:p>
            <w:pPr/>
            <w:r>
              <w:t xml:space="preserve">Maps to Knative's idle window and scale-to-zero retention settings, or to the controller lowering the minimum again</w:t>
            </w:r>
          </w:p>
        </w:tc>
      </w:tr>
      <w:tr>
        <w:tc>
          <w:tcPr>
            <w:tcW w:w="4680" w:type="dxa"/>
          </w:tcPr>
          <w:p>
            <w:pPr/>
            <w:r>
              <w:t xml:space="preserve">Cluster resources</w:t>
            </w:r>
          </w:p>
        </w:tc>
        <w:tc>
          <w:tcPr>
            <w:tcW w:w="4680" w:type="dxa"/>
          </w:tcPr>
          <w:p>
            <w:pPr/>
            <w:r>
              <w:t xml:space="preserve">Knative adds activator, autoscaler and Kourier pods; budget CPU and memory on the 2 worker nodes</w:t>
            </w:r>
          </w:p>
        </w:tc>
      </w:tr>
    </w:tbl>
    <w:p>
      <w:pPr/>
      <w:r>
        <w:t xml:space="preserve">Open items:</w:t>
      </w:r>
    </w:p>
    <w:p>
      <w:pPr>
        <w:pStyle w:val="ListParagraph"/>
        <w:numPr>
          <w:ilvl w:val="0"/>
          <w:numId w:val="3"/>
        </w:numPr>
      </w:pPr>
      <w:r>
        <w:t xml:space="preserve">☐ Confirm the course does not require OpenFaaS specifically</w:t>
      </w:r>
    </w:p>
    <w:p>
      <w:pPr>
        <w:pStyle w:val="ListParagraph"/>
        <w:numPr>
          <w:ilvl w:val="0"/>
          <w:numId w:val="3"/>
        </w:numPr>
      </w:pPr>
      <w:r>
        <w:t xml:space="preserve">☐ Choose and test the prewarm mechanism (warm-up request vs minimum scale)</w:t>
      </w:r>
    </w:p>
    <w:p>
      <w:pPr>
        <w:pStyle w:val="ListParagraph"/>
        <w:numPr>
          <w:ilvl w:val="0"/>
          <w:numId w:val="3"/>
        </w:numPr>
      </w:pPr>
      <w:r>
        <w:t xml:space="preserve">☐ Run C1 (</w:t>
      </w:r>
      <w:r>
        <w:rPr>
          <w:rStyle w:val="CodeChar"/>
        </w:rPr>
        <w:t xml:space="preserve">min-scale: 1</w:t>
      </w:r>
      <w:r>
        <w:t xml:space="preserve">) to complete the E1 comparison</w:t>
      </w:r>
    </w:p>
    <w:p>
      <w:pPr>
        <w:pStyle w:val="ListParagraph"/>
        <w:numPr>
          <w:ilvl w:val="0"/>
          <w:numId w:val="3"/>
        </w:numPr>
      </w:pPr>
      <w:r>
        <w:t xml:space="preserve">☐ Optional: test the </w:t>
      </w:r>
      <w:r>
        <w:rPr>
          <w:rStyle w:val="CodeChar"/>
        </w:rPr>
        <w:t xml:space="preserve">com.openfaas.scale.min: "0"</w:t>
      </w:r>
      <w:r>
        <w:t xml:space="preserve"> label on CE to close the last open question</w:t>
      </w:r>
    </w:p>
    <w:p>
      <w:pPr>
        <w:pStyle w:val="Heading2"/>
      </w:pPr>
      <w:r>
        <w:t xml:space="preserve">How to reproduce</w:t>
      </w:r>
    </w:p>
    <w:p>
      <w:pPr/>
      <w:r>
        <w:t xml:space="preserve">Both tests run on a laptop with Docker Desktop and kind (Git Bash), using the same test function image </w:t>
      </w:r>
      <w:r>
        <w:rPr>
          <w:rStyle w:val="CodeChar"/>
        </w:rPr>
        <w:t xml:space="preserve">sankalps2003/pulse-cold-tool:0.2</w:t>
      </w:r>
      <w:r>
        <w:t xml:space="preserve">. Each folder has a README with step-by-step commands.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Test</w:t>
            </w:r>
          </w:p>
        </w:tc>
        <w:tc>
          <w:tcPr>
            <w:tcW w:w="3120" w:type="dxa"/>
            <w:shd w:val="clear" w:color="auto" w:fill="F2F2F2"/>
          </w:tcPr>
          <w:p>
            <w:pPr/>
            <w:r>
              <w:t xml:space="preserve">Folder</w:t>
            </w:r>
          </w:p>
        </w:tc>
        <w:tc>
          <w:tcPr>
            <w:tcW w:w="3120" w:type="dxa"/>
            <w:shd w:val="clear" w:color="auto" w:fill="F2F2F2"/>
          </w:tcPr>
          <w:p>
            <w:pPr/>
            <w:r>
              <w:t xml:space="preserve">Commands</w:t>
            </w:r>
          </w:p>
        </w:tc>
      </w:tr>
      <w:tr>
        <w:tc>
          <w:tcPr>
            <w:tcW w:w="3120" w:type="dxa"/>
          </w:tcPr>
          <w:p>
            <w:pPr/>
            <w:r>
              <w:t xml:space="preserve">OpenFaaS CE scale-to-zero</w:t>
            </w:r>
          </w:p>
        </w:tc>
        <w:tc>
          <w:tcPr>
            <w:tcW w:w="3120" w:type="dxa"/>
          </w:tcPr>
          <w:p>
            <w:pPr/>
            <w:r>
              <w:rPr>
                <w:rStyle w:val="CodeChar"/>
              </w:rPr>
              <w:t xml:space="preserve">test/test_cold_start/</w:t>
            </w:r>
          </w:p>
        </w:tc>
        <w:tc>
          <w:tcPr>
            <w:tcW w:w="3120" w:type="dxa"/>
          </w:tcPr>
          <w:p>
            <w:pPr/>
            <w:r>
              <w:rPr>
                <w:rStyle w:val="CodeChar"/>
              </w:rPr>
              <w:t xml:space="preserve">bash setup.sh</w:t>
            </w:r>
            <w:r>
              <w:t xml:space="preserve">, then Tests A to C in its README, then </w:t>
            </w:r>
            <w:r>
              <w:rPr>
                <w:rStyle w:val="CodeChar"/>
              </w:rPr>
              <w:t xml:space="preserve">bash teardown.sh</w:t>
            </w:r>
          </w:p>
        </w:tc>
      </w:tr>
      <w:tr>
        <w:tc>
          <w:tcPr>
            <w:tcW w:w="3120" w:type="dxa"/>
          </w:tcPr>
          <w:p>
            <w:pPr/>
            <w:r>
              <w:t xml:space="preserve">Knative C0 baseline</w:t>
            </w:r>
          </w:p>
        </w:tc>
        <w:tc>
          <w:tcPr>
            <w:tcW w:w="3120" w:type="dxa"/>
          </w:tcPr>
          <w:p>
            <w:pPr/>
            <w:r>
              <w:rPr>
                <w:rStyle w:val="CodeChar"/>
              </w:rPr>
              <w:t xml:space="preserve">test/test_knative/</w:t>
            </w:r>
          </w:p>
        </w:tc>
        <w:tc>
          <w:tcPr>
            <w:tcW w:w="3120" w:type="dxa"/>
          </w:tcPr>
          <w:p>
            <w:pPr/>
            <w:r>
              <w:rPr>
                <w:rStyle w:val="CodeChar"/>
              </w:rPr>
              <w:t xml:space="preserve">bash setup.sh</w:t>
            </w:r>
            <w:r>
              <w:t xml:space="preserve">, </w:t>
            </w:r>
            <w:r>
              <w:rPr>
                <w:rStyle w:val="CodeChar"/>
              </w:rPr>
              <w:t xml:space="preserve">python c0_baseline.py --trials 10</w:t>
            </w:r>
            <w:r>
              <w:t xml:space="preserve">, </w:t>
            </w:r>
            <w:r>
              <w:rPr>
                <w:rStyle w:val="CodeChar"/>
              </w:rPr>
              <w:t xml:space="preserve">bash teardown.sh</w:t>
            </w:r>
          </w:p>
        </w:tc>
      </w:tr>
    </w:tbl>
    <w:p>
      <w:pPr/>
      <w:r>
        <w:t xml:space="preserve">Run one cluster at a time: Docker has 4 GB, which does not fit both. Results: </w:t>
      </w:r>
      <w:r>
        <w:rPr>
          <w:rStyle w:val="CodeChar"/>
        </w:rPr>
        <w:t xml:space="preserve">test/test_knative/results/c0_20261015-200019*</w:t>
      </w:r>
      <w:r>
        <w:t xml:space="preserv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Pulse Why we are moving from OpenFaaS CE to Knative</dc:title>
  <dc:description>Claude Docs node/79148f27-8ff5@10 docx-w6</dc:description>
  <cp:revision>10</cp:revision>
</cp:coreProperties>
</file>