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Gerold &amp; Team</w:t>
      </w:r>
    </w:p>
    <w:p/>
    <w:p>
      <w:pPr>
        <w:jc w:val="center"/>
      </w:pPr>
      <w:r>
        <w:t>Locale: en</w:t>
        <w:br/>
        <w:t>Generated: 2026-04-16</w:t>
      </w:r>
    </w:p>
    <w:p>
      <w:r>
        <w:br w:type="page"/>
      </w:r>
    </w:p>
    <w:p>
      <w:pPr>
        <w:pStyle w:val="Heading1"/>
      </w:pPr>
      <w:r>
        <w:rPr>
          <w:color w:val="8B2F1E"/>
        </w:rPr>
        <w:t>Executive Summary</w:t>
      </w:r>
    </w:p>
    <w:p>
      <w:r>
        <w:t>The regulatory landscape is undergoing a fundamental transformation, transitioning from voluntary sustainability reporting to a mandatory, high-stakes compliance environment. Driven by EU-wide directives and reinforced by German national laws, new mandates target environmental, social, and governance (ESG) transparency, supply chain due diligence, and circular economy principles. Organizations must now prepare for rigorous disclosure requirements under the ESRS, comprehensive value chain oversight to mitigate human rights and environmental risks, and strict resource efficiency targets. Failure to align with these evolving standards—particularly regarding carbon pricing, packaging waste, and material footprints—poses significant operational, financial, and reputational risks.</w:t>
      </w:r>
    </w:p>
    <w:p>
      <w:pPr>
        <w:pStyle w:val="Heading2"/>
      </w:pPr>
      <w:r>
        <w:rPr>
          <w:color w:val="8B2F1E"/>
        </w:rPr>
        <w:t>Key Facts</w:t>
      </w:r>
    </w:p>
    <w:p>
      <w:pPr>
        <w:pStyle w:val="ListBullet"/>
      </w:pPr>
      <w:r>
        <w:t>Shift from voluntary to mandatory ESG reporting</w:t>
      </w:r>
    </w:p>
    <w:p>
      <w:pPr>
        <w:pStyle w:val="ListBullet"/>
      </w:pPr>
      <w:r>
        <w:t>Increased legal accountability for value chain due diligence</w:t>
      </w:r>
    </w:p>
    <w:p>
      <w:pPr>
        <w:pStyle w:val="ListBullet"/>
      </w:pPr>
      <w:r>
        <w:t>Tightening of circular economy and resource efficiency requirements</w:t>
      </w:r>
    </w:p>
    <w:p>
      <w:pPr>
        <w:pStyle w:val="Heading2"/>
      </w:pPr>
      <w:r>
        <w:rPr>
          <w:color w:val="8B2F1E"/>
        </w:rPr>
        <w:t>References</w:t>
      </w:r>
    </w:p>
    <w:p>
      <w:pPr>
        <w:pStyle w:val="ListNumber"/>
      </w:pPr>
      <w:r>
        <w:t>EUR-Lex</w:t>
      </w:r>
    </w:p>
    <w:p>
      <w:pPr>
        <w:pStyle w:val="ListNumber"/>
      </w:pPr>
      <w:r>
        <w:t>Bundesgesetzblatt</w:t>
      </w:r>
    </w:p>
    <w:p>
      <w:pPr>
        <w:pStyle w:val="ListNumber"/>
      </w:pPr>
      <w:r>
        <w:t>BMUV/UBA</w:t>
      </w:r>
    </w:p>
    <w:p>
      <w:pPr>
        <w:pStyle w:val="Heading1"/>
      </w:pPr>
      <w:r>
        <w:rPr>
          <w:color w:val="8B2F1E"/>
        </w:rPr>
        <w:t>Regulatory Changes</w:t>
      </w:r>
    </w:p>
    <w:p>
      <w:r>
        <w:t>Regulatory developments are concentrated in three key domains: sustainability reporting, supply chain oversight, and resource management. Under the Corporate Sustainability Reporting Directive (CSRD), large undertakings and listed SMEs are now required to provide mandatory disclosures following the European Sustainability Reporting Standards (ESRS), specifically covering climate (E1), pollution (E2), water (E3), biodiversity (E4), resource use (E5), and various social factors (S1-S4). Parallel to this, the Corporate Sustainability Due Diligence Directive (CSDDD) and the German Supply Chain Due Diligence Act (LkSG) mandate that companies identify and mitigate human rights and environmental risks across their entire value chains, with the LkSG specifically applying to German companies with 1,000 or more employees. In the realm of circularity, the EU has set mandatory recycled content targets and packaging minimization requirements effective from 2030. This is supported by Germany's national resource efficiency strategy, which targets a 30% reduction in material footprint by 2030. Furthermore, the implementation of carbon pricing on specific imports (CBAM) and updated fee schedules and registration obligations under the LUCID packaging register represent significant shifts in cost and administrative compliance for distributors and importers.</w:t>
      </w:r>
    </w:p>
    <w:p>
      <w:pPr>
        <w:pStyle w:val="Heading2"/>
      </w:pPr>
      <w:r>
        <w:rPr>
          <w:color w:val="8B2F1E"/>
        </w:rPr>
        <w:t>Key Facts</w:t>
      </w:r>
    </w:p>
    <w:p>
      <w:pPr>
        <w:pStyle w:val="ListBullet"/>
      </w:pPr>
      <w:r>
        <w:t>Mandatory ESRS E1-E5 and S1-S4 disclosures</w:t>
      </w:r>
    </w:p>
    <w:p>
      <w:pPr>
        <w:pStyle w:val="ListBullet"/>
      </w:pPr>
      <w:r>
        <w:t>Value chain due diligence required under CSDDD</w:t>
      </w:r>
    </w:p>
    <w:p>
      <w:pPr>
        <w:pStyle w:val="ListBullet"/>
      </w:pPr>
      <w:r>
        <w:t>German LkSG compliance for companies with 1,000+ employees</w:t>
      </w:r>
    </w:p>
    <w:p>
      <w:pPr>
        <w:pStyle w:val="ListBullet"/>
      </w:pPr>
      <w:r>
        <w:t>2030 EU mandates for recycled content and packaging minimization</w:t>
      </w:r>
    </w:p>
    <w:p>
      <w:pPr>
        <w:pStyle w:val="ListBullet"/>
      </w:pPr>
      <w:r>
        <w:t>Germany's 30% material footprint reduction target by 2030</w:t>
      </w:r>
    </w:p>
    <w:p>
      <w:pPr>
        <w:pStyle w:val="ListBullet"/>
      </w:pPr>
      <w:r>
        <w:t>Carbon pricing on imports (CBAM)</w:t>
      </w:r>
    </w:p>
    <w:p>
      <w:pPr>
        <w:pStyle w:val="ListBullet"/>
      </w:pPr>
      <w:r>
        <w:t>LUCID packaging register registration and updated fee schedules</w:t>
      </w:r>
    </w:p>
    <w:p>
      <w:pPr>
        <w:pStyle w:val="Heading2"/>
      </w:pPr>
      <w:r>
        <w:rPr>
          <w:color w:val="8B2F1E"/>
        </w:rPr>
        <w:t>References</w:t>
      </w:r>
    </w:p>
    <w:p>
      <w:pPr>
        <w:pStyle w:val="ListNumber"/>
      </w:pPr>
      <w:r>
        <w:t>EUR-Lex</w:t>
      </w:r>
    </w:p>
    <w:p>
      <w:pPr>
        <w:pStyle w:val="ListNumber"/>
      </w:pPr>
      <w:r>
        <w:t>Bundesgesetzblatt</w:t>
      </w:r>
    </w:p>
    <w:p>
      <w:pPr>
        <w:pStyle w:val="ListNumber"/>
      </w:pPr>
      <w:r>
        <w:t>ZSVR/LUCID</w:t>
      </w:r>
    </w:p>
    <w:p>
      <w:pPr>
        <w:pStyle w:val="ListNumber"/>
      </w:pPr>
      <w:r>
        <w:t>BMUV/UBA</w:t>
      </w:r>
    </w:p>
    <w:p>
      <w:pPr>
        <w:pStyle w:val="Heading1"/>
      </w:pPr>
      <w:r>
        <w:rPr>
          <w:color w:val="8B2F1E"/>
        </w:rPr>
        <w:t>Recommended Actions</w:t>
      </w:r>
    </w:p>
    <w:p>
      <w:r>
        <w:t>To maintain compliance and mitigate risk, companies should immediately conduct a gap analysis between current reporting capabilities and the new ESRS disclosure requirements. Supply chain management teams must implement enhanced due diligence protocols to map and audit value chains for human rights and environmental infractions, ensuring alignment with both German and EU standards. Regarding product design and logistics, organizations should prioritize packaging redesign projects to meet upcoming recycled content and minimization targets, while ensuring all initial distributors are correctly registered and compliant with the updated LUCID fee and reporting schedules. Finally, procurement and finance departments should conduct impact assessments regarding the Carbon Border Adjustment Mechanism (CBAM) to anticipate and budget for increased costs associated with carbon-intensive imports.</w:t>
      </w:r>
    </w:p>
    <w:p>
      <w:pPr>
        <w:pStyle w:val="Heading2"/>
      </w:pPr>
      <w:r>
        <w:rPr>
          <w:color w:val="8B2F1E"/>
        </w:rPr>
        <w:t>Key Facts</w:t>
      </w:r>
    </w:p>
    <w:p>
      <w:pPr>
        <w:pStyle w:val="ListBullet"/>
      </w:pPr>
      <w:r>
        <w:t>Conduct ESRS gap analysis</w:t>
      </w:r>
    </w:p>
    <w:p>
      <w:pPr>
        <w:pStyle w:val="ListBullet"/>
      </w:pPr>
      <w:r>
        <w:t>Implement value chain due diligence and auditing</w:t>
      </w:r>
    </w:p>
    <w:p>
      <w:pPr>
        <w:pStyle w:val="ListBullet"/>
      </w:pPr>
      <w:r>
        <w:t>Redesign packaging for 2030 compliance</w:t>
      </w:r>
    </w:p>
    <w:p>
      <w:pPr>
        <w:pStyle w:val="ListBullet"/>
      </w:pPr>
      <w:r>
        <w:t>Ensure LUCID registration and fee compliance</w:t>
      </w:r>
    </w:p>
    <w:p>
      <w:pPr>
        <w:pStyle w:val="ListBullet"/>
      </w:pPr>
      <w:r>
        <w:t>Assess CBAM impact on import costs</w:t>
      </w:r>
    </w:p>
    <w:p>
      <w:pPr>
        <w:pStyle w:val="Heading2"/>
      </w:pPr>
      <w:r>
        <w:rPr>
          <w:color w:val="8B2F1E"/>
        </w:rPr>
        <w:t>References</w:t>
      </w:r>
    </w:p>
    <w:p>
      <w:pPr>
        <w:pStyle w:val="ListNumber"/>
      </w:pPr>
      <w:r>
        <w:t>EUR-Lex</w:t>
      </w:r>
    </w:p>
    <w:p>
      <w:pPr>
        <w:pStyle w:val="ListNumber"/>
      </w:pPr>
      <w:r>
        <w:t>ZSVR/LUCID</w:t>
      </w:r>
    </w:p>
    <w:p>
      <w:pPr>
        <w:pStyle w:val="ListNumber"/>
      </w:pPr>
      <w:r>
        <w:t>Bundesgesetzblatt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