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NCI, genomic, transcriptomic, 33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797qy6z2g9o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1b1b1b"/>
          <w:sz w:val="24"/>
          <w:szCs w:val="24"/>
          <w:rtl w:val="0"/>
        </w:rPr>
        <w:t xml:space="preserve">Established a rich genomics data resource for the broad research community. Scientists studying metagenomics, immunology, and other diseases and topics continue to mine and learn from TCGA data.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nlu61q9pcm2a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1b1b1b"/>
          <w:sz w:val="24"/>
          <w:szCs w:val="24"/>
          <w:rtl w:val="0"/>
        </w:rPr>
        <w:t xml:space="preserve">Pan-Cancer Atlas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Poor prognosis, Overall public health impact, Availability of samples meeting standards for patient consent, Availability of samples meeting standards for quality and quantity that include: Primary, untreated tumor with a source of matched normal tissue or blood sample, Frozen, sufficiently sized, resection samples, Samples composed of at least 80% tumor nuclei (threshold later lowered to 60% with improved sequencing technology and computational methods), With support from patients, patient advocacy groups, and doctors, many rare cancers were also included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the most common type of kidney cancer.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of the ways the informed consent is maintained is through keeping a high degree of confidentiality via keeping number codes to maintain a degree of anonymity.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Proteome Characterization Centers, Proteogenomics Translational Research Centers, and Proteogenomic Data Analysis Centers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Portal, Antibody Portal, and Assay Portal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