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665DF503" w:rsidR="000D23D2" w:rsidRDefault="00E539C4"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Module </w:t>
      </w:r>
      <w:r w:rsidR="00AC32D0">
        <w:rPr>
          <w:rStyle w:val="fnt0"/>
          <w:rFonts w:ascii="Times New Roman" w:hAnsi="Times New Roman"/>
          <w:b/>
          <w:bCs/>
          <w:sz w:val="24"/>
          <w:szCs w:val="24"/>
        </w:rPr>
        <w:t>5</w:t>
      </w:r>
      <w:r>
        <w:rPr>
          <w:rStyle w:val="fnt0"/>
          <w:rFonts w:ascii="Times New Roman" w:hAnsi="Times New Roman"/>
          <w:b/>
          <w:bCs/>
          <w:sz w:val="24"/>
          <w:szCs w:val="24"/>
        </w:rPr>
        <w:t xml:space="preserve"> Critical Thinking</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472BEB36" w:rsidR="000D23D2" w:rsidRPr="004412A2" w:rsidRDefault="000D23D2"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Student Name</w:t>
      </w:r>
      <w:r w:rsidR="001B3755">
        <w:rPr>
          <w:rStyle w:val="fnt0"/>
          <w:rFonts w:ascii="Times New Roman" w:hAnsi="Times New Roman"/>
          <w:sz w:val="24"/>
          <w:szCs w:val="24"/>
        </w:rPr>
        <w:t>: Sankara Narayana Katabathina</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4D7E5D42" w:rsidR="00C51525" w:rsidRPr="001B3755" w:rsidRDefault="00C51525" w:rsidP="001B3755">
      <w:pPr>
        <w:spacing w:after="0" w:line="480" w:lineRule="auto"/>
        <w:jc w:val="center"/>
        <w:rPr>
          <w:rStyle w:val="fnt0"/>
          <w:rFonts w:ascii="Times New Roman" w:hAnsi="Times New Roman"/>
        </w:rPr>
      </w:pPr>
      <w:r>
        <w:rPr>
          <w:rStyle w:val="fnt0"/>
          <w:rFonts w:ascii="Times New Roman" w:hAnsi="Times New Roman"/>
          <w:sz w:val="24"/>
          <w:szCs w:val="24"/>
        </w:rPr>
        <w:t xml:space="preserve">Course Code: </w:t>
      </w:r>
      <w:r w:rsidR="001B3755" w:rsidRPr="001B3755">
        <w:rPr>
          <w:rStyle w:val="fnt0"/>
          <w:rFonts w:ascii="Times New Roman" w:hAnsi="Times New Roman"/>
          <w:b/>
          <w:bCs/>
        </w:rPr>
        <w:t>CSC501</w:t>
      </w:r>
      <w:r w:rsidR="001B3755">
        <w:rPr>
          <w:rStyle w:val="fnt0"/>
          <w:rFonts w:ascii="Times New Roman" w:hAnsi="Times New Roman"/>
        </w:rPr>
        <w:t xml:space="preserve"> (</w:t>
      </w:r>
      <w:r w:rsidR="001B3755" w:rsidRPr="001B3755">
        <w:rPr>
          <w:rFonts w:ascii="Times New Roman" w:hAnsi="Times New Roman"/>
          <w:color w:val="000000"/>
          <w:shd w:val="clear" w:color="auto" w:fill="FFFFFF"/>
        </w:rPr>
        <w:t>Management for the Computer Science Professional</w:t>
      </w:r>
      <w:r w:rsidR="001B3755">
        <w:rPr>
          <w:rFonts w:ascii="Times New Roman" w:hAnsi="Times New Roman"/>
          <w:color w:val="000000"/>
          <w:shd w:val="clear" w:color="auto" w:fill="FFFFFF"/>
        </w:rPr>
        <w:t>)</w:t>
      </w:r>
    </w:p>
    <w:p w14:paraId="182162FD" w14:textId="367A1A86"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Instructor</w:t>
      </w:r>
      <w:r w:rsidR="001B3755">
        <w:rPr>
          <w:rStyle w:val="fnt0"/>
          <w:rFonts w:ascii="Times New Roman" w:hAnsi="Times New Roman"/>
          <w:sz w:val="24"/>
          <w:szCs w:val="24"/>
        </w:rPr>
        <w:t xml:space="preserve">: Dr </w:t>
      </w:r>
      <w:hyperlink r:id="rId9" w:history="1">
        <w:r w:rsidR="001B3755" w:rsidRPr="001B3755">
          <w:rPr>
            <w:rStyle w:val="Hyperlink"/>
            <w:rFonts w:ascii="Times New Roman" w:hAnsi="Times New Roman"/>
            <w:sz w:val="24"/>
            <w:szCs w:val="24"/>
            <w:shd w:val="clear" w:color="auto" w:fill="FFFFFF"/>
          </w:rPr>
          <w:t>Jennifer Marquez</w:t>
        </w:r>
      </w:hyperlink>
    </w:p>
    <w:p w14:paraId="53DF4FF6" w14:textId="73467A5C" w:rsidR="00C51525" w:rsidRPr="006C3ABB" w:rsidRDefault="00C5152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1B3755">
        <w:rPr>
          <w:rStyle w:val="fnt0"/>
          <w:rFonts w:ascii="Times New Roman" w:hAnsi="Times New Roman"/>
          <w:sz w:val="24"/>
          <w:szCs w:val="24"/>
        </w:rPr>
        <w:t>: 0</w:t>
      </w:r>
      <w:r w:rsidR="004741E4">
        <w:rPr>
          <w:rStyle w:val="fnt0"/>
          <w:rFonts w:ascii="Times New Roman" w:hAnsi="Times New Roman"/>
          <w:sz w:val="24"/>
          <w:szCs w:val="24"/>
        </w:rPr>
        <w:t>5</w:t>
      </w:r>
      <w:r w:rsidR="001B3755">
        <w:rPr>
          <w:rStyle w:val="fnt0"/>
          <w:rFonts w:ascii="Times New Roman" w:hAnsi="Times New Roman"/>
          <w:sz w:val="24"/>
          <w:szCs w:val="24"/>
        </w:rPr>
        <w:t>/</w:t>
      </w:r>
      <w:r w:rsidR="00F04838">
        <w:rPr>
          <w:rStyle w:val="fnt0"/>
          <w:rFonts w:ascii="Times New Roman" w:hAnsi="Times New Roman"/>
          <w:sz w:val="24"/>
          <w:szCs w:val="24"/>
        </w:rPr>
        <w:t>1</w:t>
      </w:r>
      <w:r w:rsidR="00AC32D0">
        <w:rPr>
          <w:rStyle w:val="fnt0"/>
          <w:rFonts w:ascii="Times New Roman" w:hAnsi="Times New Roman"/>
          <w:sz w:val="24"/>
          <w:szCs w:val="24"/>
        </w:rPr>
        <w:t>8</w:t>
      </w:r>
      <w:r w:rsidR="001B3755">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173E5403"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F40381" w:rsidRPr="00F40381">
        <w:rPr>
          <w:rFonts w:ascii="Times New Roman" w:hAnsi="Times New Roman"/>
          <w:b/>
          <w:bCs/>
          <w:sz w:val="24"/>
          <w:szCs w:val="24"/>
        </w:rPr>
        <w:lastRenderedPageBreak/>
        <w:t>Strategic Project Portfolio Evaluation and Recommendation</w:t>
      </w:r>
    </w:p>
    <w:p w14:paraId="76F66311" w14:textId="52CEC668" w:rsidR="00724133" w:rsidRDefault="00F40381" w:rsidP="00511AE9">
      <w:pPr>
        <w:spacing w:after="0" w:line="480" w:lineRule="auto"/>
        <w:ind w:firstLine="720"/>
        <w:rPr>
          <w:rFonts w:ascii="Times New Roman" w:eastAsia="Times New Roman" w:hAnsi="Times New Roman"/>
          <w:sz w:val="24"/>
          <w:szCs w:val="24"/>
        </w:rPr>
      </w:pPr>
      <w:r w:rsidRPr="00F40381">
        <w:rPr>
          <w:rFonts w:ascii="Times New Roman" w:eastAsia="Times New Roman" w:hAnsi="Times New Roman"/>
          <w:sz w:val="24"/>
          <w:szCs w:val="24"/>
        </w:rPr>
        <w:t>As the newly appointed Project Manager at Top-Flight Project Management Inc. I have been tasked with evaluating three prospective projects. Each project has distinct capital requirements, risk factors, and potential returns. Below is an assessment of each project, including an analysis of payback periods and strategic recommendations.</w:t>
      </w:r>
    </w:p>
    <w:p w14:paraId="16A51394" w14:textId="3E46212F" w:rsidR="00E24148" w:rsidRDefault="00F40381" w:rsidP="00A41391">
      <w:pPr>
        <w:pStyle w:val="Heading2"/>
      </w:pPr>
      <w:r w:rsidRPr="00F40381">
        <w:t>Build a MAN Network for the City</w:t>
      </w:r>
      <w:r>
        <w:t>:</w:t>
      </w:r>
    </w:p>
    <w:p w14:paraId="42B025D5" w14:textId="5FD0F891" w:rsidR="00F04838" w:rsidRDefault="00F40381" w:rsidP="00A41391">
      <w:pPr>
        <w:spacing w:after="0" w:line="480" w:lineRule="auto"/>
        <w:ind w:firstLine="720"/>
        <w:rPr>
          <w:rFonts w:ascii="Times New Roman" w:eastAsia="Times New Roman" w:hAnsi="Times New Roman"/>
          <w:sz w:val="24"/>
          <w:szCs w:val="24"/>
        </w:rPr>
      </w:pPr>
      <w:r w:rsidRPr="00F40381">
        <w:rPr>
          <w:rFonts w:ascii="Times New Roman" w:eastAsia="Times New Roman" w:hAnsi="Times New Roman"/>
          <w:sz w:val="24"/>
          <w:szCs w:val="24"/>
        </w:rPr>
        <w:t>A city-wide Metropolitan Area Network (MAN) installation designed to support large</w:t>
      </w:r>
      <w:r>
        <w:rPr>
          <w:rFonts w:ascii="Times New Roman" w:eastAsia="Times New Roman" w:hAnsi="Times New Roman"/>
          <w:sz w:val="24"/>
          <w:szCs w:val="24"/>
        </w:rPr>
        <w:t xml:space="preserve"> </w:t>
      </w:r>
      <w:r w:rsidRPr="00F40381">
        <w:rPr>
          <w:rFonts w:ascii="Times New Roman" w:eastAsia="Times New Roman" w:hAnsi="Times New Roman"/>
          <w:sz w:val="24"/>
          <w:szCs w:val="24"/>
        </w:rPr>
        <w:t>scale data and communication infrastructure.</w:t>
      </w:r>
    </w:p>
    <w:tbl>
      <w:tblPr>
        <w:tblW w:w="9360" w:type="dxa"/>
        <w:tblLook w:val="04A0" w:firstRow="1" w:lastRow="0" w:firstColumn="1" w:lastColumn="0" w:noHBand="0" w:noVBand="1"/>
      </w:tblPr>
      <w:tblGrid>
        <w:gridCol w:w="3479"/>
        <w:gridCol w:w="5881"/>
      </w:tblGrid>
      <w:tr w:rsidR="00A41391" w:rsidRPr="006D311A" w14:paraId="0BB73899" w14:textId="77777777" w:rsidTr="00A41391">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7A0D6FBB" w14:textId="6EE30306" w:rsidR="00A41391" w:rsidRPr="00A41391" w:rsidRDefault="00A41391"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Capital Investment</w:t>
            </w:r>
          </w:p>
        </w:tc>
        <w:tc>
          <w:tcPr>
            <w:tcW w:w="5881"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0845CF4" w14:textId="41A8F15C" w:rsidR="00A41391" w:rsidRPr="006D311A" w:rsidRDefault="00A41391" w:rsidP="00A41391">
            <w:pPr>
              <w:spacing w:after="0" w:line="240" w:lineRule="auto"/>
              <w:rPr>
                <w:rFonts w:ascii="Aptos Narrow" w:eastAsia="Times New Roman" w:hAnsi="Aptos Narrow"/>
                <w:color w:val="000000"/>
              </w:rPr>
            </w:pPr>
            <w:r w:rsidRPr="00A41391">
              <w:rPr>
                <w:rFonts w:ascii="Aptos Narrow" w:eastAsia="Times New Roman" w:hAnsi="Aptos Narrow"/>
                <w:color w:val="000000"/>
              </w:rPr>
              <w:t>$10 million</w:t>
            </w:r>
          </w:p>
        </w:tc>
      </w:tr>
      <w:tr w:rsidR="00A41391" w:rsidRPr="006D311A" w14:paraId="00EAD1BA" w14:textId="77777777" w:rsidTr="00A41391">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0F02FF48" w14:textId="709F1382" w:rsidR="00A41391" w:rsidRPr="00A41391" w:rsidRDefault="00A41391"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Revenue</w:t>
            </w:r>
          </w:p>
        </w:tc>
        <w:tc>
          <w:tcPr>
            <w:tcW w:w="5881"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1081B64" w14:textId="4348D609" w:rsidR="00A41391" w:rsidRPr="006D311A" w:rsidRDefault="00A41391" w:rsidP="00A41391">
            <w:pPr>
              <w:spacing w:after="0" w:line="240" w:lineRule="auto"/>
              <w:rPr>
                <w:rFonts w:ascii="Aptos Narrow" w:eastAsia="Times New Roman" w:hAnsi="Aptos Narrow"/>
                <w:color w:val="000000"/>
              </w:rPr>
            </w:pPr>
            <w:r w:rsidRPr="00A41391">
              <w:rPr>
                <w:rFonts w:ascii="Aptos Narrow" w:eastAsia="Times New Roman" w:hAnsi="Aptos Narrow"/>
                <w:color w:val="000000"/>
              </w:rPr>
              <w:t>$500,000/month starting after year 2; city collects revenue for year 1 and half of year 2</w:t>
            </w:r>
          </w:p>
        </w:tc>
      </w:tr>
      <w:tr w:rsidR="00A41391" w:rsidRPr="006D311A" w14:paraId="009AA088" w14:textId="77777777" w:rsidTr="00A41391">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4B7C8C12" w14:textId="5473FF59" w:rsidR="00A41391" w:rsidRPr="00A41391" w:rsidRDefault="00A41391"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Payback Calculation</w:t>
            </w:r>
          </w:p>
        </w:tc>
        <w:tc>
          <w:tcPr>
            <w:tcW w:w="5881" w:type="dxa"/>
            <w:tcBorders>
              <w:top w:val="single" w:sz="4" w:space="0" w:color="FFFFFF"/>
              <w:left w:val="single" w:sz="4" w:space="0" w:color="FFFFFF"/>
              <w:bottom w:val="single" w:sz="4" w:space="0" w:color="FFFFFF"/>
              <w:right w:val="single" w:sz="4" w:space="0" w:color="FFFFFF"/>
            </w:tcBorders>
            <w:shd w:val="clear" w:color="A6A6A6" w:fill="A6A6A6"/>
            <w:noWrap/>
            <w:vAlign w:val="bottom"/>
          </w:tcPr>
          <w:p w14:paraId="4430BA66" w14:textId="77777777" w:rsidR="00A41391" w:rsidRPr="00A41391" w:rsidRDefault="00A41391" w:rsidP="00A41391">
            <w:pPr>
              <w:spacing w:after="0" w:line="240" w:lineRule="auto"/>
              <w:rPr>
                <w:rFonts w:ascii="Aptos Narrow" w:eastAsia="Times New Roman" w:hAnsi="Aptos Narrow"/>
                <w:color w:val="000000"/>
              </w:rPr>
            </w:pPr>
            <w:r w:rsidRPr="00A41391">
              <w:rPr>
                <w:rFonts w:ascii="Aptos Narrow" w:eastAsia="Times New Roman" w:hAnsi="Aptos Narrow"/>
                <w:color w:val="000000"/>
              </w:rPr>
              <w:t>Year 1: $0 revenue</w:t>
            </w:r>
          </w:p>
          <w:p w14:paraId="1C6BB50C" w14:textId="77777777" w:rsidR="00A41391" w:rsidRPr="00A41391" w:rsidRDefault="00A41391" w:rsidP="00A41391">
            <w:pPr>
              <w:spacing w:after="0" w:line="240" w:lineRule="auto"/>
              <w:rPr>
                <w:rFonts w:ascii="Aptos Narrow" w:eastAsia="Times New Roman" w:hAnsi="Aptos Narrow"/>
                <w:color w:val="000000"/>
              </w:rPr>
            </w:pPr>
          </w:p>
          <w:p w14:paraId="6B0D469A" w14:textId="77777777" w:rsidR="00A41391" w:rsidRPr="00A41391" w:rsidRDefault="00A41391" w:rsidP="00A41391">
            <w:pPr>
              <w:spacing w:after="0" w:line="240" w:lineRule="auto"/>
              <w:rPr>
                <w:rFonts w:ascii="Aptos Narrow" w:eastAsia="Times New Roman" w:hAnsi="Aptos Narrow"/>
                <w:color w:val="000000"/>
              </w:rPr>
            </w:pPr>
            <w:r w:rsidRPr="00A41391">
              <w:rPr>
                <w:rFonts w:ascii="Aptos Narrow" w:eastAsia="Times New Roman" w:hAnsi="Aptos Narrow"/>
                <w:color w:val="000000"/>
              </w:rPr>
              <w:t>Year 2: $250,000/month for 6 months = $1.5 million</w:t>
            </w:r>
          </w:p>
          <w:p w14:paraId="775A7974" w14:textId="77777777" w:rsidR="00A41391" w:rsidRPr="00A41391" w:rsidRDefault="00A41391" w:rsidP="00A41391">
            <w:pPr>
              <w:spacing w:after="0" w:line="240" w:lineRule="auto"/>
              <w:rPr>
                <w:rFonts w:ascii="Aptos Narrow" w:eastAsia="Times New Roman" w:hAnsi="Aptos Narrow"/>
                <w:color w:val="000000"/>
              </w:rPr>
            </w:pPr>
          </w:p>
          <w:p w14:paraId="64F24C8D" w14:textId="77777777" w:rsidR="00A41391" w:rsidRPr="00A41391" w:rsidRDefault="00A41391" w:rsidP="00A41391">
            <w:pPr>
              <w:spacing w:after="0" w:line="240" w:lineRule="auto"/>
              <w:rPr>
                <w:rFonts w:ascii="Aptos Narrow" w:eastAsia="Times New Roman" w:hAnsi="Aptos Narrow"/>
                <w:color w:val="000000"/>
              </w:rPr>
            </w:pPr>
            <w:r w:rsidRPr="00A41391">
              <w:rPr>
                <w:rFonts w:ascii="Aptos Narrow" w:eastAsia="Times New Roman" w:hAnsi="Aptos Narrow"/>
                <w:color w:val="000000"/>
              </w:rPr>
              <w:t>Year 3 onward: $500,000/month = $6 million/year</w:t>
            </w:r>
          </w:p>
          <w:p w14:paraId="3E6FAF57" w14:textId="77777777" w:rsidR="00A41391" w:rsidRPr="00A41391" w:rsidRDefault="00A41391" w:rsidP="00A41391">
            <w:pPr>
              <w:spacing w:after="0" w:line="240" w:lineRule="auto"/>
              <w:rPr>
                <w:rFonts w:ascii="Aptos Narrow" w:eastAsia="Times New Roman" w:hAnsi="Aptos Narrow"/>
                <w:color w:val="000000"/>
              </w:rPr>
            </w:pPr>
          </w:p>
          <w:p w14:paraId="04167948" w14:textId="5DA66895" w:rsidR="00A41391" w:rsidRPr="006D311A" w:rsidRDefault="00A41391" w:rsidP="00A41391">
            <w:pPr>
              <w:spacing w:after="0" w:line="240" w:lineRule="auto"/>
              <w:rPr>
                <w:rFonts w:ascii="Aptos Narrow" w:eastAsia="Times New Roman" w:hAnsi="Aptos Narrow"/>
                <w:color w:val="000000"/>
              </w:rPr>
            </w:pPr>
            <w:r w:rsidRPr="00A41391">
              <w:rPr>
                <w:rFonts w:ascii="Aptos Narrow" w:eastAsia="Times New Roman" w:hAnsi="Aptos Narrow"/>
                <w:color w:val="000000"/>
                <w:highlight w:val="yellow"/>
              </w:rPr>
              <w:t xml:space="preserve">Payback </w:t>
            </w:r>
            <w:proofErr w:type="gramStart"/>
            <w:r w:rsidRPr="00A41391">
              <w:rPr>
                <w:rFonts w:ascii="Aptos Narrow" w:eastAsia="Times New Roman" w:hAnsi="Aptos Narrow"/>
                <w:color w:val="000000"/>
                <w:highlight w:val="yellow"/>
              </w:rPr>
              <w:t>completed</w:t>
            </w:r>
            <w:proofErr w:type="gramEnd"/>
            <w:r w:rsidRPr="00A41391">
              <w:rPr>
                <w:rFonts w:ascii="Aptos Narrow" w:eastAsia="Times New Roman" w:hAnsi="Aptos Narrow"/>
                <w:color w:val="000000"/>
                <w:highlight w:val="yellow"/>
              </w:rPr>
              <w:t xml:space="preserve"> around Year 4</w:t>
            </w:r>
            <w:r w:rsidRPr="00A41391">
              <w:rPr>
                <w:rFonts w:ascii="Aptos Narrow" w:eastAsia="Times New Roman" w:hAnsi="Aptos Narrow"/>
                <w:color w:val="000000"/>
              </w:rPr>
              <w:t xml:space="preserve"> (after recouping </w:t>
            </w:r>
            <w:proofErr w:type="gramStart"/>
            <w:r w:rsidRPr="00A41391">
              <w:rPr>
                <w:rFonts w:ascii="Aptos Narrow" w:eastAsia="Times New Roman" w:hAnsi="Aptos Narrow"/>
                <w:color w:val="000000"/>
              </w:rPr>
              <w:t>remaining</w:t>
            </w:r>
            <w:proofErr w:type="gramEnd"/>
            <w:r w:rsidRPr="00A41391">
              <w:rPr>
                <w:rFonts w:ascii="Aptos Narrow" w:eastAsia="Times New Roman" w:hAnsi="Aptos Narrow"/>
                <w:color w:val="000000"/>
              </w:rPr>
              <w:t xml:space="preserve"> $8.5 million)</w:t>
            </w:r>
          </w:p>
        </w:tc>
      </w:tr>
      <w:tr w:rsidR="00A41391" w:rsidRPr="006D311A" w14:paraId="299FD74F" w14:textId="77777777" w:rsidTr="00A41391">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tcPr>
          <w:p w14:paraId="470D3196" w14:textId="0FEA7698" w:rsidR="00A41391" w:rsidRPr="00A41391" w:rsidRDefault="00A41391"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Pros</w:t>
            </w:r>
          </w:p>
        </w:tc>
        <w:tc>
          <w:tcPr>
            <w:tcW w:w="5881" w:type="dxa"/>
            <w:tcBorders>
              <w:top w:val="single" w:sz="4" w:space="0" w:color="FFFFFF"/>
              <w:left w:val="single" w:sz="4" w:space="0" w:color="FFFFFF"/>
              <w:bottom w:val="single" w:sz="4" w:space="0" w:color="FFFFFF"/>
              <w:right w:val="single" w:sz="4" w:space="0" w:color="FFFFFF"/>
            </w:tcBorders>
            <w:shd w:val="clear" w:color="D9D9D9" w:fill="D9D9D9"/>
            <w:noWrap/>
            <w:vAlign w:val="bottom"/>
          </w:tcPr>
          <w:p w14:paraId="60341977" w14:textId="1C8DED24" w:rsidR="00A41391" w:rsidRPr="006D311A" w:rsidRDefault="00A41391" w:rsidP="00A41391">
            <w:pPr>
              <w:spacing w:after="0" w:line="240" w:lineRule="auto"/>
              <w:rPr>
                <w:rFonts w:ascii="Aptos Narrow" w:eastAsia="Times New Roman" w:hAnsi="Aptos Narrow"/>
                <w:color w:val="000000"/>
              </w:rPr>
            </w:pPr>
            <w:r w:rsidRPr="00A41391">
              <w:rPr>
                <w:rFonts w:ascii="Aptos Narrow" w:eastAsia="Times New Roman" w:hAnsi="Aptos Narrow"/>
                <w:color w:val="000000"/>
              </w:rPr>
              <w:t>High long-term cash flow, essential infrastructure, recurring revenue</w:t>
            </w:r>
          </w:p>
        </w:tc>
      </w:tr>
      <w:tr w:rsidR="00A41391" w:rsidRPr="006D311A" w14:paraId="42C665E2" w14:textId="77777777" w:rsidTr="00A41391">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tcPr>
          <w:p w14:paraId="7413AE3D" w14:textId="73BBC48F" w:rsidR="00A41391" w:rsidRPr="00A41391" w:rsidRDefault="00A41391"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Cons</w:t>
            </w:r>
          </w:p>
        </w:tc>
        <w:tc>
          <w:tcPr>
            <w:tcW w:w="5881" w:type="dxa"/>
            <w:tcBorders>
              <w:top w:val="single" w:sz="4" w:space="0" w:color="FFFFFF"/>
              <w:left w:val="single" w:sz="4" w:space="0" w:color="FFFFFF"/>
              <w:bottom w:val="single" w:sz="4" w:space="0" w:color="FFFFFF"/>
              <w:right w:val="single" w:sz="4" w:space="0" w:color="FFFFFF"/>
            </w:tcBorders>
            <w:shd w:val="clear" w:color="A6A6A6" w:fill="A6A6A6"/>
            <w:noWrap/>
            <w:vAlign w:val="bottom"/>
          </w:tcPr>
          <w:p w14:paraId="3210515F" w14:textId="16CB8587" w:rsidR="00A41391" w:rsidRPr="006D311A" w:rsidRDefault="00A41391" w:rsidP="00A41391">
            <w:pPr>
              <w:spacing w:after="0" w:line="240" w:lineRule="auto"/>
              <w:rPr>
                <w:rFonts w:ascii="Aptos Narrow" w:eastAsia="Times New Roman" w:hAnsi="Aptos Narrow"/>
                <w:color w:val="000000"/>
              </w:rPr>
            </w:pPr>
            <w:r w:rsidRPr="00A41391">
              <w:rPr>
                <w:rFonts w:ascii="Aptos Narrow" w:eastAsia="Times New Roman" w:hAnsi="Aptos Narrow"/>
                <w:color w:val="000000"/>
              </w:rPr>
              <w:t>Long ramp-up period, high initial investment</w:t>
            </w:r>
          </w:p>
        </w:tc>
      </w:tr>
    </w:tbl>
    <w:p w14:paraId="21D8AF8D" w14:textId="7E19E324" w:rsidR="00A41391" w:rsidRDefault="00A41391" w:rsidP="00A41391">
      <w:pPr>
        <w:spacing w:after="0" w:line="480" w:lineRule="auto"/>
        <w:ind w:firstLine="720"/>
        <w:rPr>
          <w:rFonts w:ascii="Times New Roman" w:eastAsia="Times New Roman" w:hAnsi="Times New Roman"/>
          <w:sz w:val="24"/>
          <w:szCs w:val="24"/>
        </w:rPr>
      </w:pPr>
    </w:p>
    <w:p w14:paraId="5F44071B" w14:textId="66EDFF38" w:rsidR="00F40381" w:rsidRDefault="00F40381" w:rsidP="00A41391">
      <w:pPr>
        <w:pStyle w:val="Heading2"/>
      </w:pPr>
      <w:r w:rsidRPr="00F40381">
        <w:rPr>
          <w:rFonts w:eastAsia="Calibri"/>
        </w:rPr>
        <w:t>School District IT Setup</w:t>
      </w:r>
      <w:r w:rsidR="00A41391">
        <w:t>:</w:t>
      </w:r>
    </w:p>
    <w:p w14:paraId="796E2071" w14:textId="78161A0B" w:rsidR="00A41391" w:rsidRDefault="00A41391" w:rsidP="00A41391">
      <w:pPr>
        <w:spacing w:after="0" w:line="480" w:lineRule="auto"/>
        <w:ind w:firstLine="720"/>
        <w:rPr>
          <w:rFonts w:ascii="Times New Roman" w:eastAsia="Times New Roman" w:hAnsi="Times New Roman"/>
          <w:sz w:val="24"/>
          <w:szCs w:val="24"/>
        </w:rPr>
      </w:pPr>
      <w:r w:rsidRPr="00A41391">
        <w:rPr>
          <w:rFonts w:ascii="Times New Roman" w:eastAsia="Times New Roman" w:hAnsi="Times New Roman"/>
          <w:sz w:val="24"/>
          <w:szCs w:val="24"/>
        </w:rPr>
        <w:t>An IT infrastructure project aimed at equipping county schools with modern networks, computer systems, and servers. Includes an ongoing service contract to ensure maintenance and operational stability.</w:t>
      </w:r>
    </w:p>
    <w:tbl>
      <w:tblPr>
        <w:tblW w:w="9360" w:type="dxa"/>
        <w:tblLook w:val="04A0" w:firstRow="1" w:lastRow="0" w:firstColumn="1" w:lastColumn="0" w:noHBand="0" w:noVBand="1"/>
      </w:tblPr>
      <w:tblGrid>
        <w:gridCol w:w="3479"/>
        <w:gridCol w:w="5881"/>
      </w:tblGrid>
      <w:tr w:rsidR="00A41391" w:rsidRPr="006D311A" w14:paraId="01B3328D" w14:textId="77777777" w:rsidTr="00A41391">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766FC455" w14:textId="77777777" w:rsidR="00A41391" w:rsidRPr="00A41391" w:rsidRDefault="00A41391"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Capital Investment</w:t>
            </w:r>
          </w:p>
        </w:tc>
        <w:tc>
          <w:tcPr>
            <w:tcW w:w="5881" w:type="dxa"/>
            <w:tcBorders>
              <w:top w:val="single" w:sz="4" w:space="0" w:color="FFFFFF"/>
              <w:left w:val="single" w:sz="4" w:space="0" w:color="FFFFFF"/>
              <w:bottom w:val="single" w:sz="4" w:space="0" w:color="FFFFFF"/>
              <w:right w:val="single" w:sz="4" w:space="0" w:color="FFFFFF"/>
            </w:tcBorders>
            <w:shd w:val="clear" w:color="A6A6A6" w:fill="A6A6A6"/>
            <w:noWrap/>
            <w:vAlign w:val="bottom"/>
          </w:tcPr>
          <w:p w14:paraId="38CBE8EA" w14:textId="6DDAB2AD" w:rsidR="00A41391" w:rsidRPr="006D311A" w:rsidRDefault="00A41391" w:rsidP="007641CC">
            <w:pPr>
              <w:spacing w:after="0" w:line="240" w:lineRule="auto"/>
              <w:rPr>
                <w:rFonts w:ascii="Aptos Narrow" w:eastAsia="Times New Roman" w:hAnsi="Aptos Narrow"/>
                <w:color w:val="000000"/>
              </w:rPr>
            </w:pPr>
            <w:r w:rsidRPr="00A41391">
              <w:rPr>
                <w:rFonts w:ascii="Aptos Narrow" w:eastAsia="Times New Roman" w:hAnsi="Aptos Narrow"/>
                <w:color w:val="000000"/>
              </w:rPr>
              <w:t>$1 million</w:t>
            </w:r>
          </w:p>
        </w:tc>
      </w:tr>
      <w:tr w:rsidR="00A41391" w:rsidRPr="006D311A" w14:paraId="66109807" w14:textId="77777777" w:rsidTr="007641CC">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52A70105" w14:textId="77777777" w:rsidR="00A41391" w:rsidRPr="00A41391" w:rsidRDefault="00A41391"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Revenue</w:t>
            </w:r>
          </w:p>
        </w:tc>
        <w:tc>
          <w:tcPr>
            <w:tcW w:w="5881"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DF06B1" w14:textId="5A940D1D" w:rsidR="00A41391" w:rsidRPr="006D311A" w:rsidRDefault="00A41391" w:rsidP="007641CC">
            <w:pPr>
              <w:spacing w:after="0" w:line="240" w:lineRule="auto"/>
              <w:rPr>
                <w:rFonts w:ascii="Aptos Narrow" w:eastAsia="Times New Roman" w:hAnsi="Aptos Narrow"/>
                <w:color w:val="000000"/>
              </w:rPr>
            </w:pPr>
            <w:r w:rsidRPr="00A41391">
              <w:rPr>
                <w:rFonts w:ascii="Aptos Narrow" w:eastAsia="Times New Roman" w:hAnsi="Aptos Narrow"/>
                <w:color w:val="000000"/>
              </w:rPr>
              <w:t>$50,000/month starting after Year 1</w:t>
            </w:r>
          </w:p>
        </w:tc>
      </w:tr>
      <w:tr w:rsidR="00A41391" w:rsidRPr="006D311A" w14:paraId="28D770CF" w14:textId="77777777" w:rsidTr="007641CC">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25A53BC1" w14:textId="77777777" w:rsidR="00A41391" w:rsidRPr="00A41391" w:rsidRDefault="00A41391"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Payback Calculation</w:t>
            </w:r>
          </w:p>
        </w:tc>
        <w:tc>
          <w:tcPr>
            <w:tcW w:w="5881" w:type="dxa"/>
            <w:tcBorders>
              <w:top w:val="single" w:sz="4" w:space="0" w:color="FFFFFF"/>
              <w:left w:val="single" w:sz="4" w:space="0" w:color="FFFFFF"/>
              <w:bottom w:val="single" w:sz="4" w:space="0" w:color="FFFFFF"/>
              <w:right w:val="single" w:sz="4" w:space="0" w:color="FFFFFF"/>
            </w:tcBorders>
            <w:shd w:val="clear" w:color="A6A6A6" w:fill="A6A6A6"/>
            <w:noWrap/>
            <w:vAlign w:val="bottom"/>
          </w:tcPr>
          <w:p w14:paraId="0496B914" w14:textId="77777777" w:rsidR="005A776E" w:rsidRPr="005A776E" w:rsidRDefault="005A776E" w:rsidP="005A776E">
            <w:pPr>
              <w:spacing w:after="0" w:line="240" w:lineRule="auto"/>
              <w:rPr>
                <w:rFonts w:ascii="Aptos Narrow" w:eastAsia="Times New Roman" w:hAnsi="Aptos Narrow"/>
                <w:color w:val="000000"/>
              </w:rPr>
            </w:pPr>
            <w:r w:rsidRPr="005A776E">
              <w:rPr>
                <w:rFonts w:ascii="Aptos Narrow" w:eastAsia="Times New Roman" w:hAnsi="Aptos Narrow"/>
                <w:color w:val="000000"/>
              </w:rPr>
              <w:t>Year 1: $0 revenue</w:t>
            </w:r>
          </w:p>
          <w:p w14:paraId="2546DE74" w14:textId="77777777" w:rsidR="005A776E" w:rsidRPr="005A776E" w:rsidRDefault="005A776E" w:rsidP="005A776E">
            <w:pPr>
              <w:spacing w:after="0" w:line="240" w:lineRule="auto"/>
              <w:rPr>
                <w:rFonts w:ascii="Aptos Narrow" w:eastAsia="Times New Roman" w:hAnsi="Aptos Narrow"/>
                <w:color w:val="000000"/>
              </w:rPr>
            </w:pPr>
          </w:p>
          <w:p w14:paraId="2AD0C5BC" w14:textId="77777777" w:rsidR="005A776E" w:rsidRPr="005A776E" w:rsidRDefault="005A776E" w:rsidP="005A776E">
            <w:pPr>
              <w:spacing w:after="0" w:line="240" w:lineRule="auto"/>
              <w:rPr>
                <w:rFonts w:ascii="Aptos Narrow" w:eastAsia="Times New Roman" w:hAnsi="Aptos Narrow"/>
                <w:color w:val="000000"/>
              </w:rPr>
            </w:pPr>
            <w:r w:rsidRPr="005A776E">
              <w:rPr>
                <w:rFonts w:ascii="Aptos Narrow" w:eastAsia="Times New Roman" w:hAnsi="Aptos Narrow"/>
                <w:color w:val="000000"/>
              </w:rPr>
              <w:t>Year 2 onward: $600,000/year</w:t>
            </w:r>
          </w:p>
          <w:p w14:paraId="263E7C9D" w14:textId="77777777" w:rsidR="005A776E" w:rsidRPr="005A776E" w:rsidRDefault="005A776E" w:rsidP="005A776E">
            <w:pPr>
              <w:spacing w:after="0" w:line="240" w:lineRule="auto"/>
              <w:rPr>
                <w:rFonts w:ascii="Aptos Narrow" w:eastAsia="Times New Roman" w:hAnsi="Aptos Narrow"/>
                <w:color w:val="000000"/>
              </w:rPr>
            </w:pPr>
          </w:p>
          <w:p w14:paraId="37DCB34D" w14:textId="463F592B" w:rsidR="00A41391" w:rsidRPr="006D311A" w:rsidRDefault="005A776E" w:rsidP="005A776E">
            <w:pPr>
              <w:spacing w:after="0" w:line="240" w:lineRule="auto"/>
              <w:rPr>
                <w:rFonts w:ascii="Aptos Narrow" w:eastAsia="Times New Roman" w:hAnsi="Aptos Narrow"/>
                <w:color w:val="000000"/>
              </w:rPr>
            </w:pPr>
            <w:r w:rsidRPr="005A776E">
              <w:rPr>
                <w:rFonts w:ascii="Aptos Narrow" w:eastAsia="Times New Roman" w:hAnsi="Aptos Narrow"/>
                <w:color w:val="000000"/>
                <w:highlight w:val="yellow"/>
              </w:rPr>
              <w:t>Payback period: ~2 years</w:t>
            </w:r>
          </w:p>
        </w:tc>
      </w:tr>
      <w:tr w:rsidR="00A41391" w:rsidRPr="006D311A" w14:paraId="3F1DE1F6" w14:textId="77777777" w:rsidTr="007641CC">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tcPr>
          <w:p w14:paraId="6C0F74E3" w14:textId="77777777" w:rsidR="00A41391" w:rsidRPr="00A41391" w:rsidRDefault="00A41391"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lastRenderedPageBreak/>
              <w:t>Pros</w:t>
            </w:r>
          </w:p>
        </w:tc>
        <w:tc>
          <w:tcPr>
            <w:tcW w:w="5881" w:type="dxa"/>
            <w:tcBorders>
              <w:top w:val="single" w:sz="4" w:space="0" w:color="FFFFFF"/>
              <w:left w:val="single" w:sz="4" w:space="0" w:color="FFFFFF"/>
              <w:bottom w:val="single" w:sz="4" w:space="0" w:color="FFFFFF"/>
              <w:right w:val="single" w:sz="4" w:space="0" w:color="FFFFFF"/>
            </w:tcBorders>
            <w:shd w:val="clear" w:color="D9D9D9" w:fill="D9D9D9"/>
            <w:noWrap/>
            <w:vAlign w:val="bottom"/>
          </w:tcPr>
          <w:p w14:paraId="28041171" w14:textId="3BAD0F87" w:rsidR="00A41391" w:rsidRPr="006D311A" w:rsidRDefault="005A776E" w:rsidP="007641CC">
            <w:pPr>
              <w:spacing w:after="0" w:line="240" w:lineRule="auto"/>
              <w:rPr>
                <w:rFonts w:ascii="Aptos Narrow" w:eastAsia="Times New Roman" w:hAnsi="Aptos Narrow"/>
                <w:color w:val="000000"/>
              </w:rPr>
            </w:pPr>
            <w:r w:rsidRPr="005A776E">
              <w:rPr>
                <w:rFonts w:ascii="Aptos Narrow" w:eastAsia="Times New Roman" w:hAnsi="Aptos Narrow"/>
                <w:color w:val="000000"/>
              </w:rPr>
              <w:t>Low capital outlay, steady income, low risk</w:t>
            </w:r>
          </w:p>
        </w:tc>
      </w:tr>
      <w:tr w:rsidR="00A41391" w:rsidRPr="006D311A" w14:paraId="677DD331" w14:textId="77777777" w:rsidTr="007641CC">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tcPr>
          <w:p w14:paraId="78725FE6" w14:textId="77777777" w:rsidR="00A41391" w:rsidRPr="00A41391" w:rsidRDefault="00A41391"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Cons</w:t>
            </w:r>
          </w:p>
        </w:tc>
        <w:tc>
          <w:tcPr>
            <w:tcW w:w="5881" w:type="dxa"/>
            <w:tcBorders>
              <w:top w:val="single" w:sz="4" w:space="0" w:color="FFFFFF"/>
              <w:left w:val="single" w:sz="4" w:space="0" w:color="FFFFFF"/>
              <w:bottom w:val="single" w:sz="4" w:space="0" w:color="FFFFFF"/>
              <w:right w:val="single" w:sz="4" w:space="0" w:color="FFFFFF"/>
            </w:tcBorders>
            <w:shd w:val="clear" w:color="A6A6A6" w:fill="A6A6A6"/>
            <w:noWrap/>
            <w:vAlign w:val="bottom"/>
          </w:tcPr>
          <w:p w14:paraId="56D5E9F9" w14:textId="1240E837" w:rsidR="00A41391" w:rsidRPr="006D311A" w:rsidRDefault="005A776E" w:rsidP="007641CC">
            <w:pPr>
              <w:spacing w:after="0" w:line="240" w:lineRule="auto"/>
              <w:rPr>
                <w:rFonts w:ascii="Aptos Narrow" w:eastAsia="Times New Roman" w:hAnsi="Aptos Narrow"/>
                <w:color w:val="000000"/>
              </w:rPr>
            </w:pPr>
            <w:r w:rsidRPr="005A776E">
              <w:rPr>
                <w:rFonts w:ascii="Aptos Narrow" w:eastAsia="Times New Roman" w:hAnsi="Aptos Narrow"/>
                <w:color w:val="000000"/>
              </w:rPr>
              <w:t>Limited revenue, dependency on government contracts</w:t>
            </w:r>
          </w:p>
        </w:tc>
      </w:tr>
    </w:tbl>
    <w:p w14:paraId="20B90E8C" w14:textId="77777777" w:rsidR="00A41391" w:rsidRDefault="00A41391" w:rsidP="00A41391">
      <w:pPr>
        <w:spacing w:after="0" w:line="480" w:lineRule="auto"/>
        <w:ind w:firstLine="720"/>
        <w:rPr>
          <w:rFonts w:ascii="Times New Roman" w:eastAsia="Times New Roman" w:hAnsi="Times New Roman"/>
          <w:sz w:val="24"/>
          <w:szCs w:val="24"/>
        </w:rPr>
      </w:pPr>
    </w:p>
    <w:p w14:paraId="541DFE13" w14:textId="5C641296" w:rsidR="00A41391" w:rsidRPr="00A41391" w:rsidRDefault="00A41391" w:rsidP="00A41391">
      <w:pPr>
        <w:pStyle w:val="Heading2"/>
        <w:rPr>
          <w:rFonts w:eastAsia="Calibri"/>
        </w:rPr>
      </w:pPr>
      <w:r w:rsidRPr="00A41391">
        <w:rPr>
          <w:rFonts w:eastAsia="Calibri"/>
        </w:rPr>
        <w:t>Housing Network Development</w:t>
      </w:r>
      <w:r>
        <w:t>:</w:t>
      </w:r>
    </w:p>
    <w:p w14:paraId="439E75E3" w14:textId="4A13714A" w:rsidR="00A41391" w:rsidRDefault="00A41391" w:rsidP="00A41391">
      <w:pPr>
        <w:spacing w:after="0" w:line="480" w:lineRule="auto"/>
        <w:ind w:firstLine="720"/>
        <w:rPr>
          <w:rFonts w:ascii="Times New Roman" w:eastAsia="Times New Roman" w:hAnsi="Times New Roman"/>
          <w:sz w:val="24"/>
          <w:szCs w:val="24"/>
        </w:rPr>
      </w:pPr>
      <w:r w:rsidRPr="00A41391">
        <w:rPr>
          <w:rFonts w:ascii="Times New Roman" w:eastAsia="Times New Roman" w:hAnsi="Times New Roman"/>
          <w:sz w:val="24"/>
          <w:szCs w:val="24"/>
        </w:rPr>
        <w:t>A real estate initiative involving the construction of single-family and multi-family housing units. Designed for both sales and rental income</w:t>
      </w:r>
    </w:p>
    <w:tbl>
      <w:tblPr>
        <w:tblW w:w="9360" w:type="dxa"/>
        <w:tblLook w:val="04A0" w:firstRow="1" w:lastRow="0" w:firstColumn="1" w:lastColumn="0" w:noHBand="0" w:noVBand="1"/>
      </w:tblPr>
      <w:tblGrid>
        <w:gridCol w:w="3479"/>
        <w:gridCol w:w="5881"/>
      </w:tblGrid>
      <w:tr w:rsidR="005A776E" w:rsidRPr="006D311A" w14:paraId="087B9562" w14:textId="77777777" w:rsidTr="007641CC">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7A80E436" w14:textId="77777777" w:rsidR="005A776E" w:rsidRPr="00A41391" w:rsidRDefault="005A776E"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Capital Investment</w:t>
            </w:r>
          </w:p>
        </w:tc>
        <w:tc>
          <w:tcPr>
            <w:tcW w:w="5881" w:type="dxa"/>
            <w:tcBorders>
              <w:top w:val="single" w:sz="4" w:space="0" w:color="FFFFFF"/>
              <w:left w:val="single" w:sz="4" w:space="0" w:color="FFFFFF"/>
              <w:bottom w:val="single" w:sz="4" w:space="0" w:color="FFFFFF"/>
              <w:right w:val="single" w:sz="4" w:space="0" w:color="FFFFFF"/>
            </w:tcBorders>
            <w:shd w:val="clear" w:color="A6A6A6" w:fill="A6A6A6"/>
            <w:noWrap/>
            <w:vAlign w:val="bottom"/>
          </w:tcPr>
          <w:p w14:paraId="3DBFF736" w14:textId="0B8202F4" w:rsidR="005A776E" w:rsidRPr="006D311A" w:rsidRDefault="005A776E" w:rsidP="007641CC">
            <w:pPr>
              <w:spacing w:after="0" w:line="240" w:lineRule="auto"/>
              <w:rPr>
                <w:rFonts w:ascii="Aptos Narrow" w:eastAsia="Times New Roman" w:hAnsi="Aptos Narrow"/>
                <w:color w:val="000000"/>
              </w:rPr>
            </w:pPr>
            <w:r w:rsidRPr="005A776E">
              <w:rPr>
                <w:rFonts w:ascii="Aptos Narrow" w:eastAsia="Times New Roman" w:hAnsi="Aptos Narrow"/>
                <w:color w:val="000000"/>
              </w:rPr>
              <w:t>$10 million (requires financing at 10% interest)</w:t>
            </w:r>
          </w:p>
        </w:tc>
      </w:tr>
      <w:tr w:rsidR="005A776E" w:rsidRPr="006D311A" w14:paraId="47F1836F" w14:textId="77777777" w:rsidTr="007641CC">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081E7E03" w14:textId="77777777" w:rsidR="005A776E" w:rsidRPr="00A41391" w:rsidRDefault="005A776E"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Revenue</w:t>
            </w:r>
          </w:p>
        </w:tc>
        <w:tc>
          <w:tcPr>
            <w:tcW w:w="5881"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30BF01A" w14:textId="77777777" w:rsidR="005A776E" w:rsidRPr="005A776E" w:rsidRDefault="005A776E" w:rsidP="005A776E">
            <w:pPr>
              <w:spacing w:after="0" w:line="240" w:lineRule="auto"/>
              <w:rPr>
                <w:rFonts w:ascii="Aptos Narrow" w:eastAsia="Times New Roman" w:hAnsi="Aptos Narrow"/>
                <w:color w:val="000000"/>
              </w:rPr>
            </w:pPr>
            <w:r w:rsidRPr="005A776E">
              <w:rPr>
                <w:rFonts w:ascii="Aptos Narrow" w:eastAsia="Times New Roman" w:hAnsi="Aptos Narrow"/>
                <w:color w:val="000000"/>
              </w:rPr>
              <w:t>Year 1: Construction</w:t>
            </w:r>
          </w:p>
          <w:p w14:paraId="0C06ED31" w14:textId="77777777" w:rsidR="005A776E" w:rsidRPr="005A776E" w:rsidRDefault="005A776E" w:rsidP="005A776E">
            <w:pPr>
              <w:spacing w:after="0" w:line="240" w:lineRule="auto"/>
              <w:rPr>
                <w:rFonts w:ascii="Aptos Narrow" w:eastAsia="Times New Roman" w:hAnsi="Aptos Narrow"/>
                <w:color w:val="000000"/>
              </w:rPr>
            </w:pPr>
          </w:p>
          <w:p w14:paraId="00C618D1" w14:textId="77777777" w:rsidR="005A776E" w:rsidRPr="005A776E" w:rsidRDefault="005A776E" w:rsidP="005A776E">
            <w:pPr>
              <w:spacing w:after="0" w:line="240" w:lineRule="auto"/>
              <w:rPr>
                <w:rFonts w:ascii="Aptos Narrow" w:eastAsia="Times New Roman" w:hAnsi="Aptos Narrow"/>
                <w:color w:val="000000"/>
              </w:rPr>
            </w:pPr>
            <w:r w:rsidRPr="005A776E">
              <w:rPr>
                <w:rFonts w:ascii="Aptos Narrow" w:eastAsia="Times New Roman" w:hAnsi="Aptos Narrow"/>
                <w:color w:val="000000"/>
              </w:rPr>
              <w:t xml:space="preserve">Year 2: Sell 12 </w:t>
            </w:r>
            <w:proofErr w:type="gramStart"/>
            <w:r w:rsidRPr="005A776E">
              <w:rPr>
                <w:rFonts w:ascii="Aptos Narrow" w:eastAsia="Times New Roman" w:hAnsi="Aptos Narrow"/>
                <w:color w:val="000000"/>
              </w:rPr>
              <w:t>homes @</w:t>
            </w:r>
            <w:proofErr w:type="gramEnd"/>
            <w:r w:rsidRPr="005A776E">
              <w:rPr>
                <w:rFonts w:ascii="Aptos Narrow" w:eastAsia="Times New Roman" w:hAnsi="Aptos Narrow"/>
                <w:color w:val="000000"/>
              </w:rPr>
              <w:t xml:space="preserve"> $450,000 = $5.4 million</w:t>
            </w:r>
          </w:p>
          <w:p w14:paraId="4AB2BD40" w14:textId="77777777" w:rsidR="005A776E" w:rsidRPr="005A776E" w:rsidRDefault="005A776E" w:rsidP="005A776E">
            <w:pPr>
              <w:spacing w:after="0" w:line="240" w:lineRule="auto"/>
              <w:rPr>
                <w:rFonts w:ascii="Aptos Narrow" w:eastAsia="Times New Roman" w:hAnsi="Aptos Narrow"/>
                <w:color w:val="000000"/>
              </w:rPr>
            </w:pPr>
          </w:p>
          <w:p w14:paraId="14D4EF6A" w14:textId="46132A59" w:rsidR="005A776E" w:rsidRPr="006D311A" w:rsidRDefault="005A776E" w:rsidP="005A776E">
            <w:pPr>
              <w:spacing w:after="0" w:line="240" w:lineRule="auto"/>
              <w:rPr>
                <w:rFonts w:ascii="Aptos Narrow" w:eastAsia="Times New Roman" w:hAnsi="Aptos Narrow"/>
                <w:color w:val="000000"/>
              </w:rPr>
            </w:pPr>
            <w:r w:rsidRPr="005A776E">
              <w:rPr>
                <w:rFonts w:ascii="Aptos Narrow" w:eastAsia="Times New Roman" w:hAnsi="Aptos Narrow"/>
                <w:color w:val="000000"/>
              </w:rPr>
              <w:t>Year 3 onward: $70,000/month from multifamily units = $840,000/year</w:t>
            </w:r>
          </w:p>
        </w:tc>
      </w:tr>
      <w:tr w:rsidR="005A776E" w:rsidRPr="006D311A" w14:paraId="1AC10016" w14:textId="77777777" w:rsidTr="007641CC">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174C0F92" w14:textId="77777777" w:rsidR="005A776E" w:rsidRPr="00A41391" w:rsidRDefault="005A776E"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Payback Calculation</w:t>
            </w:r>
          </w:p>
        </w:tc>
        <w:tc>
          <w:tcPr>
            <w:tcW w:w="5881" w:type="dxa"/>
            <w:tcBorders>
              <w:top w:val="single" w:sz="4" w:space="0" w:color="FFFFFF"/>
              <w:left w:val="single" w:sz="4" w:space="0" w:color="FFFFFF"/>
              <w:bottom w:val="single" w:sz="4" w:space="0" w:color="FFFFFF"/>
              <w:right w:val="single" w:sz="4" w:space="0" w:color="FFFFFF"/>
            </w:tcBorders>
            <w:shd w:val="clear" w:color="A6A6A6" w:fill="A6A6A6"/>
            <w:noWrap/>
            <w:vAlign w:val="bottom"/>
          </w:tcPr>
          <w:p w14:paraId="048B22B3" w14:textId="77777777" w:rsidR="005A776E" w:rsidRPr="005A776E" w:rsidRDefault="005A776E" w:rsidP="005A776E">
            <w:pPr>
              <w:spacing w:after="0" w:line="240" w:lineRule="auto"/>
              <w:rPr>
                <w:rFonts w:ascii="Aptos Narrow" w:eastAsia="Times New Roman" w:hAnsi="Aptos Narrow"/>
                <w:color w:val="000000"/>
              </w:rPr>
            </w:pPr>
            <w:r w:rsidRPr="005A776E">
              <w:rPr>
                <w:rFonts w:ascii="Aptos Narrow" w:eastAsia="Times New Roman" w:hAnsi="Aptos Narrow"/>
                <w:color w:val="000000"/>
              </w:rPr>
              <w:t>End of Year 2: $5.4 million (home sales)</w:t>
            </w:r>
          </w:p>
          <w:p w14:paraId="68BED63C" w14:textId="77777777" w:rsidR="005A776E" w:rsidRPr="005A776E" w:rsidRDefault="005A776E" w:rsidP="005A776E">
            <w:pPr>
              <w:spacing w:after="0" w:line="240" w:lineRule="auto"/>
              <w:rPr>
                <w:rFonts w:ascii="Aptos Narrow" w:eastAsia="Times New Roman" w:hAnsi="Aptos Narrow"/>
                <w:color w:val="000000"/>
              </w:rPr>
            </w:pPr>
          </w:p>
          <w:p w14:paraId="6A3BFF60" w14:textId="1274C7C8" w:rsidR="005A776E" w:rsidRPr="006D311A" w:rsidRDefault="005A776E" w:rsidP="005A776E">
            <w:pPr>
              <w:spacing w:after="0" w:line="240" w:lineRule="auto"/>
              <w:rPr>
                <w:rFonts w:ascii="Aptos Narrow" w:eastAsia="Times New Roman" w:hAnsi="Aptos Narrow"/>
                <w:color w:val="000000"/>
              </w:rPr>
            </w:pPr>
            <w:r w:rsidRPr="005A776E">
              <w:rPr>
                <w:rFonts w:ascii="Aptos Narrow" w:eastAsia="Times New Roman" w:hAnsi="Aptos Narrow"/>
                <w:color w:val="000000"/>
                <w:highlight w:val="yellow"/>
              </w:rPr>
              <w:t>Additional 5+ years to reco</w:t>
            </w:r>
            <w:r w:rsidRPr="005A776E">
              <w:rPr>
                <w:rFonts w:ascii="Aptos Narrow" w:eastAsia="Times New Roman" w:hAnsi="Aptos Narrow"/>
                <w:color w:val="000000"/>
                <w:highlight w:val="yellow"/>
              </w:rPr>
              <w:t>ver</w:t>
            </w:r>
            <w:r w:rsidRPr="005A776E">
              <w:rPr>
                <w:rFonts w:ascii="Aptos Narrow" w:eastAsia="Times New Roman" w:hAnsi="Aptos Narrow"/>
                <w:color w:val="000000"/>
                <w:highlight w:val="yellow"/>
              </w:rPr>
              <w:t xml:space="preserve"> </w:t>
            </w:r>
            <w:r w:rsidRPr="005A776E">
              <w:rPr>
                <w:rFonts w:ascii="Aptos Narrow" w:eastAsia="Times New Roman" w:hAnsi="Aptos Narrow"/>
                <w:color w:val="000000"/>
                <w:highlight w:val="yellow"/>
              </w:rPr>
              <w:t>the remaining</w:t>
            </w:r>
            <w:r w:rsidRPr="005A776E">
              <w:rPr>
                <w:rFonts w:ascii="Aptos Narrow" w:eastAsia="Times New Roman" w:hAnsi="Aptos Narrow"/>
                <w:color w:val="000000"/>
                <w:highlight w:val="yellow"/>
              </w:rPr>
              <w:t xml:space="preserve"> $4.6 million (plus interest), </w:t>
            </w:r>
            <w:r w:rsidRPr="005A776E">
              <w:rPr>
                <w:rFonts w:ascii="Aptos Narrow" w:eastAsia="Times New Roman" w:hAnsi="Aptos Narrow"/>
                <w:color w:val="000000"/>
                <w:highlight w:val="yellow"/>
              </w:rPr>
              <w:t xml:space="preserve">so it takes </w:t>
            </w:r>
            <w:r w:rsidRPr="005A776E">
              <w:rPr>
                <w:rFonts w:ascii="Aptos Narrow" w:eastAsia="Times New Roman" w:hAnsi="Aptos Narrow"/>
                <w:color w:val="000000"/>
                <w:highlight w:val="yellow"/>
              </w:rPr>
              <w:t>over 7 years total</w:t>
            </w:r>
          </w:p>
        </w:tc>
      </w:tr>
      <w:tr w:rsidR="005A776E" w:rsidRPr="006D311A" w14:paraId="1354E9D9" w14:textId="77777777" w:rsidTr="007641CC">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tcPr>
          <w:p w14:paraId="792D0948" w14:textId="77777777" w:rsidR="005A776E" w:rsidRPr="00A41391" w:rsidRDefault="005A776E"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Pros</w:t>
            </w:r>
          </w:p>
        </w:tc>
        <w:tc>
          <w:tcPr>
            <w:tcW w:w="5881" w:type="dxa"/>
            <w:tcBorders>
              <w:top w:val="single" w:sz="4" w:space="0" w:color="FFFFFF"/>
              <w:left w:val="single" w:sz="4" w:space="0" w:color="FFFFFF"/>
              <w:bottom w:val="single" w:sz="4" w:space="0" w:color="FFFFFF"/>
              <w:right w:val="single" w:sz="4" w:space="0" w:color="FFFFFF"/>
            </w:tcBorders>
            <w:shd w:val="clear" w:color="D9D9D9" w:fill="D9D9D9"/>
            <w:noWrap/>
            <w:vAlign w:val="bottom"/>
          </w:tcPr>
          <w:p w14:paraId="4FC9FF53" w14:textId="0620BE20" w:rsidR="005A776E" w:rsidRPr="006D311A" w:rsidRDefault="005A776E" w:rsidP="007641CC">
            <w:pPr>
              <w:spacing w:after="0" w:line="240" w:lineRule="auto"/>
              <w:rPr>
                <w:rFonts w:ascii="Aptos Narrow" w:eastAsia="Times New Roman" w:hAnsi="Aptos Narrow"/>
                <w:color w:val="000000"/>
              </w:rPr>
            </w:pPr>
            <w:r w:rsidRPr="005A776E">
              <w:rPr>
                <w:rFonts w:ascii="Aptos Narrow" w:eastAsia="Times New Roman" w:hAnsi="Aptos Narrow"/>
                <w:color w:val="000000"/>
              </w:rPr>
              <w:t>Tangible assets, housing demand, multiple revenue streams</w:t>
            </w:r>
          </w:p>
        </w:tc>
      </w:tr>
      <w:tr w:rsidR="005A776E" w:rsidRPr="006D311A" w14:paraId="42D1240C" w14:textId="77777777" w:rsidTr="007641CC">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tcPr>
          <w:p w14:paraId="3B9BE361" w14:textId="77777777" w:rsidR="005A776E" w:rsidRPr="00A41391" w:rsidRDefault="005A776E" w:rsidP="007641CC">
            <w:pPr>
              <w:spacing w:after="0" w:line="240" w:lineRule="auto"/>
              <w:rPr>
                <w:rFonts w:ascii="Aptos Narrow" w:eastAsia="Times New Roman" w:hAnsi="Aptos Narrow"/>
                <w:b/>
                <w:bCs/>
                <w:color w:val="000000"/>
              </w:rPr>
            </w:pPr>
            <w:r w:rsidRPr="00A41391">
              <w:rPr>
                <w:rFonts w:ascii="Aptos Narrow" w:eastAsia="Times New Roman" w:hAnsi="Aptos Narrow"/>
                <w:b/>
                <w:bCs/>
                <w:color w:val="000000"/>
              </w:rPr>
              <w:t>Cons</w:t>
            </w:r>
          </w:p>
        </w:tc>
        <w:tc>
          <w:tcPr>
            <w:tcW w:w="5881" w:type="dxa"/>
            <w:tcBorders>
              <w:top w:val="single" w:sz="4" w:space="0" w:color="FFFFFF"/>
              <w:left w:val="single" w:sz="4" w:space="0" w:color="FFFFFF"/>
              <w:bottom w:val="single" w:sz="4" w:space="0" w:color="FFFFFF"/>
              <w:right w:val="single" w:sz="4" w:space="0" w:color="FFFFFF"/>
            </w:tcBorders>
            <w:shd w:val="clear" w:color="A6A6A6" w:fill="A6A6A6"/>
            <w:noWrap/>
            <w:vAlign w:val="bottom"/>
          </w:tcPr>
          <w:p w14:paraId="666EC6E5" w14:textId="592ABB06" w:rsidR="005A776E" w:rsidRPr="006D311A" w:rsidRDefault="005A776E" w:rsidP="007641CC">
            <w:pPr>
              <w:spacing w:after="0" w:line="240" w:lineRule="auto"/>
              <w:rPr>
                <w:rFonts w:ascii="Aptos Narrow" w:eastAsia="Times New Roman" w:hAnsi="Aptos Narrow"/>
                <w:color w:val="000000"/>
              </w:rPr>
            </w:pPr>
            <w:r w:rsidRPr="005A776E">
              <w:rPr>
                <w:rFonts w:ascii="Aptos Narrow" w:eastAsia="Times New Roman" w:hAnsi="Aptos Narrow"/>
                <w:color w:val="000000"/>
              </w:rPr>
              <w:t>High financial risk, delayed returns, interest burden</w:t>
            </w:r>
          </w:p>
        </w:tc>
      </w:tr>
    </w:tbl>
    <w:p w14:paraId="460BF41D" w14:textId="77777777" w:rsidR="00364F7D" w:rsidRDefault="00364F7D" w:rsidP="005A3951">
      <w:pPr>
        <w:pStyle w:val="Heading1"/>
        <w:jc w:val="center"/>
      </w:pPr>
    </w:p>
    <w:p w14:paraId="0E172F37" w14:textId="6F9519CE" w:rsidR="00030C32" w:rsidRDefault="00030C32" w:rsidP="005A3951">
      <w:pPr>
        <w:pStyle w:val="Heading1"/>
        <w:jc w:val="center"/>
      </w:pPr>
      <w:r w:rsidRPr="00784D35">
        <w:t>References</w:t>
      </w:r>
    </w:p>
    <w:p w14:paraId="429BD708" w14:textId="77777777" w:rsidR="00364F7D" w:rsidRDefault="0023044B" w:rsidP="0023044B">
      <w:pPr>
        <w:pStyle w:val="NormalWeb"/>
        <w:spacing w:after="0"/>
        <w:ind w:firstLine="720"/>
        <w:rPr>
          <w:sz w:val="20"/>
          <w:szCs w:val="20"/>
        </w:rPr>
      </w:pPr>
      <w:r w:rsidRPr="00364F7D">
        <w:rPr>
          <w:sz w:val="20"/>
          <w:szCs w:val="20"/>
        </w:rPr>
        <w:t>"</w:t>
      </w:r>
      <w:r w:rsidRPr="00364F7D">
        <w:rPr>
          <w:b/>
          <w:bCs/>
          <w:sz w:val="20"/>
          <w:szCs w:val="20"/>
        </w:rPr>
        <w:t>Project Management: A Systems Approach to Planning, Scheduling, and Controlling</w:t>
      </w:r>
      <w:r w:rsidRPr="00364F7D">
        <w:rPr>
          <w:sz w:val="20"/>
          <w:szCs w:val="20"/>
        </w:rPr>
        <w:t>"</w:t>
      </w:r>
      <w:r w:rsidRPr="00364F7D">
        <w:rPr>
          <w:sz w:val="20"/>
          <w:szCs w:val="20"/>
        </w:rPr>
        <w:t xml:space="preserve"> </w:t>
      </w:r>
    </w:p>
    <w:p w14:paraId="1DCB42BC" w14:textId="23DF2504" w:rsidR="0023044B" w:rsidRPr="00364F7D" w:rsidRDefault="0023044B" w:rsidP="0023044B">
      <w:pPr>
        <w:pStyle w:val="NormalWeb"/>
        <w:spacing w:after="0"/>
        <w:ind w:firstLine="720"/>
        <w:rPr>
          <w:sz w:val="20"/>
          <w:szCs w:val="20"/>
        </w:rPr>
      </w:pPr>
      <w:r w:rsidRPr="00364F7D">
        <w:rPr>
          <w:sz w:val="20"/>
          <w:szCs w:val="20"/>
        </w:rPr>
        <w:t>by Harold Kerzner</w:t>
      </w:r>
    </w:p>
    <w:p w14:paraId="19CBEBD5" w14:textId="77777777" w:rsidR="0023044B" w:rsidRPr="00364F7D" w:rsidRDefault="0023044B" w:rsidP="0023044B">
      <w:pPr>
        <w:pStyle w:val="NormalWeb"/>
        <w:spacing w:after="0"/>
        <w:ind w:left="720" w:firstLine="720"/>
        <w:rPr>
          <w:sz w:val="20"/>
          <w:szCs w:val="20"/>
        </w:rPr>
      </w:pPr>
      <w:r w:rsidRPr="00364F7D">
        <w:rPr>
          <w:sz w:val="20"/>
          <w:szCs w:val="20"/>
        </w:rPr>
        <w:t>A foundational book for project evaluation, risk assessment, cost estimation, and stakeholder engagement.</w:t>
      </w:r>
    </w:p>
    <w:p w14:paraId="3F23136F" w14:textId="6A29E5D6" w:rsidR="0023044B" w:rsidRPr="00364F7D" w:rsidRDefault="0023044B" w:rsidP="0023044B">
      <w:pPr>
        <w:pStyle w:val="NormalWeb"/>
        <w:spacing w:after="0"/>
        <w:ind w:left="720" w:firstLine="720"/>
        <w:rPr>
          <w:sz w:val="20"/>
          <w:szCs w:val="20"/>
        </w:rPr>
      </w:pPr>
      <w:hyperlink r:id="rId10" w:history="1">
        <w:r w:rsidRPr="00364F7D">
          <w:rPr>
            <w:rStyle w:val="Hyperlink"/>
            <w:sz w:val="20"/>
            <w:szCs w:val="20"/>
          </w:rPr>
          <w:t>https://learning-oreilly-com.csuglobal.idm.oclc.org/library/view/project-management-a/9780470278703/</w:t>
        </w:r>
      </w:hyperlink>
    </w:p>
    <w:p w14:paraId="7A54AD55" w14:textId="3B67041F" w:rsidR="0023044B" w:rsidRPr="00364F7D" w:rsidRDefault="0023044B" w:rsidP="0023044B">
      <w:pPr>
        <w:pStyle w:val="NormalWeb"/>
        <w:spacing w:after="0"/>
        <w:ind w:firstLine="720"/>
        <w:rPr>
          <w:sz w:val="20"/>
          <w:szCs w:val="20"/>
        </w:rPr>
      </w:pPr>
      <w:r w:rsidRPr="00364F7D">
        <w:rPr>
          <w:sz w:val="20"/>
          <w:szCs w:val="20"/>
        </w:rPr>
        <w:t>"</w:t>
      </w:r>
      <w:r w:rsidRPr="00364F7D">
        <w:rPr>
          <w:b/>
          <w:bCs/>
          <w:sz w:val="20"/>
          <w:szCs w:val="20"/>
        </w:rPr>
        <w:t>Measuring and Managing Performance in Organizations</w:t>
      </w:r>
      <w:r w:rsidRPr="00364F7D">
        <w:rPr>
          <w:sz w:val="20"/>
          <w:szCs w:val="20"/>
        </w:rPr>
        <w:t>"</w:t>
      </w:r>
      <w:r w:rsidRPr="00364F7D">
        <w:rPr>
          <w:sz w:val="20"/>
          <w:szCs w:val="20"/>
        </w:rPr>
        <w:t xml:space="preserve"> </w:t>
      </w:r>
      <w:r w:rsidRPr="00364F7D">
        <w:rPr>
          <w:sz w:val="20"/>
          <w:szCs w:val="20"/>
        </w:rPr>
        <w:t>by Robert D. Austin</w:t>
      </w:r>
    </w:p>
    <w:p w14:paraId="1D8A8347" w14:textId="77777777" w:rsidR="0023044B" w:rsidRPr="00364F7D" w:rsidRDefault="0023044B" w:rsidP="0023044B">
      <w:pPr>
        <w:pStyle w:val="NormalWeb"/>
        <w:spacing w:after="0"/>
        <w:ind w:left="720" w:firstLine="720"/>
        <w:rPr>
          <w:sz w:val="20"/>
          <w:szCs w:val="20"/>
        </w:rPr>
      </w:pPr>
      <w:r w:rsidRPr="00364F7D">
        <w:rPr>
          <w:sz w:val="20"/>
          <w:szCs w:val="20"/>
        </w:rPr>
        <w:t>Offers insights into quantifying project success and handling trade-offs in investments and expected returns.</w:t>
      </w:r>
    </w:p>
    <w:p w14:paraId="42190B8B" w14:textId="553EAAE0" w:rsidR="00A10AC0" w:rsidRPr="00364F7D" w:rsidRDefault="005A3951" w:rsidP="0023044B">
      <w:pPr>
        <w:pStyle w:val="NormalWeb"/>
        <w:spacing w:after="0"/>
        <w:ind w:left="720" w:firstLine="720"/>
        <w:rPr>
          <w:sz w:val="20"/>
          <w:szCs w:val="20"/>
        </w:rPr>
      </w:pPr>
      <w:hyperlink r:id="rId11" w:history="1">
        <w:r w:rsidRPr="00364F7D">
          <w:rPr>
            <w:rStyle w:val="Hyperlink"/>
            <w:sz w:val="20"/>
            <w:szCs w:val="20"/>
          </w:rPr>
          <w:t>https://learning-oreilly-com.csuglobal.idm.oclc.org/library/view/measuring-and-managing/9780133488425/?ar=&amp;email=MT3OraT%2B%2FQPH11KS%2F7Dup5a1kwBcMookmqoXI%2BcUMLbAvNW2BuWroTeSYIPg6DX6&amp;tstamp=1747576285&amp;id=D1883ED96BCF413CCB06E62CCEDEBC4999825314</w:t>
        </w:r>
      </w:hyperlink>
    </w:p>
    <w:p w14:paraId="7CD73559" w14:textId="77777777" w:rsidR="0023044B" w:rsidRPr="00A10AC0" w:rsidRDefault="0023044B" w:rsidP="00A10AC0">
      <w:pPr>
        <w:pStyle w:val="NormalWeb"/>
        <w:spacing w:after="0"/>
        <w:ind w:firstLine="720"/>
      </w:pPr>
    </w:p>
    <w:sectPr w:rsidR="0023044B" w:rsidRPr="00A10AC0"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FC78F" w14:textId="77777777" w:rsidR="00A07100" w:rsidRDefault="00A07100" w:rsidP="00E4761C">
      <w:pPr>
        <w:spacing w:after="0" w:line="240" w:lineRule="auto"/>
      </w:pPr>
      <w:r>
        <w:separator/>
      </w:r>
    </w:p>
  </w:endnote>
  <w:endnote w:type="continuationSeparator" w:id="0">
    <w:p w14:paraId="294470F2" w14:textId="77777777" w:rsidR="00A07100" w:rsidRDefault="00A07100"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DD9EF" w14:textId="77777777" w:rsidR="00A07100" w:rsidRDefault="00A07100" w:rsidP="00E4761C">
      <w:pPr>
        <w:spacing w:after="0" w:line="240" w:lineRule="auto"/>
      </w:pPr>
      <w:r>
        <w:separator/>
      </w:r>
    </w:p>
  </w:footnote>
  <w:footnote w:type="continuationSeparator" w:id="0">
    <w:p w14:paraId="2E6E471E" w14:textId="77777777" w:rsidR="00A07100" w:rsidRDefault="00A07100"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76BCB"/>
    <w:multiLevelType w:val="hybridMultilevel"/>
    <w:tmpl w:val="B61E29B2"/>
    <w:lvl w:ilvl="0" w:tplc="2728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A4924"/>
    <w:multiLevelType w:val="hybridMultilevel"/>
    <w:tmpl w:val="6F128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163C2D"/>
    <w:multiLevelType w:val="hybridMultilevel"/>
    <w:tmpl w:val="02D2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61134"/>
    <w:multiLevelType w:val="hybridMultilevel"/>
    <w:tmpl w:val="37CE3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16BCF"/>
    <w:multiLevelType w:val="hybridMultilevel"/>
    <w:tmpl w:val="578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83EF4"/>
    <w:multiLevelType w:val="hybridMultilevel"/>
    <w:tmpl w:val="A4FC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54CE0"/>
    <w:multiLevelType w:val="hybridMultilevel"/>
    <w:tmpl w:val="D0141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C021E5F"/>
    <w:multiLevelType w:val="hybridMultilevel"/>
    <w:tmpl w:val="97D65AC2"/>
    <w:lvl w:ilvl="0" w:tplc="B22CB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0"/>
  </w:num>
  <w:num w:numId="2" w16cid:durableId="1604416313">
    <w:abstractNumId w:val="5"/>
  </w:num>
  <w:num w:numId="3" w16cid:durableId="266738189">
    <w:abstractNumId w:val="8"/>
  </w:num>
  <w:num w:numId="4" w16cid:durableId="166527668">
    <w:abstractNumId w:val="14"/>
  </w:num>
  <w:num w:numId="5" w16cid:durableId="1638607000">
    <w:abstractNumId w:val="16"/>
  </w:num>
  <w:num w:numId="6" w16cid:durableId="253440297">
    <w:abstractNumId w:val="2"/>
  </w:num>
  <w:num w:numId="7" w16cid:durableId="653950160">
    <w:abstractNumId w:val="3"/>
  </w:num>
  <w:num w:numId="8" w16cid:durableId="60980737">
    <w:abstractNumId w:val="9"/>
  </w:num>
  <w:num w:numId="9" w16cid:durableId="1165822658">
    <w:abstractNumId w:val="0"/>
  </w:num>
  <w:num w:numId="10" w16cid:durableId="1567063739">
    <w:abstractNumId w:val="1"/>
  </w:num>
  <w:num w:numId="11" w16cid:durableId="1129739525">
    <w:abstractNumId w:val="6"/>
  </w:num>
  <w:num w:numId="12" w16cid:durableId="482938639">
    <w:abstractNumId w:val="11"/>
  </w:num>
  <w:num w:numId="13" w16cid:durableId="647592626">
    <w:abstractNumId w:val="7"/>
  </w:num>
  <w:num w:numId="14" w16cid:durableId="8869469">
    <w:abstractNumId w:val="13"/>
  </w:num>
  <w:num w:numId="15" w16cid:durableId="208299970">
    <w:abstractNumId w:val="4"/>
  </w:num>
  <w:num w:numId="16" w16cid:durableId="625046264">
    <w:abstractNumId w:val="15"/>
  </w:num>
  <w:num w:numId="17" w16cid:durableId="1403436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3822"/>
    <w:rsid w:val="00086C7D"/>
    <w:rsid w:val="000D23D2"/>
    <w:rsid w:val="000E6503"/>
    <w:rsid w:val="000F169B"/>
    <w:rsid w:val="000F6B9D"/>
    <w:rsid w:val="001040EC"/>
    <w:rsid w:val="00113940"/>
    <w:rsid w:val="00131C5B"/>
    <w:rsid w:val="00157A4C"/>
    <w:rsid w:val="00172FCA"/>
    <w:rsid w:val="0018178E"/>
    <w:rsid w:val="0018453B"/>
    <w:rsid w:val="001B3755"/>
    <w:rsid w:val="001F1723"/>
    <w:rsid w:val="002055AC"/>
    <w:rsid w:val="00210C36"/>
    <w:rsid w:val="002238E1"/>
    <w:rsid w:val="0023044B"/>
    <w:rsid w:val="00233BB8"/>
    <w:rsid w:val="002533B0"/>
    <w:rsid w:val="002548C5"/>
    <w:rsid w:val="00260441"/>
    <w:rsid w:val="002A2350"/>
    <w:rsid w:val="002E1392"/>
    <w:rsid w:val="002E4BAC"/>
    <w:rsid w:val="00305A73"/>
    <w:rsid w:val="0035156D"/>
    <w:rsid w:val="00360344"/>
    <w:rsid w:val="00361531"/>
    <w:rsid w:val="0036357E"/>
    <w:rsid w:val="00364F7D"/>
    <w:rsid w:val="003D1F77"/>
    <w:rsid w:val="003F1E79"/>
    <w:rsid w:val="004039E6"/>
    <w:rsid w:val="0041710D"/>
    <w:rsid w:val="0041740B"/>
    <w:rsid w:val="00425E38"/>
    <w:rsid w:val="004575E9"/>
    <w:rsid w:val="0046012F"/>
    <w:rsid w:val="00466FD3"/>
    <w:rsid w:val="004741E4"/>
    <w:rsid w:val="00476971"/>
    <w:rsid w:val="004A787F"/>
    <w:rsid w:val="004D146E"/>
    <w:rsid w:val="004E081F"/>
    <w:rsid w:val="004F157B"/>
    <w:rsid w:val="004F2D41"/>
    <w:rsid w:val="00502468"/>
    <w:rsid w:val="00511AE9"/>
    <w:rsid w:val="00516476"/>
    <w:rsid w:val="00523BD5"/>
    <w:rsid w:val="00523DBF"/>
    <w:rsid w:val="005379CF"/>
    <w:rsid w:val="0056095C"/>
    <w:rsid w:val="00565DF3"/>
    <w:rsid w:val="00572B2D"/>
    <w:rsid w:val="00583926"/>
    <w:rsid w:val="00593C2C"/>
    <w:rsid w:val="00596B53"/>
    <w:rsid w:val="005A3951"/>
    <w:rsid w:val="005A776E"/>
    <w:rsid w:val="005C450C"/>
    <w:rsid w:val="005C5A9E"/>
    <w:rsid w:val="005E6369"/>
    <w:rsid w:val="00602ECF"/>
    <w:rsid w:val="006200BB"/>
    <w:rsid w:val="0064057C"/>
    <w:rsid w:val="00645E2D"/>
    <w:rsid w:val="006770C9"/>
    <w:rsid w:val="006C1910"/>
    <w:rsid w:val="006C3ABB"/>
    <w:rsid w:val="006E1312"/>
    <w:rsid w:val="006F2038"/>
    <w:rsid w:val="00724133"/>
    <w:rsid w:val="00734565"/>
    <w:rsid w:val="00766546"/>
    <w:rsid w:val="0078300E"/>
    <w:rsid w:val="00784CB1"/>
    <w:rsid w:val="00784D35"/>
    <w:rsid w:val="00786621"/>
    <w:rsid w:val="007C77E9"/>
    <w:rsid w:val="007E19D1"/>
    <w:rsid w:val="007E6B23"/>
    <w:rsid w:val="00800CD8"/>
    <w:rsid w:val="008171AF"/>
    <w:rsid w:val="00835E57"/>
    <w:rsid w:val="00840EC8"/>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07100"/>
    <w:rsid w:val="00A10AC0"/>
    <w:rsid w:val="00A34A18"/>
    <w:rsid w:val="00A41391"/>
    <w:rsid w:val="00A476A2"/>
    <w:rsid w:val="00AC32D0"/>
    <w:rsid w:val="00AD63B2"/>
    <w:rsid w:val="00AE067D"/>
    <w:rsid w:val="00B063E3"/>
    <w:rsid w:val="00B15ED7"/>
    <w:rsid w:val="00B20D74"/>
    <w:rsid w:val="00B51EAC"/>
    <w:rsid w:val="00B56D29"/>
    <w:rsid w:val="00B65C9A"/>
    <w:rsid w:val="00B767A4"/>
    <w:rsid w:val="00B92C96"/>
    <w:rsid w:val="00BB2829"/>
    <w:rsid w:val="00BC2ED5"/>
    <w:rsid w:val="00BD08D0"/>
    <w:rsid w:val="00BF7105"/>
    <w:rsid w:val="00C14531"/>
    <w:rsid w:val="00C15C7B"/>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A77DD"/>
    <w:rsid w:val="00DB3152"/>
    <w:rsid w:val="00DB7432"/>
    <w:rsid w:val="00DD4860"/>
    <w:rsid w:val="00E16BE4"/>
    <w:rsid w:val="00E24148"/>
    <w:rsid w:val="00E25580"/>
    <w:rsid w:val="00E26A2A"/>
    <w:rsid w:val="00E4761C"/>
    <w:rsid w:val="00E47F57"/>
    <w:rsid w:val="00E539C4"/>
    <w:rsid w:val="00E57A85"/>
    <w:rsid w:val="00E74CCC"/>
    <w:rsid w:val="00EA2C5B"/>
    <w:rsid w:val="00EA563F"/>
    <w:rsid w:val="00EB29FF"/>
    <w:rsid w:val="00F02539"/>
    <w:rsid w:val="00F04838"/>
    <w:rsid w:val="00F0662C"/>
    <w:rsid w:val="00F308A0"/>
    <w:rsid w:val="00F30A56"/>
    <w:rsid w:val="00F333FE"/>
    <w:rsid w:val="00F40381"/>
    <w:rsid w:val="00F46DF3"/>
    <w:rsid w:val="00F61329"/>
    <w:rsid w:val="00F637E8"/>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391"/>
    <w:pPr>
      <w:spacing w:after="200" w:line="276" w:lineRule="auto"/>
    </w:pPr>
    <w:rPr>
      <w:sz w:val="22"/>
      <w:szCs w:val="22"/>
    </w:rPr>
  </w:style>
  <w:style w:type="paragraph" w:styleId="Heading1">
    <w:name w:val="heading 1"/>
    <w:basedOn w:val="Normal"/>
    <w:next w:val="Normal"/>
    <w:link w:val="Heading1Char"/>
    <w:uiPriority w:val="9"/>
    <w:qFormat/>
    <w:rsid w:val="005A3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45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2Char">
    <w:name w:val="Heading 2 Char"/>
    <w:basedOn w:val="DefaultParagraphFont"/>
    <w:link w:val="Heading2"/>
    <w:uiPriority w:val="9"/>
    <w:rsid w:val="001B37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305A73"/>
    <w:pPr>
      <w:ind w:left="720"/>
      <w:contextualSpacing/>
    </w:pPr>
  </w:style>
  <w:style w:type="table" w:styleId="TableGrid">
    <w:name w:val="Table Grid"/>
    <w:basedOn w:val="TableNormal"/>
    <w:uiPriority w:val="59"/>
    <w:rsid w:val="00E16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C450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A39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12634406">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4877755">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4815">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28559477">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ing-oreilly-com.csuglobal.idm.oclc.org/library/view/measuring-and-managing/9780133488425/?ar=&amp;email=MT3OraT%2B%2FQPH11KS%2F7Dup5a1kwBcMookmqoXI%2BcUMLbAvNW2BuWroTeSYIPg6DX6&amp;tstamp=1747576285&amp;id=D1883ED96BCF413CCB06E62CCEDEBC499982531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earning-oreilly-com.csuglobal.idm.oclc.org/library/view/project-management-a/9780470278703/" TargetMode="External"/><Relationship Id="rId4" Type="http://schemas.openxmlformats.org/officeDocument/2006/relationships/styles" Target="styles.xml"/><Relationship Id="rId9" Type="http://schemas.openxmlformats.org/officeDocument/2006/relationships/hyperlink" Target="https://csuglobal.instructure.com/courses/109070/users/9664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869</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3661</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17</cp:revision>
  <dcterms:created xsi:type="dcterms:W3CDTF">2025-04-26T13:06:00Z</dcterms:created>
  <dcterms:modified xsi:type="dcterms:W3CDTF">2025-05-18T13:59:00Z</dcterms:modified>
</cp:coreProperties>
</file>