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Payroll Process Design</w:t>
        <w:br/>
        <w:t>and Documentation</w:t>
      </w:r>
    </w:p>
    <w:p>
      <w:pPr>
        <w:jc w:val="center"/>
      </w:pPr>
      <w:r>
        <w:rPr>
          <w:b/>
          <w:sz w:val="28"/>
        </w:rPr>
        <w:t>Week 1 Task | Mid-Sized Enterprise | India</w:t>
      </w:r>
    </w:p>
    <w:p>
      <w:r>
        <w:br/>
      </w:r>
    </w:p>
    <w:p>
      <w:pPr>
        <w:jc w:val="center"/>
      </w:pPr>
      <w:r>
        <w:rPr>
          <w:i/>
        </w:rPr>
        <w:t>A standardized, controlled, auditable monthly payroll operating model</w:t>
      </w:r>
    </w:p>
    <w:p>
      <w:r>
        <w:br/>
        <w:br/>
      </w:r>
    </w:p>
    <w:tbl>
      <w:tblPr>
        <w:tblStyle w:val="TableGrid"/>
        <w:tblW w:type="auto" w:w="0"/>
        <w:tblLook w:firstColumn="1" w:firstRow="1" w:lastColumn="0" w:lastRow="0" w:noHBand="0" w:noVBand="1" w:val="04A0"/>
      </w:tblPr>
      <w:tblGrid>
        <w:gridCol w:w="4968"/>
        <w:gridCol w:w="4968"/>
      </w:tblGrid>
      <w:tr>
        <w:tc>
          <w:tcPr>
            <w:tcW w:type="dxa" w:w="4968"/>
            <w:shd w:fill="D9EAF7"/>
          </w:tcPr>
          <w:p>
            <w:r/>
            <w:r>
              <w:rPr>
                <w:rFonts w:ascii="Arial" w:hAnsi="Arial"/>
                <w:b/>
                <w:sz w:val="17"/>
              </w:rPr>
              <w:t>Document control</w:t>
            </w:r>
          </w:p>
        </w:tc>
        <w:tc>
          <w:tcPr>
            <w:tcW w:type="dxa" w:w="4968"/>
            <w:shd w:fill="D9EAF7"/>
          </w:tcPr>
          <w:p>
            <w:r/>
            <w:r>
              <w:rPr>
                <w:rFonts w:ascii="Arial" w:hAnsi="Arial"/>
                <w:b/>
                <w:sz w:val="17"/>
              </w:rPr>
              <w:t>Details</w:t>
            </w:r>
          </w:p>
        </w:tc>
      </w:tr>
      <w:tr>
        <w:tc>
          <w:tcPr>
            <w:tcW w:type="dxa" w:w="4968"/>
          </w:tcPr>
          <w:p>
            <w:r/>
            <w:r>
              <w:rPr>
                <w:rFonts w:ascii="Arial" w:hAnsi="Arial"/>
                <w:b w:val="0"/>
                <w:sz w:val="17"/>
              </w:rPr>
              <w:t>Purpose</w:t>
            </w:r>
          </w:p>
        </w:tc>
        <w:tc>
          <w:tcPr>
            <w:tcW w:type="dxa" w:w="4968"/>
          </w:tcPr>
          <w:p>
            <w:r/>
            <w:r>
              <w:rPr>
                <w:rFonts w:ascii="Arial" w:hAnsi="Arial"/>
                <w:b w:val="0"/>
                <w:sz w:val="17"/>
              </w:rPr>
              <w:t>Define a reliable end-to-end payroll process with scheduling, data processing, compliance checks and audit controls.</w:t>
            </w:r>
          </w:p>
        </w:tc>
      </w:tr>
      <w:tr>
        <w:tc>
          <w:tcPr>
            <w:tcW w:type="dxa" w:w="4968"/>
          </w:tcPr>
          <w:p>
            <w:r/>
            <w:r>
              <w:rPr>
                <w:rFonts w:ascii="Arial" w:hAnsi="Arial"/>
                <w:b w:val="0"/>
                <w:sz w:val="17"/>
              </w:rPr>
              <w:t>Scope assumption</w:t>
            </w:r>
          </w:p>
        </w:tc>
        <w:tc>
          <w:tcPr>
            <w:tcW w:type="dxa" w:w="4968"/>
          </w:tcPr>
          <w:p>
            <w:r/>
            <w:r>
              <w:rPr>
                <w:rFonts w:ascii="Arial" w:hAnsi="Arial"/>
                <w:b w:val="0"/>
                <w:sz w:val="17"/>
              </w:rPr>
              <w:t>Indian private-sector enterprise with approximately 250–1,000 employees, monthly payroll and a mix of salaried and eligible variable-pay employees.</w:t>
            </w:r>
          </w:p>
        </w:tc>
      </w:tr>
      <w:tr>
        <w:tc>
          <w:tcPr>
            <w:tcW w:type="dxa" w:w="4968"/>
          </w:tcPr>
          <w:p>
            <w:r/>
            <w:r>
              <w:rPr>
                <w:rFonts w:ascii="Arial" w:hAnsi="Arial"/>
                <w:b w:val="0"/>
                <w:sz w:val="17"/>
              </w:rPr>
              <w:t>Process owner</w:t>
            </w:r>
          </w:p>
        </w:tc>
        <w:tc>
          <w:tcPr>
            <w:tcW w:type="dxa" w:w="4968"/>
          </w:tcPr>
          <w:p>
            <w:r/>
            <w:r>
              <w:rPr>
                <w:rFonts w:ascii="Arial" w:hAnsi="Arial"/>
                <w:b w:val="0"/>
                <w:sz w:val="17"/>
              </w:rPr>
              <w:t>Payroll Manager / Finance Controller</w:t>
            </w:r>
          </w:p>
        </w:tc>
      </w:tr>
      <w:tr>
        <w:tc>
          <w:tcPr>
            <w:tcW w:type="dxa" w:w="4968"/>
          </w:tcPr>
          <w:p>
            <w:r/>
            <w:r>
              <w:rPr>
                <w:rFonts w:ascii="Arial" w:hAnsi="Arial"/>
                <w:b w:val="0"/>
                <w:sz w:val="17"/>
              </w:rPr>
              <w:t>Review cycle</w:t>
            </w:r>
          </w:p>
        </w:tc>
        <w:tc>
          <w:tcPr>
            <w:tcW w:type="dxa" w:w="4968"/>
          </w:tcPr>
          <w:p>
            <w:r/>
            <w:r>
              <w:rPr>
                <w:rFonts w:ascii="Arial" w:hAnsi="Arial"/>
                <w:b w:val="0"/>
                <w:sz w:val="17"/>
              </w:rPr>
              <w:t>Review annually and whenever tax, labour, social-security or state rules change.</w:t>
            </w:r>
          </w:p>
        </w:tc>
      </w:tr>
      <w:tr>
        <w:tc>
          <w:tcPr>
            <w:tcW w:type="dxa" w:w="4968"/>
          </w:tcPr>
          <w:p>
            <w:r/>
            <w:r>
              <w:rPr>
                <w:rFonts w:ascii="Arial" w:hAnsi="Arial"/>
                <w:b w:val="0"/>
                <w:sz w:val="17"/>
              </w:rPr>
              <w:t>Version</w:t>
            </w:r>
          </w:p>
        </w:tc>
        <w:tc>
          <w:tcPr>
            <w:tcW w:type="dxa" w:w="4968"/>
          </w:tcPr>
          <w:p>
            <w:r/>
            <w:r>
              <w:rPr>
                <w:rFonts w:ascii="Arial" w:hAnsi="Arial"/>
                <w:b w:val="0"/>
                <w:sz w:val="17"/>
              </w:rPr>
              <w:t>1.0</w:t>
            </w:r>
          </w:p>
        </w:tc>
      </w:tr>
      <w:tr>
        <w:tc>
          <w:tcPr>
            <w:tcW w:type="dxa" w:w="4968"/>
          </w:tcPr>
          <w:p>
            <w:r/>
            <w:r>
              <w:rPr>
                <w:rFonts w:ascii="Arial" w:hAnsi="Arial"/>
                <w:b w:val="0"/>
                <w:sz w:val="17"/>
              </w:rPr>
              <w:t>Prepared for</w:t>
            </w:r>
          </w:p>
        </w:tc>
        <w:tc>
          <w:tcPr>
            <w:tcW w:type="dxa" w:w="4968"/>
          </w:tcPr>
          <w:p>
            <w:r/>
            <w:r>
              <w:rPr>
                <w:rFonts w:ascii="Arial" w:hAnsi="Arial"/>
                <w:b w:val="0"/>
                <w:sz w:val="17"/>
              </w:rPr>
              <w:t>Academic assignment</w:t>
            </w:r>
          </w:p>
        </w:tc>
      </w:tr>
    </w:tbl>
    <w:p/>
    <w:p>
      <w:pPr>
        <w:jc w:val="center"/>
      </w:pPr>
      <w:r>
        <w:t>Important: This is a process-design template, not legal or tax advice. Confirm current central and state requirements, employee eligibility, notifications and due dates before live use.</w:t>
      </w:r>
    </w:p>
    <w:p>
      <w:r>
        <w:br w:type="page"/>
      </w:r>
    </w:p>
    <w:p>
      <w:pPr>
        <w:pStyle w:val="Heading1"/>
      </w:pPr>
      <w:r>
        <w:t>1. Executive Summary</w:t>
      </w:r>
    </w:p>
    <w:p>
      <w:r>
        <w:t>Payroll is a controlled business process that converts approved employee, attendance, compensation and benefits data into accurate salary payments, payslips, statutory remittances and accounting records. The proposed design uses a monthly calendar, documented data ownership, maker-checker review, exception reporting, controlled bank-file release and post-payroll reconciliation. It separates data preparation, calculation, approval and payment wherever practical, reducing errors, fraud, late payments and compliance exposure.</w:t>
      </w:r>
    </w:p>
    <w:p>
      <w:pPr>
        <w:pStyle w:val="Heading2"/>
      </w:pPr>
      <w:r>
        <w:t>1.1 Objectives</w:t>
      </w:r>
    </w:p>
    <w:p>
      <w:pPr>
        <w:pStyle w:val="ListBullet"/>
      </w:pPr>
      <w:r>
        <w:t>Pay employees accurately and on the published payday.</w:t>
      </w:r>
    </w:p>
    <w:p>
      <w:pPr>
        <w:pStyle w:val="ListBullet"/>
      </w:pPr>
      <w:r>
        <w:t>Apply approved compensation changes, attendance, leave, overtime, incentives and recoveries consistently.</w:t>
      </w:r>
    </w:p>
    <w:p>
      <w:pPr>
        <w:pStyle w:val="ListBullet"/>
      </w:pPr>
      <w:r>
        <w:t>Calculate tax and statutory deductions using current rules and documented employee eligibility.</w:t>
      </w:r>
    </w:p>
    <w:p>
      <w:pPr>
        <w:pStyle w:val="ListBullet"/>
      </w:pPr>
      <w:r>
        <w:t>Protect payroll data through role-based access, confidentiality and secure file handling.</w:t>
      </w:r>
    </w:p>
    <w:p>
      <w:pPr>
        <w:pStyle w:val="ListBullet"/>
      </w:pPr>
      <w:r>
        <w:t>Maintain an audit trail from source data to payroll register, bank payment, statutory filing and general ledger.</w:t>
      </w:r>
    </w:p>
    <w:p>
      <w:pPr>
        <w:pStyle w:val="ListBullet"/>
      </w:pPr>
      <w:r>
        <w:t>Detect, correct, approve and document exceptions before money is released.</w:t>
      </w:r>
    </w:p>
    <w:p>
      <w:pPr>
        <w:pStyle w:val="Heading2"/>
      </w:pPr>
      <w:r>
        <w:t>1.2 Scope and assumptions</w:t>
      </w:r>
    </w:p>
    <w:p>
      <w:r>
        <w:t>The process covers joiners, active employees, leavers, monthly salary, variable pay, leave and attendance inputs, benefits, reimbursements, statutory deductions, payroll accounting, payment, filings and audit. A monthly payroll cycle is assumed. The enterprise should configure separate rules for different states, establishments, employee categories, collective agreements and employment contracts where required.</w:t>
      </w:r>
    </w:p>
    <w:p>
      <w:pPr>
        <w:pStyle w:val="Heading1"/>
      </w:pPr>
      <w:r>
        <w:t>2. Payroll Process Flow Diagram</w:t>
      </w:r>
    </w:p>
    <w:p>
      <w:r>
        <w:t>The flow below shows the standard sequence. Failed validations return to the correction step; payment release is blocked until review and approval are complete.</w:t>
      </w:r>
    </w:p>
    <w:p>
      <w:pPr>
        <w:jc w:val="center"/>
      </w:pPr>
      <w:r>
        <w:drawing>
          <wp:inline xmlns:a="http://schemas.openxmlformats.org/drawingml/2006/main" xmlns:pic="http://schemas.openxmlformats.org/drawingml/2006/picture">
            <wp:extent cx="5669280" cy="7388112"/>
            <wp:docPr id="1" name="Picture 1"/>
            <wp:cNvGraphicFramePr>
              <a:graphicFrameLocks noChangeAspect="1"/>
            </wp:cNvGraphicFramePr>
            <a:graphic>
              <a:graphicData uri="http://schemas.openxmlformats.org/drawingml/2006/picture">
                <pic:pic>
                  <pic:nvPicPr>
                    <pic:cNvPr id="0" name="payroll_process_flow.png"/>
                    <pic:cNvPicPr/>
                  </pic:nvPicPr>
                  <pic:blipFill>
                    <a:blip r:embed="rId11"/>
                    <a:stretch>
                      <a:fillRect/>
                    </a:stretch>
                  </pic:blipFill>
                  <pic:spPr>
                    <a:xfrm>
                      <a:off x="0" y="0"/>
                      <a:ext cx="5669280" cy="7388112"/>
                    </a:xfrm>
                    <a:prstGeom prst="rect"/>
                  </pic:spPr>
                </pic:pic>
              </a:graphicData>
            </a:graphic>
          </wp:inline>
        </w:drawing>
      </w:r>
    </w:p>
    <w:p>
      <w:pPr>
        <w:pStyle w:val="Heading1"/>
      </w:pPr>
      <w:r>
        <w:t>3. Payroll Calendar and Scheduled Tasks</w:t>
      </w:r>
    </w:p>
    <w:p>
      <w:r>
        <w:t>Example calendar for a payday on the last working day of the month. The payroll owner should adjust dates to meet the company’s employment terms, banking cut-offs and applicable statutory deadlines.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
              <w:rPr>
                <w:rFonts w:ascii="Arial" w:hAnsi="Arial"/>
                <w:b/>
                <w:sz w:val="17"/>
              </w:rPr>
              <w:t>Timing</w:t>
            </w:r>
          </w:p>
        </w:tc>
        <w:tc>
          <w:tcPr>
            <w:tcW w:type="dxa" w:w="2484"/>
            <w:shd w:fill="D9EAF7"/>
          </w:tcPr>
          <w:p>
            <w:r/>
            <w:r>
              <w:rPr>
                <w:rFonts w:ascii="Arial" w:hAnsi="Arial"/>
                <w:b/>
                <w:sz w:val="17"/>
              </w:rPr>
              <w:t>Activity</w:t>
            </w:r>
          </w:p>
        </w:tc>
        <w:tc>
          <w:tcPr>
            <w:tcW w:type="dxa" w:w="2484"/>
            <w:shd w:fill="D9EAF7"/>
          </w:tcPr>
          <w:p>
            <w:r/>
            <w:r>
              <w:rPr>
                <w:rFonts w:ascii="Arial" w:hAnsi="Arial"/>
                <w:b/>
                <w:sz w:val="17"/>
              </w:rPr>
              <w:t>Owner</w:t>
            </w:r>
          </w:p>
        </w:tc>
        <w:tc>
          <w:tcPr>
            <w:tcW w:type="dxa" w:w="2484"/>
            <w:shd w:fill="D9EAF7"/>
          </w:tcPr>
          <w:p>
            <w:r/>
            <w:r>
              <w:rPr>
                <w:rFonts w:ascii="Arial" w:hAnsi="Arial"/>
                <w:b/>
                <w:sz w:val="17"/>
              </w:rPr>
              <w:t>Required evidence / checkpoint</w:t>
            </w:r>
          </w:p>
        </w:tc>
      </w:tr>
      <w:tr>
        <w:tc>
          <w:tcPr>
            <w:tcW w:type="dxa" w:w="2484"/>
          </w:tcPr>
          <w:p>
            <w:r/>
            <w:r>
              <w:rPr>
                <w:rFonts w:ascii="Arial" w:hAnsi="Arial"/>
                <w:b w:val="0"/>
                <w:sz w:val="17"/>
              </w:rPr>
              <w:t>Day -10 to -7</w:t>
            </w:r>
          </w:p>
        </w:tc>
        <w:tc>
          <w:tcPr>
            <w:tcW w:type="dxa" w:w="2484"/>
          </w:tcPr>
          <w:p>
            <w:r/>
            <w:r>
              <w:rPr>
                <w:rFonts w:ascii="Arial" w:hAnsi="Arial"/>
                <w:b w:val="0"/>
                <w:sz w:val="17"/>
              </w:rPr>
              <w:t>Publish cut-off reminders; confirm holidays, pay period and rule changes.</w:t>
            </w:r>
          </w:p>
        </w:tc>
        <w:tc>
          <w:tcPr>
            <w:tcW w:type="dxa" w:w="2484"/>
          </w:tcPr>
          <w:p>
            <w:r/>
            <w:r>
              <w:rPr>
                <w:rFonts w:ascii="Arial" w:hAnsi="Arial"/>
                <w:b w:val="0"/>
                <w:sz w:val="17"/>
              </w:rPr>
              <w:t>Payroll Manager + HR</w:t>
            </w:r>
          </w:p>
        </w:tc>
        <w:tc>
          <w:tcPr>
            <w:tcW w:type="dxa" w:w="2484"/>
          </w:tcPr>
          <w:p>
            <w:r/>
            <w:r>
              <w:rPr>
                <w:rFonts w:ascii="Arial" w:hAnsi="Arial"/>
                <w:b w:val="0"/>
                <w:sz w:val="17"/>
              </w:rPr>
              <w:t>Approved payroll calendar; change log</w:t>
            </w:r>
          </w:p>
        </w:tc>
      </w:tr>
      <w:tr>
        <w:tc>
          <w:tcPr>
            <w:tcW w:type="dxa" w:w="2484"/>
          </w:tcPr>
          <w:p>
            <w:r/>
            <w:r>
              <w:rPr>
                <w:rFonts w:ascii="Arial" w:hAnsi="Arial"/>
                <w:b w:val="0"/>
                <w:sz w:val="17"/>
              </w:rPr>
              <w:t>Day -7 to -5</w:t>
            </w:r>
          </w:p>
        </w:tc>
        <w:tc>
          <w:tcPr>
            <w:tcW w:type="dxa" w:w="2484"/>
          </w:tcPr>
          <w:p>
            <w:r/>
            <w:r>
              <w:rPr>
                <w:rFonts w:ascii="Arial" w:hAnsi="Arial"/>
                <w:b w:val="0"/>
                <w:sz w:val="17"/>
              </w:rPr>
              <w:t>Close attendance, leave, overtime, shift and unpaid-absence inputs.</w:t>
            </w:r>
          </w:p>
        </w:tc>
        <w:tc>
          <w:tcPr>
            <w:tcW w:type="dxa" w:w="2484"/>
          </w:tcPr>
          <w:p>
            <w:r/>
            <w:r>
              <w:rPr>
                <w:rFonts w:ascii="Arial" w:hAnsi="Arial"/>
                <w:b w:val="0"/>
                <w:sz w:val="17"/>
              </w:rPr>
              <w:t>HR / Timekeeping / Managers</w:t>
            </w:r>
          </w:p>
        </w:tc>
        <w:tc>
          <w:tcPr>
            <w:tcW w:type="dxa" w:w="2484"/>
          </w:tcPr>
          <w:p>
            <w:r/>
            <w:r>
              <w:rPr>
                <w:rFonts w:ascii="Arial" w:hAnsi="Arial"/>
                <w:b w:val="0"/>
                <w:sz w:val="17"/>
              </w:rPr>
              <w:t>Attendance lock; manager approvals</w:t>
            </w:r>
          </w:p>
        </w:tc>
      </w:tr>
      <w:tr>
        <w:tc>
          <w:tcPr>
            <w:tcW w:type="dxa" w:w="2484"/>
          </w:tcPr>
          <w:p>
            <w:r/>
            <w:r>
              <w:rPr>
                <w:rFonts w:ascii="Arial" w:hAnsi="Arial"/>
                <w:b w:val="0"/>
                <w:sz w:val="17"/>
              </w:rPr>
              <w:t>Day -6 to -4</w:t>
            </w:r>
          </w:p>
        </w:tc>
        <w:tc>
          <w:tcPr>
            <w:tcW w:type="dxa" w:w="2484"/>
          </w:tcPr>
          <w:p>
            <w:r/>
            <w:r>
              <w:rPr>
                <w:rFonts w:ascii="Arial" w:hAnsi="Arial"/>
                <w:b w:val="0"/>
                <w:sz w:val="17"/>
              </w:rPr>
              <w:t>Submit joiners, exits, salary revisions, promotions, bank changes and one-time payments.</w:t>
            </w:r>
          </w:p>
        </w:tc>
        <w:tc>
          <w:tcPr>
            <w:tcW w:type="dxa" w:w="2484"/>
          </w:tcPr>
          <w:p>
            <w:r/>
            <w:r>
              <w:rPr>
                <w:rFonts w:ascii="Arial" w:hAnsi="Arial"/>
                <w:b w:val="0"/>
                <w:sz w:val="17"/>
              </w:rPr>
              <w:t>HR Operations</w:t>
            </w:r>
          </w:p>
        </w:tc>
        <w:tc>
          <w:tcPr>
            <w:tcW w:type="dxa" w:w="2484"/>
          </w:tcPr>
          <w:p>
            <w:r/>
            <w:r>
              <w:rPr>
                <w:rFonts w:ascii="Arial" w:hAnsi="Arial"/>
                <w:b w:val="0"/>
                <w:sz w:val="17"/>
              </w:rPr>
              <w:t>Approved employee-change forms; effective dates</w:t>
            </w:r>
          </w:p>
        </w:tc>
      </w:tr>
      <w:tr>
        <w:tc>
          <w:tcPr>
            <w:tcW w:type="dxa" w:w="2484"/>
          </w:tcPr>
          <w:p>
            <w:r/>
            <w:r>
              <w:rPr>
                <w:rFonts w:ascii="Arial" w:hAnsi="Arial"/>
                <w:b w:val="0"/>
                <w:sz w:val="17"/>
              </w:rPr>
              <w:t>Day -4 to -3</w:t>
            </w:r>
          </w:p>
        </w:tc>
        <w:tc>
          <w:tcPr>
            <w:tcW w:type="dxa" w:w="2484"/>
          </w:tcPr>
          <w:p>
            <w:r/>
            <w:r>
              <w:rPr>
                <w:rFonts w:ascii="Arial" w:hAnsi="Arial"/>
                <w:b w:val="0"/>
                <w:sz w:val="17"/>
              </w:rPr>
              <w:t>Import inputs; validate completeness, duplicates, missing IDs and unusual values.</w:t>
            </w:r>
          </w:p>
        </w:tc>
        <w:tc>
          <w:tcPr>
            <w:tcW w:type="dxa" w:w="2484"/>
          </w:tcPr>
          <w:p>
            <w:r/>
            <w:r>
              <w:rPr>
                <w:rFonts w:ascii="Arial" w:hAnsi="Arial"/>
                <w:b w:val="0"/>
                <w:sz w:val="17"/>
              </w:rPr>
              <w:t>Payroll Analyst</w:t>
            </w:r>
          </w:p>
        </w:tc>
        <w:tc>
          <w:tcPr>
            <w:tcW w:type="dxa" w:w="2484"/>
          </w:tcPr>
          <w:p>
            <w:r/>
            <w:r>
              <w:rPr>
                <w:rFonts w:ascii="Arial" w:hAnsi="Arial"/>
                <w:b w:val="0"/>
                <w:sz w:val="17"/>
              </w:rPr>
              <w:t>Input control totals; exception report</w:t>
            </w:r>
          </w:p>
        </w:tc>
      </w:tr>
      <w:tr>
        <w:tc>
          <w:tcPr>
            <w:tcW w:type="dxa" w:w="2484"/>
          </w:tcPr>
          <w:p>
            <w:r/>
            <w:r>
              <w:rPr>
                <w:rFonts w:ascii="Arial" w:hAnsi="Arial"/>
                <w:b w:val="0"/>
                <w:sz w:val="17"/>
              </w:rPr>
              <w:t>Day -3 to -2</w:t>
            </w:r>
          </w:p>
        </w:tc>
        <w:tc>
          <w:tcPr>
            <w:tcW w:type="dxa" w:w="2484"/>
          </w:tcPr>
          <w:p>
            <w:r/>
            <w:r>
              <w:rPr>
                <w:rFonts w:ascii="Arial" w:hAnsi="Arial"/>
                <w:b w:val="0"/>
                <w:sz w:val="17"/>
              </w:rPr>
              <w:t>Run preliminary payroll and calculate gross pay, deductions, tax and net pay.</w:t>
            </w:r>
          </w:p>
        </w:tc>
        <w:tc>
          <w:tcPr>
            <w:tcW w:type="dxa" w:w="2484"/>
          </w:tcPr>
          <w:p>
            <w:r/>
            <w:r>
              <w:rPr>
                <w:rFonts w:ascii="Arial" w:hAnsi="Arial"/>
                <w:b w:val="0"/>
                <w:sz w:val="17"/>
              </w:rPr>
              <w:t>Payroll Analyst / System</w:t>
            </w:r>
          </w:p>
        </w:tc>
        <w:tc>
          <w:tcPr>
            <w:tcW w:type="dxa" w:w="2484"/>
          </w:tcPr>
          <w:p>
            <w:r/>
            <w:r>
              <w:rPr>
                <w:rFonts w:ascii="Arial" w:hAnsi="Arial"/>
                <w:b w:val="0"/>
                <w:sz w:val="17"/>
              </w:rPr>
              <w:t>Preliminary payroll register</w:t>
            </w:r>
          </w:p>
        </w:tc>
      </w:tr>
      <w:tr>
        <w:tc>
          <w:tcPr>
            <w:tcW w:type="dxa" w:w="2484"/>
          </w:tcPr>
          <w:p>
            <w:r/>
            <w:r>
              <w:rPr>
                <w:rFonts w:ascii="Arial" w:hAnsi="Arial"/>
                <w:b w:val="0"/>
                <w:sz w:val="17"/>
              </w:rPr>
              <w:t>Day -2</w:t>
            </w:r>
          </w:p>
        </w:tc>
        <w:tc>
          <w:tcPr>
            <w:tcW w:type="dxa" w:w="2484"/>
          </w:tcPr>
          <w:p>
            <w:r/>
            <w:r>
              <w:rPr>
                <w:rFonts w:ascii="Arial" w:hAnsi="Arial"/>
                <w:b w:val="0"/>
                <w:sz w:val="17"/>
              </w:rPr>
              <w:t>Review variances, negative/zero net pay, high-value payments, leavers and retro pay.</w:t>
            </w:r>
          </w:p>
        </w:tc>
        <w:tc>
          <w:tcPr>
            <w:tcW w:type="dxa" w:w="2484"/>
          </w:tcPr>
          <w:p>
            <w:r/>
            <w:r>
              <w:rPr>
                <w:rFonts w:ascii="Arial" w:hAnsi="Arial"/>
                <w:b w:val="0"/>
                <w:sz w:val="17"/>
              </w:rPr>
              <w:t>Payroll Reviewer + HR/Finance</w:t>
            </w:r>
          </w:p>
        </w:tc>
        <w:tc>
          <w:tcPr>
            <w:tcW w:type="dxa" w:w="2484"/>
          </w:tcPr>
          <w:p>
            <w:r/>
            <w:r>
              <w:rPr>
                <w:rFonts w:ascii="Arial" w:hAnsi="Arial"/>
                <w:b w:val="0"/>
                <w:sz w:val="17"/>
              </w:rPr>
              <w:t>Variance report; signed review checklist</w:t>
            </w:r>
          </w:p>
        </w:tc>
      </w:tr>
      <w:tr>
        <w:tc>
          <w:tcPr>
            <w:tcW w:type="dxa" w:w="2484"/>
          </w:tcPr>
          <w:p>
            <w:r/>
            <w:r>
              <w:rPr>
                <w:rFonts w:ascii="Arial" w:hAnsi="Arial"/>
                <w:b w:val="0"/>
                <w:sz w:val="17"/>
              </w:rPr>
              <w:t>Day -1</w:t>
            </w:r>
          </w:p>
        </w:tc>
        <w:tc>
          <w:tcPr>
            <w:tcW w:type="dxa" w:w="2484"/>
          </w:tcPr>
          <w:p>
            <w:r/>
            <w:r>
              <w:rPr>
                <w:rFonts w:ascii="Arial" w:hAnsi="Arial"/>
                <w:b w:val="0"/>
                <w:sz w:val="17"/>
              </w:rPr>
              <w:t>Correct approved errors, rerun impacted records, lock payroll and obtain final sign-off.</w:t>
            </w:r>
          </w:p>
        </w:tc>
        <w:tc>
          <w:tcPr>
            <w:tcW w:type="dxa" w:w="2484"/>
          </w:tcPr>
          <w:p>
            <w:r/>
            <w:r>
              <w:rPr>
                <w:rFonts w:ascii="Arial" w:hAnsi="Arial"/>
                <w:b w:val="0"/>
                <w:sz w:val="17"/>
              </w:rPr>
              <w:t>Payroll Manager + Finance Controller</w:t>
            </w:r>
          </w:p>
        </w:tc>
        <w:tc>
          <w:tcPr>
            <w:tcW w:type="dxa" w:w="2484"/>
          </w:tcPr>
          <w:p>
            <w:r/>
            <w:r>
              <w:rPr>
                <w:rFonts w:ascii="Arial" w:hAnsi="Arial"/>
                <w:b w:val="0"/>
                <w:sz w:val="17"/>
              </w:rPr>
              <w:t>Final register; approval record</w:t>
            </w:r>
          </w:p>
        </w:tc>
      </w:tr>
      <w:tr>
        <w:tc>
          <w:tcPr>
            <w:tcW w:type="dxa" w:w="2484"/>
          </w:tcPr>
          <w:p>
            <w:r/>
            <w:r>
              <w:rPr>
                <w:rFonts w:ascii="Arial" w:hAnsi="Arial"/>
                <w:b w:val="0"/>
                <w:sz w:val="17"/>
              </w:rPr>
              <w:t>Payday</w:t>
            </w:r>
          </w:p>
        </w:tc>
        <w:tc>
          <w:tcPr>
            <w:tcW w:type="dxa" w:w="2484"/>
          </w:tcPr>
          <w:p>
            <w:r/>
            <w:r>
              <w:rPr>
                <w:rFonts w:ascii="Arial" w:hAnsi="Arial"/>
                <w:b w:val="0"/>
                <w:sz w:val="17"/>
              </w:rPr>
              <w:t>Generate bank file, verify totals, dual-authorize payment, distribute payslips securely.</w:t>
            </w:r>
          </w:p>
        </w:tc>
        <w:tc>
          <w:tcPr>
            <w:tcW w:type="dxa" w:w="2484"/>
          </w:tcPr>
          <w:p>
            <w:r/>
            <w:r>
              <w:rPr>
                <w:rFonts w:ascii="Arial" w:hAnsi="Arial"/>
                <w:b w:val="0"/>
                <w:sz w:val="17"/>
              </w:rPr>
              <w:t>Treasury / Finance + Payroll</w:t>
            </w:r>
          </w:p>
        </w:tc>
        <w:tc>
          <w:tcPr>
            <w:tcW w:type="dxa" w:w="2484"/>
          </w:tcPr>
          <w:p>
            <w:r/>
            <w:r>
              <w:rPr>
                <w:rFonts w:ascii="Arial" w:hAnsi="Arial"/>
                <w:b w:val="0"/>
                <w:sz w:val="17"/>
              </w:rPr>
              <w:t>Bank file hash/control total; bank confirmation</w:t>
            </w:r>
          </w:p>
        </w:tc>
      </w:tr>
      <w:tr>
        <w:tc>
          <w:tcPr>
            <w:tcW w:type="dxa" w:w="2484"/>
          </w:tcPr>
          <w:p>
            <w:r/>
            <w:r>
              <w:rPr>
                <w:rFonts w:ascii="Arial" w:hAnsi="Arial"/>
                <w:b w:val="0"/>
                <w:sz w:val="17"/>
              </w:rPr>
              <w:t>After payday</w:t>
            </w:r>
          </w:p>
        </w:tc>
        <w:tc>
          <w:tcPr>
            <w:tcW w:type="dxa" w:w="2484"/>
          </w:tcPr>
          <w:p>
            <w:r/>
            <w:r>
              <w:rPr>
                <w:rFonts w:ascii="Arial" w:hAnsi="Arial"/>
                <w:b w:val="0"/>
                <w:sz w:val="17"/>
              </w:rPr>
              <w:t>Reconcile bank debit to net payroll; post payroll journal; investigate rejects.</w:t>
            </w:r>
          </w:p>
        </w:tc>
        <w:tc>
          <w:tcPr>
            <w:tcW w:type="dxa" w:w="2484"/>
          </w:tcPr>
          <w:p>
            <w:r/>
            <w:r>
              <w:rPr>
                <w:rFonts w:ascii="Arial" w:hAnsi="Arial"/>
                <w:b w:val="0"/>
                <w:sz w:val="17"/>
              </w:rPr>
              <w:t>Finance / Payroll</w:t>
            </w:r>
          </w:p>
        </w:tc>
        <w:tc>
          <w:tcPr>
            <w:tcW w:type="dxa" w:w="2484"/>
          </w:tcPr>
          <w:p>
            <w:r/>
            <w:r>
              <w:rPr>
                <w:rFonts w:ascii="Arial" w:hAnsi="Arial"/>
                <w:b w:val="0"/>
                <w:sz w:val="17"/>
              </w:rPr>
              <w:t>Bank reconciliation; journal approval</w:t>
            </w:r>
          </w:p>
        </w:tc>
      </w:tr>
      <w:tr>
        <w:tc>
          <w:tcPr>
            <w:tcW w:type="dxa" w:w="2484"/>
          </w:tcPr>
          <w:p>
            <w:r/>
            <w:r>
              <w:rPr>
                <w:rFonts w:ascii="Arial" w:hAnsi="Arial"/>
                <w:b w:val="0"/>
                <w:sz w:val="17"/>
              </w:rPr>
              <w:t>By applicable due dates</w:t>
            </w:r>
          </w:p>
        </w:tc>
        <w:tc>
          <w:tcPr>
            <w:tcW w:type="dxa" w:w="2484"/>
          </w:tcPr>
          <w:p>
            <w:r/>
            <w:r>
              <w:rPr>
                <w:rFonts w:ascii="Arial" w:hAnsi="Arial"/>
                <w:b w:val="0"/>
                <w:sz w:val="17"/>
              </w:rPr>
              <w:t>Deposit statutory dues and submit returns; reconcile portal acknowledgements.</w:t>
            </w:r>
          </w:p>
        </w:tc>
        <w:tc>
          <w:tcPr>
            <w:tcW w:type="dxa" w:w="2484"/>
          </w:tcPr>
          <w:p>
            <w:r/>
            <w:r>
              <w:rPr>
                <w:rFonts w:ascii="Arial" w:hAnsi="Arial"/>
                <w:b w:val="0"/>
                <w:sz w:val="17"/>
              </w:rPr>
              <w:t>Payroll Compliance / Finance</w:t>
            </w:r>
          </w:p>
        </w:tc>
        <w:tc>
          <w:tcPr>
            <w:tcW w:type="dxa" w:w="2484"/>
          </w:tcPr>
          <w:p>
            <w:r/>
            <w:r>
              <w:rPr>
                <w:rFonts w:ascii="Arial" w:hAnsi="Arial"/>
                <w:b w:val="0"/>
                <w:sz w:val="17"/>
              </w:rPr>
              <w:t>Challans, return acknowledgements, payment proofs</w:t>
            </w:r>
          </w:p>
        </w:tc>
      </w:tr>
      <w:tr>
        <w:tc>
          <w:tcPr>
            <w:tcW w:type="dxa" w:w="2484"/>
          </w:tcPr>
          <w:p>
            <w:r/>
            <w:r>
              <w:rPr>
                <w:rFonts w:ascii="Arial" w:hAnsi="Arial"/>
                <w:b w:val="0"/>
                <w:sz w:val="17"/>
              </w:rPr>
              <w:t>Month-end + 5 business days</w:t>
            </w:r>
          </w:p>
        </w:tc>
        <w:tc>
          <w:tcPr>
            <w:tcW w:type="dxa" w:w="2484"/>
          </w:tcPr>
          <w:p>
            <w:r/>
            <w:r>
              <w:rPr>
                <w:rFonts w:ascii="Arial" w:hAnsi="Arial"/>
                <w:b w:val="0"/>
                <w:sz w:val="17"/>
              </w:rPr>
              <w:t>Close exceptions, reconcile balances and report payroll KPIs.</w:t>
            </w:r>
          </w:p>
        </w:tc>
        <w:tc>
          <w:tcPr>
            <w:tcW w:type="dxa" w:w="2484"/>
          </w:tcPr>
          <w:p>
            <w:r/>
            <w:r>
              <w:rPr>
                <w:rFonts w:ascii="Arial" w:hAnsi="Arial"/>
                <w:b w:val="0"/>
                <w:sz w:val="17"/>
              </w:rPr>
              <w:t>Payroll Manager / Internal Control</w:t>
            </w:r>
          </w:p>
        </w:tc>
        <w:tc>
          <w:tcPr>
            <w:tcW w:type="dxa" w:w="2484"/>
          </w:tcPr>
          <w:p>
            <w:r/>
            <w:r>
              <w:rPr>
                <w:rFonts w:ascii="Arial" w:hAnsi="Arial"/>
                <w:b w:val="0"/>
                <w:sz w:val="17"/>
              </w:rPr>
              <w:t>Close pack; issue log; KPI dashboard</w:t>
            </w:r>
          </w:p>
        </w:tc>
      </w:tr>
    </w:tbl>
    <w:p/>
    <w:p>
      <w:pPr>
        <w:pStyle w:val="Heading2"/>
      </w:pPr>
      <w:r>
        <w:t>3.1 Cut-off governance</w:t>
      </w:r>
    </w:p>
    <w:p>
      <w:pPr>
        <w:pStyle w:val="ListBullet"/>
      </w:pPr>
      <w:r>
        <w:t>Publish the payroll cut-off at least one week in advance and use a controlled channel for submissions.</w:t>
      </w:r>
    </w:p>
    <w:p>
      <w:pPr>
        <w:pStyle w:val="ListBullet"/>
      </w:pPr>
      <w:r>
        <w:t>Inputs received after cut-off require documented approval and are either processed as a controlled off-cycle payment or carried forward in accordance with policy and law.</w:t>
      </w:r>
    </w:p>
    <w:p>
      <w:pPr>
        <w:pStyle w:val="ListBullet"/>
      </w:pPr>
      <w:r>
        <w:t>No salary, bank-account, grade or recurring allowance change may be processed solely on an informal message; require an authorized source record.</w:t>
      </w:r>
    </w:p>
    <w:p>
      <w:pPr>
        <w:pStyle w:val="ListBullet"/>
      </w:pPr>
      <w:r>
        <w:t>Maintain a calendar for monthly, quarterly, annual and event-based obligations, including new-hire enrolment, leaver settlement and tax-year close.</w:t>
      </w:r>
    </w:p>
    <w:p>
      <w:pPr>
        <w:pStyle w:val="Heading1"/>
      </w:pPr>
      <w:r>
        <w:t>4. Step-by-Step Payroll Execution Procedure</w:t>
      </w:r>
    </w:p>
    <w:p>
      <w:pPr>
        <w:pStyle w:val="Heading2"/>
      </w:pPr>
      <w:r>
        <w:t>Step 1 — Prepare the payroll cycle</w:t>
      </w:r>
    </w:p>
    <w:p>
      <w:r>
        <w:t>Payroll Manager opens the period, confirms the payroll calendar, payday, holiday calendar, payroll population, currency, approved salary structures and current statutory rule tables. Confirm that the prior period is closed and that system access is appropriate.</w:t>
      </w:r>
    </w:p>
    <w:p>
      <w:r>
        <w:rPr>
          <w:b/>
          <w:color w:val="006633"/>
        </w:rPr>
        <w:t>Checkpoint: Payroll period and pay date approved; rule/version change log reviewed.</w:t>
      </w:r>
    </w:p>
    <w:p>
      <w:pPr>
        <w:pStyle w:val="Heading2"/>
      </w:pPr>
      <w:r>
        <w:t>Step 2 — Collect and approve source data</w:t>
      </w:r>
    </w:p>
    <w:p>
      <w:r>
        <w:t>HR submits joiners, exits, employee status, salary revisions, transfers, cost centres and benefit elections. Timekeeping provides attendance, paid/unpaid leave, overtime and shift data. Managers approve variable pay and exceptions. Finance supplies approved reimbursements, loans and recoveries.</w:t>
      </w:r>
    </w:p>
    <w:p>
      <w:r>
        <w:rPr>
          <w:b/>
          <w:color w:val="006633"/>
        </w:rPr>
        <w:t>Checkpoint: Each input has an owner, source, effective date, approver and audit reference. Missing or duplicate records are flagged.</w:t>
      </w:r>
    </w:p>
    <w:p>
      <w:pPr>
        <w:pStyle w:val="Heading2"/>
      </w:pPr>
      <w:r>
        <w:t>Step 3 — Validate employee master data</w:t>
      </w:r>
    </w:p>
    <w:p>
      <w:r>
        <w:t>Check employee ID, legal name, employment status, date of joining/leaving, PAN/tax identifier where applicable, bank account, UAN/ESI identifiers where applicable, location, grade, cost centre, salary components and statutory eligibility. Changes to bank details must be verified using an independent channel.</w:t>
      </w:r>
    </w:p>
    <w:p>
      <w:r>
        <w:rPr>
          <w:b/>
          <w:color w:val="006633"/>
        </w:rPr>
        <w:t>Checkpoint: Compare active headcount to HRIS; review new/changed bank accounts and master-data changes; block inactive or duplicate employees.</w:t>
      </w:r>
    </w:p>
    <w:p>
      <w:pPr>
        <w:pStyle w:val="Heading2"/>
      </w:pPr>
      <w:r>
        <w:t>Step 4 — Calculate gross earnings</w:t>
      </w:r>
    </w:p>
    <w:p>
      <w:r>
        <w:t>Calculate basic pay and approved salary components, prorate joiners/leavers and unpaid absences under approved rules, add overtime, shift allowance, commission, incentives and arrears, and process eligible reimbursements separately where policy and tax rules require. Ensure retroactive changes are traceable to the original period and approval.</w:t>
      </w:r>
    </w:p>
    <w:p>
      <w:r>
        <w:rPr>
          <w:b/>
          <w:color w:val="006633"/>
        </w:rPr>
        <w:t>Checkpoint: Reconcile headcount and total earnings to prior month; investigate unusual movement by employee, department and component.</w:t>
      </w:r>
    </w:p>
    <w:p>
      <w:pPr>
        <w:pStyle w:val="Heading2"/>
      </w:pPr>
      <w:r>
        <w:t>Step 5 — Calculate deductions, taxes and benefits</w:t>
      </w:r>
    </w:p>
    <w:p>
      <w:r>
        <w:t>Calculate employee deductions and employer costs according to eligibility and current law: EPF/social-security contributions, ESI where applicable, professional tax by state where applicable, income-tax withholding, approved loan/advance recovery, insurance or other authorized deductions. Validate exemptions, declarations, tax regime elections and year-to-date totals.</w:t>
      </w:r>
    </w:p>
    <w:p>
      <w:r>
        <w:rPr>
          <w:b/>
          <w:color w:val="006633"/>
        </w:rPr>
        <w:t>Checkpoint: Statutory base, rate, ceiling, eligibility and rounding rules are version-controlled and reviewed. Do not apply a contribution to every employee without checking coverage rules.</w:t>
      </w:r>
    </w:p>
    <w:p>
      <w:pPr>
        <w:pStyle w:val="Heading2"/>
      </w:pPr>
      <w:r>
        <w:t>Step 6 — Run preliminary payroll and exception reports</w:t>
      </w:r>
    </w:p>
    <w:p>
      <w:r>
        <w:t>Generate gross-to-net results, payroll register, bank payment summary, cost-centre report, statutory liability report, negative-net-pay report, zero-pay report, duplicate-payment report, unusually high/low net-pay report and master-data-change report.</w:t>
      </w:r>
    </w:p>
    <w:p>
      <w:r>
        <w:rPr>
          <w:b/>
          <w:color w:val="006633"/>
        </w:rPr>
        <w:t>Checkpoint: Exceptions are assigned to an owner, corrected at source and rerun. Manual overrides require reason, evidence and approval.</w:t>
      </w:r>
    </w:p>
    <w:p>
      <w:pPr>
        <w:pStyle w:val="Heading2"/>
      </w:pPr>
      <w:r>
        <w:t>Step 7 — Independent review and approval</w:t>
      </w:r>
    </w:p>
    <w:p>
      <w:r>
        <w:t>A reviewer who did not prepare the payroll checks totals, sample employee calculations, new hires, leavers, salary changes, high-value payments, tax changes, statutory totals, prior-month variance and funding requirements. Payroll Manager signs off; Finance/Treasury confirms funds and payment totals.</w:t>
      </w:r>
    </w:p>
    <w:p>
      <w:r>
        <w:rPr>
          <w:b/>
          <w:color w:val="006633"/>
        </w:rPr>
        <w:t>Checkpoint: Maker-checker separation; signed final register; no unresolved critical exception.</w:t>
      </w:r>
    </w:p>
    <w:p>
      <w:pPr>
        <w:pStyle w:val="Heading2"/>
      </w:pPr>
      <w:r>
        <w:t>Step 8 — Lock payroll and pay employees</w:t>
      </w:r>
    </w:p>
    <w:p>
      <w:r>
        <w:t>Lock the approved payroll run. Generate the bank upload file from the approved system output, verify payee count and net-pay total, encrypt or securely transfer the file, and obtain dual authorization in the banking platform. Publish payslips through a secure employee portal.</w:t>
      </w:r>
    </w:p>
    <w:p>
      <w:r>
        <w:rPr>
          <w:b/>
          <w:color w:val="006633"/>
        </w:rPr>
        <w:t>Checkpoint: Bank file total and employee count match the approved register. Do not edit the bank file manually; regenerate it from the system after corrections.</w:t>
      </w:r>
    </w:p>
    <w:p>
      <w:pPr>
        <w:pStyle w:val="Heading2"/>
      </w:pPr>
      <w:r>
        <w:t>Step 9 — Remit statutory dues and file returns</w:t>
      </w:r>
    </w:p>
    <w:p>
      <w:r>
        <w:t>Prepare applicable statutory challans, returns and reconciliations. Verify liability against the payroll register, pay through authorized channels, retain portal acknowledgements and proof of payment, and track due dates in a compliance calendar.</w:t>
      </w:r>
    </w:p>
    <w:p>
      <w:r>
        <w:rPr>
          <w:b/>
          <w:color w:val="006633"/>
        </w:rPr>
        <w:t>Checkpoint: Independent review of challan amount, period, establishment identifiers and employee-level totals before submission.</w:t>
      </w:r>
    </w:p>
    <w:p>
      <w:pPr>
        <w:pStyle w:val="Heading2"/>
      </w:pPr>
      <w:r>
        <w:t>Step 10 — Reconcile and close</w:t>
      </w:r>
    </w:p>
    <w:p>
      <w:r>
        <w:t>Reconcile bank debit to the net-pay register, rejected transactions to reissue actions, payroll liabilities to remittances, and payroll journals to the general ledger. Investigate suspense items and employee queries; document root cause and corrective action. Archive the signed payroll close pack with restricted access.</w:t>
      </w:r>
    </w:p>
    <w:p>
      <w:r>
        <w:rPr>
          <w:b/>
          <w:color w:val="006633"/>
        </w:rPr>
        <w:t>Checkpoint: Reconciliation signed by a person independent of payroll preparation; all variances have owners and target dates.</w:t>
      </w:r>
    </w:p>
    <w:p>
      <w:pPr>
        <w:pStyle w:val="Heading1"/>
      </w:pPr>
      <w:r>
        <w:t>5. Payroll Calculation Framework</w:t>
      </w:r>
    </w:p>
    <w:p>
      <w:r>
        <w:t>A payroll system should use approved pay components and rules rather than hard-coded assumptions. The following formulas are illustrative and must be configured to match employment contracts, current tax law and applicable state rules.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
              <w:rPr>
                <w:rFonts w:ascii="Arial" w:hAnsi="Arial"/>
                <w:b/>
                <w:sz w:val="17"/>
              </w:rPr>
              <w:t>Calculation</w:t>
            </w:r>
          </w:p>
        </w:tc>
        <w:tc>
          <w:tcPr>
            <w:tcW w:type="dxa" w:w="3312"/>
            <w:shd w:fill="D9EAF7"/>
          </w:tcPr>
          <w:p>
            <w:r/>
            <w:r>
              <w:rPr>
                <w:rFonts w:ascii="Arial" w:hAnsi="Arial"/>
                <w:b/>
                <w:sz w:val="17"/>
              </w:rPr>
              <w:t>Illustrative approach</w:t>
            </w:r>
          </w:p>
        </w:tc>
        <w:tc>
          <w:tcPr>
            <w:tcW w:type="dxa" w:w="3312"/>
            <w:shd w:fill="D9EAF7"/>
          </w:tcPr>
          <w:p>
            <w:r/>
            <w:r>
              <w:rPr>
                <w:rFonts w:ascii="Arial" w:hAnsi="Arial"/>
                <w:b/>
                <w:sz w:val="17"/>
              </w:rPr>
              <w:t>Control consideration</w:t>
            </w:r>
          </w:p>
        </w:tc>
      </w:tr>
      <w:tr>
        <w:tc>
          <w:tcPr>
            <w:tcW w:type="dxa" w:w="3312"/>
          </w:tcPr>
          <w:p>
            <w:r/>
            <w:r>
              <w:rPr>
                <w:rFonts w:ascii="Arial" w:hAnsi="Arial"/>
                <w:b w:val="0"/>
                <w:sz w:val="17"/>
              </w:rPr>
              <w:t>Gross earnings</w:t>
            </w:r>
          </w:p>
        </w:tc>
        <w:tc>
          <w:tcPr>
            <w:tcW w:type="dxa" w:w="3312"/>
          </w:tcPr>
          <w:p>
            <w:r/>
            <w:r>
              <w:rPr>
                <w:rFonts w:ascii="Arial" w:hAnsi="Arial"/>
                <w:b w:val="0"/>
                <w:sz w:val="17"/>
              </w:rPr>
              <w:t>Fixed monthly earnings + eligible variable pay + overtime/arrears + taxable benefits</w:t>
            </w:r>
          </w:p>
        </w:tc>
        <w:tc>
          <w:tcPr>
            <w:tcW w:type="dxa" w:w="3312"/>
          </w:tcPr>
          <w:p>
            <w:r/>
            <w:r>
              <w:rPr>
                <w:rFonts w:ascii="Arial" w:hAnsi="Arial"/>
                <w:b w:val="0"/>
                <w:sz w:val="17"/>
              </w:rPr>
              <w:t>Confirm approved components, proration rules and correct pay period.</w:t>
            </w:r>
          </w:p>
        </w:tc>
      </w:tr>
      <w:tr>
        <w:tc>
          <w:tcPr>
            <w:tcW w:type="dxa" w:w="3312"/>
          </w:tcPr>
          <w:p>
            <w:r/>
            <w:r>
              <w:rPr>
                <w:rFonts w:ascii="Arial" w:hAnsi="Arial"/>
                <w:b w:val="0"/>
                <w:sz w:val="17"/>
              </w:rPr>
              <w:t>Prorated salary</w:t>
            </w:r>
          </w:p>
        </w:tc>
        <w:tc>
          <w:tcPr>
            <w:tcW w:type="dxa" w:w="3312"/>
          </w:tcPr>
          <w:p>
            <w:r/>
            <w:r>
              <w:rPr>
                <w:rFonts w:ascii="Arial" w:hAnsi="Arial"/>
                <w:b w:val="0"/>
                <w:sz w:val="17"/>
              </w:rPr>
              <w:t>Monthly component × eligible payable days ÷ defined proration divisor</w:t>
            </w:r>
          </w:p>
        </w:tc>
        <w:tc>
          <w:tcPr>
            <w:tcW w:type="dxa" w:w="3312"/>
          </w:tcPr>
          <w:p>
            <w:r/>
            <w:r>
              <w:rPr>
                <w:rFonts w:ascii="Arial" w:hAnsi="Arial"/>
                <w:b w:val="0"/>
                <w:sz w:val="17"/>
              </w:rPr>
              <w:t>Document whether divisor is calendar days, working days or another lawful/contractual basis.</w:t>
            </w:r>
          </w:p>
        </w:tc>
      </w:tr>
      <w:tr>
        <w:tc>
          <w:tcPr>
            <w:tcW w:type="dxa" w:w="3312"/>
          </w:tcPr>
          <w:p>
            <w:r/>
            <w:r>
              <w:rPr>
                <w:rFonts w:ascii="Arial" w:hAnsi="Arial"/>
                <w:b w:val="0"/>
                <w:sz w:val="17"/>
              </w:rPr>
              <w:t>Taxable salary</w:t>
            </w:r>
          </w:p>
        </w:tc>
        <w:tc>
          <w:tcPr>
            <w:tcW w:type="dxa" w:w="3312"/>
          </w:tcPr>
          <w:p>
            <w:r/>
            <w:r>
              <w:rPr>
                <w:rFonts w:ascii="Arial" w:hAnsi="Arial"/>
                <w:b w:val="0"/>
                <w:sz w:val="17"/>
              </w:rPr>
              <w:t>Taxable earnings and benefits less eligible exemptions/deductions under the applicable tax regime</w:t>
            </w:r>
          </w:p>
        </w:tc>
        <w:tc>
          <w:tcPr>
            <w:tcW w:type="dxa" w:w="3312"/>
          </w:tcPr>
          <w:p>
            <w:r/>
            <w:r>
              <w:rPr>
                <w:rFonts w:ascii="Arial" w:hAnsi="Arial"/>
                <w:b w:val="0"/>
                <w:sz w:val="17"/>
              </w:rPr>
              <w:t>Taxability is component-specific; do not assume all reimbursements are exempt.</w:t>
            </w:r>
          </w:p>
        </w:tc>
      </w:tr>
      <w:tr>
        <w:tc>
          <w:tcPr>
            <w:tcW w:type="dxa" w:w="3312"/>
          </w:tcPr>
          <w:p>
            <w:r/>
            <w:r>
              <w:rPr>
                <w:rFonts w:ascii="Arial" w:hAnsi="Arial"/>
                <w:b w:val="0"/>
                <w:sz w:val="17"/>
              </w:rPr>
              <w:t>Income-tax withholding</w:t>
            </w:r>
          </w:p>
        </w:tc>
        <w:tc>
          <w:tcPr>
            <w:tcW w:type="dxa" w:w="3312"/>
          </w:tcPr>
          <w:p>
            <w:r/>
            <w:r>
              <w:rPr>
                <w:rFonts w:ascii="Arial" w:hAnsi="Arial"/>
                <w:b w:val="0"/>
                <w:sz w:val="17"/>
              </w:rPr>
              <w:t>Estimated annual tax based on current-year law and employee declarations ÷ remaining payroll periods, adjusted for tax already withheld</w:t>
            </w:r>
          </w:p>
        </w:tc>
        <w:tc>
          <w:tcPr>
            <w:tcW w:type="dxa" w:w="3312"/>
          </w:tcPr>
          <w:p>
            <w:r/>
            <w:r>
              <w:rPr>
                <w:rFonts w:ascii="Arial" w:hAnsi="Arial"/>
                <w:b w:val="0"/>
                <w:sz w:val="17"/>
              </w:rPr>
              <w:t>Use current tax-year rules, correct regime, year-to-date totals and official tax tables.</w:t>
            </w:r>
          </w:p>
        </w:tc>
      </w:tr>
      <w:tr>
        <w:tc>
          <w:tcPr>
            <w:tcW w:type="dxa" w:w="3312"/>
          </w:tcPr>
          <w:p>
            <w:r/>
            <w:r>
              <w:rPr>
                <w:rFonts w:ascii="Arial" w:hAnsi="Arial"/>
                <w:b w:val="0"/>
                <w:sz w:val="17"/>
              </w:rPr>
              <w:t>Employee net pay</w:t>
            </w:r>
          </w:p>
        </w:tc>
        <w:tc>
          <w:tcPr>
            <w:tcW w:type="dxa" w:w="3312"/>
          </w:tcPr>
          <w:p>
            <w:r/>
            <w:r>
              <w:rPr>
                <w:rFonts w:ascii="Arial" w:hAnsi="Arial"/>
                <w:b w:val="0"/>
                <w:sz w:val="17"/>
              </w:rPr>
              <w:t>Gross earnings − employee deductions − tax withholding − authorized recoveries</w:t>
            </w:r>
          </w:p>
        </w:tc>
        <w:tc>
          <w:tcPr>
            <w:tcW w:type="dxa" w:w="3312"/>
          </w:tcPr>
          <w:p>
            <w:r/>
            <w:r>
              <w:rPr>
                <w:rFonts w:ascii="Arial" w:hAnsi="Arial"/>
                <w:b w:val="0"/>
                <w:sz w:val="17"/>
              </w:rPr>
              <w:t>Negative or unusually low net pay must be reviewed before release.</w:t>
            </w:r>
          </w:p>
        </w:tc>
      </w:tr>
      <w:tr>
        <w:tc>
          <w:tcPr>
            <w:tcW w:type="dxa" w:w="3312"/>
          </w:tcPr>
          <w:p>
            <w:r/>
            <w:r>
              <w:rPr>
                <w:rFonts w:ascii="Arial" w:hAnsi="Arial"/>
                <w:b w:val="0"/>
                <w:sz w:val="17"/>
              </w:rPr>
              <w:t>Employer payroll cost</w:t>
            </w:r>
          </w:p>
        </w:tc>
        <w:tc>
          <w:tcPr>
            <w:tcW w:type="dxa" w:w="3312"/>
          </w:tcPr>
          <w:p>
            <w:r/>
            <w:r>
              <w:rPr>
                <w:rFonts w:ascii="Arial" w:hAnsi="Arial"/>
                <w:b w:val="0"/>
                <w:sz w:val="17"/>
              </w:rPr>
              <w:t>Gross earnings + employer statutory contributions + employer-paid benefits</w:t>
            </w:r>
          </w:p>
        </w:tc>
        <w:tc>
          <w:tcPr>
            <w:tcW w:type="dxa" w:w="3312"/>
          </w:tcPr>
          <w:p>
            <w:r/>
            <w:r>
              <w:rPr>
                <w:rFonts w:ascii="Arial" w:hAnsi="Arial"/>
                <w:b w:val="0"/>
                <w:sz w:val="17"/>
              </w:rPr>
              <w:t>Keep employer contributions separate from employee deductions in accounting.</w:t>
            </w:r>
          </w:p>
        </w:tc>
      </w:tr>
    </w:tbl>
    <w:p/>
    <w:p>
      <w:pPr>
        <w:pStyle w:val="Heading2"/>
      </w:pPr>
      <w:r>
        <w:t>5.1 Illustrative employee calculation</w:t>
      </w:r>
    </w:p>
    <w:p>
      <w:r>
        <w:t>Example only: monthly gross earnings ₹40,000; employee PF deduction ₹2,000; tax withholding ₹1,000; other authorized deduction ₹500. Illustrative net pay = ₹40,000 − ₹2,000 − ₹1,000 − ₹500 = ₹36,500. This example is not a statutory calculation; actual PF basis, tax and other deductions depend on current law and employee circumstances.</w:t>
      </w:r>
    </w:p>
    <w:p>
      <w:pPr>
        <w:pStyle w:val="Heading2"/>
      </w:pPr>
      <w:r>
        <w:t>5.2 Benefits management</w:t>
      </w:r>
    </w:p>
    <w:p>
      <w:pPr>
        <w:pStyle w:val="ListBullet"/>
      </w:pPr>
      <w:r>
        <w:t>Maintain eligibility rules and enrolment evidence for health insurance, life/accident cover, meal/transport benefits, retirement plans and other benefits.</w:t>
      </w:r>
    </w:p>
    <w:p>
      <w:pPr>
        <w:pStyle w:val="ListBullet"/>
      </w:pPr>
      <w:r>
        <w:t>Track employee and employer shares separately; reconcile insurer invoices or benefit-provider files to the eligible employee population.</w:t>
      </w:r>
    </w:p>
    <w:p>
      <w:pPr>
        <w:pStyle w:val="ListBullet"/>
      </w:pPr>
      <w:r>
        <w:t>Record taxable benefits in the correct payroll period and include them in tax reporting where required.</w:t>
      </w:r>
    </w:p>
    <w:p>
      <w:pPr>
        <w:pStyle w:val="ListBullet"/>
      </w:pPr>
      <w:r>
        <w:t>Process joiner/leaver changes promptly to avoid missed coverage or payments for ineligible employees.</w:t>
      </w:r>
    </w:p>
    <w:p>
      <w:pPr>
        <w:pStyle w:val="ListBullet"/>
      </w:pPr>
      <w:r>
        <w:t>Reconcile benefit deductions from employees to invoices and remittances; investigate differences.</w:t>
      </w:r>
    </w:p>
    <w:p>
      <w:pPr>
        <w:pStyle w:val="Heading1"/>
      </w:pPr>
      <w:r>
        <w:t>6. Statutory Compliance — India</w:t>
      </w:r>
    </w:p>
    <w:p>
      <w:r>
        <w:t>The compliance owner must maintain a current legal register and validate requirements for the enterprise’s establishment, state, industry, employee category and wage period. India’s labour-code and tax framework may change; legal interpretation and applicable rules should be confirmed with official notifications or qualified advisers before implementation.</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
              <w:rPr>
                <w:rFonts w:ascii="Arial" w:hAnsi="Arial"/>
                <w:b/>
                <w:sz w:val="17"/>
              </w:rPr>
              <w:t>Area</w:t>
            </w:r>
          </w:p>
        </w:tc>
        <w:tc>
          <w:tcPr>
            <w:tcW w:type="dxa" w:w="3312"/>
            <w:shd w:fill="D9EAF7"/>
          </w:tcPr>
          <w:p>
            <w:r/>
            <w:r>
              <w:rPr>
                <w:rFonts w:ascii="Arial" w:hAnsi="Arial"/>
                <w:b/>
                <w:sz w:val="17"/>
              </w:rPr>
              <w:t>Payroll design requirement</w:t>
            </w:r>
          </w:p>
        </w:tc>
        <w:tc>
          <w:tcPr>
            <w:tcW w:type="dxa" w:w="3312"/>
            <w:shd w:fill="D9EAF7"/>
          </w:tcPr>
          <w:p>
            <w:r/>
            <w:r>
              <w:rPr>
                <w:rFonts w:ascii="Arial" w:hAnsi="Arial"/>
                <w:b/>
                <w:sz w:val="17"/>
              </w:rPr>
              <w:t>Evidence / review</w:t>
            </w:r>
          </w:p>
        </w:tc>
      </w:tr>
      <w:tr>
        <w:tc>
          <w:tcPr>
            <w:tcW w:type="dxa" w:w="3312"/>
          </w:tcPr>
          <w:p>
            <w:r/>
            <w:r>
              <w:rPr>
                <w:rFonts w:ascii="Arial" w:hAnsi="Arial"/>
                <w:b w:val="0"/>
                <w:sz w:val="17"/>
              </w:rPr>
              <w:t>Income-tax withholding</w:t>
            </w:r>
          </w:p>
        </w:tc>
        <w:tc>
          <w:tcPr>
            <w:tcW w:type="dxa" w:w="3312"/>
          </w:tcPr>
          <w:p>
            <w:r/>
            <w:r>
              <w:rPr>
                <w:rFonts w:ascii="Arial" w:hAnsi="Arial"/>
                <w:b w:val="0"/>
                <w:sz w:val="17"/>
              </w:rPr>
              <w:t>Calculate salary tax using the applicable tax year, tax regime, projected annual income, eligible deductions/reliefs and year-to-date tax withheld. For Tax Year 2026–27, consult the Income Tax Act, 2025 and current Income Tax Department guidance.</w:t>
            </w:r>
          </w:p>
        </w:tc>
        <w:tc>
          <w:tcPr>
            <w:tcW w:type="dxa" w:w="3312"/>
          </w:tcPr>
          <w:p>
            <w:r/>
            <w:r>
              <w:rPr>
                <w:rFonts w:ascii="Arial" w:hAnsi="Arial"/>
                <w:b w:val="0"/>
                <w:sz w:val="17"/>
              </w:rPr>
              <w:t>Tax computation sheet, employee declarations, withholding register, challan/return acknowledgements.</w:t>
            </w:r>
          </w:p>
        </w:tc>
      </w:tr>
      <w:tr>
        <w:tc>
          <w:tcPr>
            <w:tcW w:type="dxa" w:w="3312"/>
          </w:tcPr>
          <w:p>
            <w:r/>
            <w:r>
              <w:rPr>
                <w:rFonts w:ascii="Arial" w:hAnsi="Arial"/>
                <w:b w:val="0"/>
                <w:sz w:val="17"/>
              </w:rPr>
              <w:t>EPF / EPS / EDLI</w:t>
            </w:r>
          </w:p>
        </w:tc>
        <w:tc>
          <w:tcPr>
            <w:tcW w:type="dxa" w:w="3312"/>
          </w:tcPr>
          <w:p>
            <w:r/>
            <w:r>
              <w:rPr>
                <w:rFonts w:ascii="Arial" w:hAnsi="Arial"/>
                <w:b w:val="0"/>
                <w:sz w:val="17"/>
              </w:rPr>
              <w:t>Check establishment coverage, employee membership and eligibility, applicable wage definition/ceiling, contribution rate, pension eligibility and current notifications. The statutory wage ceiling was reported as revised to ₹25,000 effective 17 September 2026; verify the Gazette notification and transition instructions before applying it.</w:t>
            </w:r>
          </w:p>
        </w:tc>
        <w:tc>
          <w:tcPr>
            <w:tcW w:type="dxa" w:w="3312"/>
          </w:tcPr>
          <w:p>
            <w:r/>
            <w:r>
              <w:rPr>
                <w:rFonts w:ascii="Arial" w:hAnsi="Arial"/>
                <w:b w:val="0"/>
                <w:sz w:val="17"/>
              </w:rPr>
              <w:t>UAN/member data, ECR, challan, employee-level contribution reconciliation.</w:t>
            </w:r>
          </w:p>
        </w:tc>
      </w:tr>
      <w:tr>
        <w:tc>
          <w:tcPr>
            <w:tcW w:type="dxa" w:w="3312"/>
          </w:tcPr>
          <w:p>
            <w:r/>
            <w:r>
              <w:rPr>
                <w:rFonts w:ascii="Arial" w:hAnsi="Arial"/>
                <w:b w:val="0"/>
                <w:sz w:val="17"/>
              </w:rPr>
              <w:t>ESI</w:t>
            </w:r>
          </w:p>
        </w:tc>
        <w:tc>
          <w:tcPr>
            <w:tcW w:type="dxa" w:w="3312"/>
          </w:tcPr>
          <w:p>
            <w:r/>
            <w:r>
              <w:rPr>
                <w:rFonts w:ascii="Arial" w:hAnsi="Arial"/>
                <w:b w:val="0"/>
                <w:sz w:val="17"/>
              </w:rPr>
              <w:t>Check establishment coverage and employee eligibility using the current wage threshold and applicable rules. Do not use a historic rate or threshold without validation.</w:t>
            </w:r>
          </w:p>
        </w:tc>
        <w:tc>
          <w:tcPr>
            <w:tcW w:type="dxa" w:w="3312"/>
          </w:tcPr>
          <w:p>
            <w:r/>
            <w:r>
              <w:rPr>
                <w:rFonts w:ascii="Arial" w:hAnsi="Arial"/>
                <w:b w:val="0"/>
                <w:sz w:val="17"/>
              </w:rPr>
              <w:t>Insurance number, contribution calculation, challan and filing acknowledgement.</w:t>
            </w:r>
          </w:p>
        </w:tc>
      </w:tr>
      <w:tr>
        <w:tc>
          <w:tcPr>
            <w:tcW w:type="dxa" w:w="3312"/>
          </w:tcPr>
          <w:p>
            <w:r/>
            <w:r>
              <w:rPr>
                <w:rFonts w:ascii="Arial" w:hAnsi="Arial"/>
                <w:b w:val="0"/>
                <w:sz w:val="17"/>
              </w:rPr>
              <w:t>Professional tax</w:t>
            </w:r>
          </w:p>
        </w:tc>
        <w:tc>
          <w:tcPr>
            <w:tcW w:type="dxa" w:w="3312"/>
          </w:tcPr>
          <w:p>
            <w:r/>
            <w:r>
              <w:rPr>
                <w:rFonts w:ascii="Arial" w:hAnsi="Arial"/>
                <w:b w:val="0"/>
                <w:sz w:val="17"/>
              </w:rPr>
              <w:t>Apply the relevant state/municipal law, salary slab, exemptions and remittance timetable where applicable.</w:t>
            </w:r>
          </w:p>
        </w:tc>
        <w:tc>
          <w:tcPr>
            <w:tcW w:type="dxa" w:w="3312"/>
          </w:tcPr>
          <w:p>
            <w:r/>
            <w:r>
              <w:rPr>
                <w:rFonts w:ascii="Arial" w:hAnsi="Arial"/>
                <w:b w:val="0"/>
                <w:sz w:val="17"/>
              </w:rPr>
              <w:t>State-wise rule table, deduction register, payment receipt.</w:t>
            </w:r>
          </w:p>
        </w:tc>
      </w:tr>
      <w:tr>
        <w:tc>
          <w:tcPr>
            <w:tcW w:type="dxa" w:w="3312"/>
          </w:tcPr>
          <w:p>
            <w:r/>
            <w:r>
              <w:rPr>
                <w:rFonts w:ascii="Arial" w:hAnsi="Arial"/>
                <w:b w:val="0"/>
                <w:sz w:val="17"/>
              </w:rPr>
              <w:t>Minimum wages and wage payment</w:t>
            </w:r>
          </w:p>
        </w:tc>
        <w:tc>
          <w:tcPr>
            <w:tcW w:type="dxa" w:w="3312"/>
          </w:tcPr>
          <w:p>
            <w:r/>
            <w:r>
              <w:rPr>
                <w:rFonts w:ascii="Arial" w:hAnsi="Arial"/>
                <w:b w:val="0"/>
                <w:sz w:val="17"/>
              </w:rPr>
              <w:t>Ensure pay components and rates comply with applicable wage law, employment terms, wage period and payment deadlines. Review the current implementation of labour codes and state rules.</w:t>
            </w:r>
          </w:p>
        </w:tc>
        <w:tc>
          <w:tcPr>
            <w:tcW w:type="dxa" w:w="3312"/>
          </w:tcPr>
          <w:p>
            <w:r/>
            <w:r>
              <w:rPr>
                <w:rFonts w:ascii="Arial" w:hAnsi="Arial"/>
                <w:b w:val="0"/>
                <w:sz w:val="17"/>
              </w:rPr>
              <w:t>Approved salary structure, minimum-wage comparison, payroll date evidence.</w:t>
            </w:r>
          </w:p>
        </w:tc>
      </w:tr>
      <w:tr>
        <w:tc>
          <w:tcPr>
            <w:tcW w:type="dxa" w:w="3312"/>
          </w:tcPr>
          <w:p>
            <w:r/>
            <w:r>
              <w:rPr>
                <w:rFonts w:ascii="Arial" w:hAnsi="Arial"/>
                <w:b w:val="0"/>
                <w:sz w:val="17"/>
              </w:rPr>
              <w:t>Gratuity, leave and final settlement</w:t>
            </w:r>
          </w:p>
        </w:tc>
        <w:tc>
          <w:tcPr>
            <w:tcW w:type="dxa" w:w="3312"/>
          </w:tcPr>
          <w:p>
            <w:r/>
            <w:r>
              <w:rPr>
                <w:rFonts w:ascii="Arial" w:hAnsi="Arial"/>
                <w:b w:val="0"/>
                <w:sz w:val="17"/>
              </w:rPr>
              <w:t>Calculate eligibility and accrual/settlement according to applicable law, service history, wage definition and company policy. Review final settlement separately for leavers.</w:t>
            </w:r>
          </w:p>
        </w:tc>
        <w:tc>
          <w:tcPr>
            <w:tcW w:type="dxa" w:w="3312"/>
          </w:tcPr>
          <w:p>
            <w:r/>
            <w:r>
              <w:rPr>
                <w:rFonts w:ascii="Arial" w:hAnsi="Arial"/>
                <w:b w:val="0"/>
                <w:sz w:val="17"/>
              </w:rPr>
              <w:t>Service record, leave balance, calculation sheet, approvals.</w:t>
            </w:r>
          </w:p>
        </w:tc>
      </w:tr>
      <w:tr>
        <w:tc>
          <w:tcPr>
            <w:tcW w:type="dxa" w:w="3312"/>
          </w:tcPr>
          <w:p>
            <w:r/>
            <w:r>
              <w:rPr>
                <w:rFonts w:ascii="Arial" w:hAnsi="Arial"/>
                <w:b w:val="0"/>
                <w:sz w:val="17"/>
              </w:rPr>
              <w:t>Other obligations</w:t>
            </w:r>
          </w:p>
        </w:tc>
        <w:tc>
          <w:tcPr>
            <w:tcW w:type="dxa" w:w="3312"/>
          </w:tcPr>
          <w:p>
            <w:r/>
            <w:r>
              <w:rPr>
                <w:rFonts w:ascii="Arial" w:hAnsi="Arial"/>
                <w:b w:val="0"/>
                <w:sz w:val="17"/>
              </w:rPr>
              <w:t>Assess bonus, maternity benefits, labour welfare fund, TDS certificates, annual statements, contractor/labour-supplier obligations and any sector-specific requirements as applicable.</w:t>
            </w:r>
          </w:p>
        </w:tc>
        <w:tc>
          <w:tcPr>
            <w:tcW w:type="dxa" w:w="3312"/>
          </w:tcPr>
          <w:p>
            <w:r/>
            <w:r>
              <w:rPr>
                <w:rFonts w:ascii="Arial" w:hAnsi="Arial"/>
                <w:b w:val="0"/>
                <w:sz w:val="17"/>
              </w:rPr>
              <w:t>Compliance calendar and legal register with owner and evidence.</w:t>
            </w:r>
          </w:p>
        </w:tc>
      </w:tr>
    </w:tbl>
    <w:p/>
    <w:p>
      <w:pPr>
        <w:pStyle w:val="Heading2"/>
      </w:pPr>
      <w:r>
        <w:t>6.1 Compliance control rules</w:t>
      </w:r>
    </w:p>
    <w:p>
      <w:pPr>
        <w:pStyle w:val="ListBullet"/>
      </w:pPr>
      <w:r>
        <w:t>Use an official-source review before changing a statutory rate, ceiling, definition or due date.</w:t>
      </w:r>
    </w:p>
    <w:p>
      <w:pPr>
        <w:pStyle w:val="ListBullet"/>
      </w:pPr>
      <w:r>
        <w:t>Maintain effective dates and version history for all payroll rules; test changes in a non-production environment where available.</w:t>
      </w:r>
    </w:p>
    <w:p>
      <w:pPr>
        <w:pStyle w:val="ListBullet"/>
      </w:pPr>
      <w:r>
        <w:t>Run an employee-level compliance reconciliation, not only a total-liability comparison.</w:t>
      </w:r>
    </w:p>
    <w:p>
      <w:pPr>
        <w:pStyle w:val="ListBullet"/>
      </w:pPr>
      <w:r>
        <w:t>Escalate missed deadlines or suspected underpayment immediately to the Payroll Manager, Finance Controller and legal/compliance adviser.</w:t>
      </w:r>
    </w:p>
    <w:p>
      <w:pPr>
        <w:pStyle w:val="ListBullet"/>
      </w:pPr>
      <w:r>
        <w:t>Retain challans, returns, acknowledgements and employee-level working papers under the approved retention policy.</w:t>
      </w:r>
    </w:p>
    <w:p>
      <w:pPr>
        <w:pStyle w:val="Heading1"/>
      </w:pPr>
      <w:r>
        <w:t>7. Roles and Responsibilities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
              <w:rPr>
                <w:rFonts w:ascii="Arial" w:hAnsi="Arial"/>
                <w:b/>
                <w:sz w:val="17"/>
              </w:rPr>
              <w:t>Role</w:t>
            </w:r>
          </w:p>
        </w:tc>
        <w:tc>
          <w:tcPr>
            <w:tcW w:type="dxa" w:w="3312"/>
            <w:shd w:fill="D9EAF7"/>
          </w:tcPr>
          <w:p>
            <w:r/>
            <w:r>
              <w:rPr>
                <w:rFonts w:ascii="Arial" w:hAnsi="Arial"/>
                <w:b/>
                <w:sz w:val="17"/>
              </w:rPr>
              <w:t>Primary responsibilities</w:t>
            </w:r>
          </w:p>
        </w:tc>
        <w:tc>
          <w:tcPr>
            <w:tcW w:type="dxa" w:w="3312"/>
            <w:shd w:fill="D9EAF7"/>
          </w:tcPr>
          <w:p>
            <w:r/>
            <w:r>
              <w:rPr>
                <w:rFonts w:ascii="Arial" w:hAnsi="Arial"/>
                <w:b/>
                <w:sz w:val="17"/>
              </w:rPr>
              <w:t>Key control / accountability</w:t>
            </w:r>
          </w:p>
        </w:tc>
      </w:tr>
      <w:tr>
        <w:tc>
          <w:tcPr>
            <w:tcW w:type="dxa" w:w="3312"/>
          </w:tcPr>
          <w:p>
            <w:r/>
            <w:r>
              <w:rPr>
                <w:rFonts w:ascii="Arial" w:hAnsi="Arial"/>
                <w:b w:val="0"/>
                <w:sz w:val="17"/>
              </w:rPr>
              <w:t>HR Operations</w:t>
            </w:r>
          </w:p>
        </w:tc>
        <w:tc>
          <w:tcPr>
            <w:tcW w:type="dxa" w:w="3312"/>
          </w:tcPr>
          <w:p>
            <w:r/>
            <w:r>
              <w:rPr>
                <w:rFonts w:ascii="Arial" w:hAnsi="Arial"/>
                <w:b w:val="0"/>
                <w:sz w:val="17"/>
              </w:rPr>
              <w:t>Employee master data, joiners/leavers, approved compensation changes, leave and policy inputs.</w:t>
            </w:r>
          </w:p>
        </w:tc>
        <w:tc>
          <w:tcPr>
            <w:tcW w:type="dxa" w:w="3312"/>
          </w:tcPr>
          <w:p>
            <w:r/>
            <w:r>
              <w:rPr>
                <w:rFonts w:ascii="Arial" w:hAnsi="Arial"/>
                <w:b w:val="0"/>
                <w:sz w:val="17"/>
              </w:rPr>
              <w:t>Authorized change request; effective-date validation.</w:t>
            </w:r>
          </w:p>
        </w:tc>
      </w:tr>
      <w:tr>
        <w:tc>
          <w:tcPr>
            <w:tcW w:type="dxa" w:w="3312"/>
          </w:tcPr>
          <w:p>
            <w:r/>
            <w:r>
              <w:rPr>
                <w:rFonts w:ascii="Arial" w:hAnsi="Arial"/>
                <w:b w:val="0"/>
                <w:sz w:val="17"/>
              </w:rPr>
              <w:t>Line Managers</w:t>
            </w:r>
          </w:p>
        </w:tc>
        <w:tc>
          <w:tcPr>
            <w:tcW w:type="dxa" w:w="3312"/>
          </w:tcPr>
          <w:p>
            <w:r/>
            <w:r>
              <w:rPr>
                <w:rFonts w:ascii="Arial" w:hAnsi="Arial"/>
                <w:b w:val="0"/>
                <w:sz w:val="17"/>
              </w:rPr>
              <w:t>Approve attendance exceptions, overtime, incentives and variable pay.</w:t>
            </w:r>
          </w:p>
        </w:tc>
        <w:tc>
          <w:tcPr>
            <w:tcW w:type="dxa" w:w="3312"/>
          </w:tcPr>
          <w:p>
            <w:r/>
            <w:r>
              <w:rPr>
                <w:rFonts w:ascii="Arial" w:hAnsi="Arial"/>
                <w:b w:val="0"/>
                <w:sz w:val="17"/>
              </w:rPr>
              <w:t>Approval before cut-off; business justification.</w:t>
            </w:r>
          </w:p>
        </w:tc>
      </w:tr>
      <w:tr>
        <w:tc>
          <w:tcPr>
            <w:tcW w:type="dxa" w:w="3312"/>
          </w:tcPr>
          <w:p>
            <w:r/>
            <w:r>
              <w:rPr>
                <w:rFonts w:ascii="Arial" w:hAnsi="Arial"/>
                <w:b w:val="0"/>
                <w:sz w:val="17"/>
              </w:rPr>
              <w:t>Timekeeping / Operations</w:t>
            </w:r>
          </w:p>
        </w:tc>
        <w:tc>
          <w:tcPr>
            <w:tcW w:type="dxa" w:w="3312"/>
          </w:tcPr>
          <w:p>
            <w:r/>
            <w:r>
              <w:rPr>
                <w:rFonts w:ascii="Arial" w:hAnsi="Arial"/>
                <w:b w:val="0"/>
                <w:sz w:val="17"/>
              </w:rPr>
              <w:t>Maintain attendance records, shifts, leave and overtime data.</w:t>
            </w:r>
          </w:p>
        </w:tc>
        <w:tc>
          <w:tcPr>
            <w:tcW w:type="dxa" w:w="3312"/>
          </w:tcPr>
          <w:p>
            <w:r/>
            <w:r>
              <w:rPr>
                <w:rFonts w:ascii="Arial" w:hAnsi="Arial"/>
                <w:b w:val="0"/>
                <w:sz w:val="17"/>
              </w:rPr>
              <w:t>Period lock; exception report and reconciliation.</w:t>
            </w:r>
          </w:p>
        </w:tc>
      </w:tr>
      <w:tr>
        <w:tc>
          <w:tcPr>
            <w:tcW w:type="dxa" w:w="3312"/>
          </w:tcPr>
          <w:p>
            <w:r/>
            <w:r>
              <w:rPr>
                <w:rFonts w:ascii="Arial" w:hAnsi="Arial"/>
                <w:b w:val="0"/>
                <w:sz w:val="17"/>
              </w:rPr>
              <w:t>Payroll Analyst (Maker)</w:t>
            </w:r>
          </w:p>
        </w:tc>
        <w:tc>
          <w:tcPr>
            <w:tcW w:type="dxa" w:w="3312"/>
          </w:tcPr>
          <w:p>
            <w:r/>
            <w:r>
              <w:rPr>
                <w:rFonts w:ascii="Arial" w:hAnsi="Arial"/>
                <w:b w:val="0"/>
                <w:sz w:val="17"/>
              </w:rPr>
              <w:t>Import data, calculate payroll, prepare reports and investigate errors.</w:t>
            </w:r>
          </w:p>
        </w:tc>
        <w:tc>
          <w:tcPr>
            <w:tcW w:type="dxa" w:w="3312"/>
          </w:tcPr>
          <w:p>
            <w:r/>
            <w:r>
              <w:rPr>
                <w:rFonts w:ascii="Arial" w:hAnsi="Arial"/>
                <w:b w:val="0"/>
                <w:sz w:val="17"/>
              </w:rPr>
              <w:t>Documented working papers; no final payment approval.</w:t>
            </w:r>
          </w:p>
        </w:tc>
      </w:tr>
      <w:tr>
        <w:tc>
          <w:tcPr>
            <w:tcW w:type="dxa" w:w="3312"/>
          </w:tcPr>
          <w:p>
            <w:r/>
            <w:r>
              <w:rPr>
                <w:rFonts w:ascii="Arial" w:hAnsi="Arial"/>
                <w:b w:val="0"/>
                <w:sz w:val="17"/>
              </w:rPr>
              <w:t>Payroll Reviewer (Checker)</w:t>
            </w:r>
          </w:p>
        </w:tc>
        <w:tc>
          <w:tcPr>
            <w:tcW w:type="dxa" w:w="3312"/>
          </w:tcPr>
          <w:p>
            <w:r/>
            <w:r>
              <w:rPr>
                <w:rFonts w:ascii="Arial" w:hAnsi="Arial"/>
                <w:b w:val="0"/>
                <w:sz w:val="17"/>
              </w:rPr>
              <w:t>Review variances, calculations, statutory bases, exceptions and reports.</w:t>
            </w:r>
          </w:p>
        </w:tc>
        <w:tc>
          <w:tcPr>
            <w:tcW w:type="dxa" w:w="3312"/>
          </w:tcPr>
          <w:p>
            <w:r/>
            <w:r>
              <w:rPr>
                <w:rFonts w:ascii="Arial" w:hAnsi="Arial"/>
                <w:b w:val="0"/>
                <w:sz w:val="17"/>
              </w:rPr>
              <w:t>Independent review and sign-off.</w:t>
            </w:r>
          </w:p>
        </w:tc>
      </w:tr>
      <w:tr>
        <w:tc>
          <w:tcPr>
            <w:tcW w:type="dxa" w:w="3312"/>
          </w:tcPr>
          <w:p>
            <w:r/>
            <w:r>
              <w:rPr>
                <w:rFonts w:ascii="Arial" w:hAnsi="Arial"/>
                <w:b w:val="0"/>
                <w:sz w:val="17"/>
              </w:rPr>
              <w:t>Payroll Manager</w:t>
            </w:r>
          </w:p>
        </w:tc>
        <w:tc>
          <w:tcPr>
            <w:tcW w:type="dxa" w:w="3312"/>
          </w:tcPr>
          <w:p>
            <w:r/>
            <w:r>
              <w:rPr>
                <w:rFonts w:ascii="Arial" w:hAnsi="Arial"/>
                <w:b w:val="0"/>
                <w:sz w:val="17"/>
              </w:rPr>
              <w:t>Own calendar, process, escalations, controls, compliance tracking and payroll close.</w:t>
            </w:r>
          </w:p>
        </w:tc>
        <w:tc>
          <w:tcPr>
            <w:tcW w:type="dxa" w:w="3312"/>
          </w:tcPr>
          <w:p>
            <w:r/>
            <w:r>
              <w:rPr>
                <w:rFonts w:ascii="Arial" w:hAnsi="Arial"/>
                <w:b w:val="0"/>
                <w:sz w:val="17"/>
              </w:rPr>
              <w:t>Final payroll certification; exception resolution.</w:t>
            </w:r>
          </w:p>
        </w:tc>
      </w:tr>
      <w:tr>
        <w:tc>
          <w:tcPr>
            <w:tcW w:type="dxa" w:w="3312"/>
          </w:tcPr>
          <w:p>
            <w:r/>
            <w:r>
              <w:rPr>
                <w:rFonts w:ascii="Arial" w:hAnsi="Arial"/>
                <w:b w:val="0"/>
                <w:sz w:val="17"/>
              </w:rPr>
              <w:t>Finance Controller</w:t>
            </w:r>
          </w:p>
        </w:tc>
        <w:tc>
          <w:tcPr>
            <w:tcW w:type="dxa" w:w="3312"/>
          </w:tcPr>
          <w:p>
            <w:r/>
            <w:r>
              <w:rPr>
                <w:rFonts w:ascii="Arial" w:hAnsi="Arial"/>
                <w:b w:val="0"/>
                <w:sz w:val="17"/>
              </w:rPr>
              <w:t>Approve payroll totals, journal entries, funding and reconciliations.</w:t>
            </w:r>
          </w:p>
        </w:tc>
        <w:tc>
          <w:tcPr>
            <w:tcW w:type="dxa" w:w="3312"/>
          </w:tcPr>
          <w:p>
            <w:r/>
            <w:r>
              <w:rPr>
                <w:rFonts w:ascii="Arial" w:hAnsi="Arial"/>
                <w:b w:val="0"/>
                <w:sz w:val="17"/>
              </w:rPr>
              <w:t>Independent financial review and ledger sign-off.</w:t>
            </w:r>
          </w:p>
        </w:tc>
      </w:tr>
      <w:tr>
        <w:tc>
          <w:tcPr>
            <w:tcW w:type="dxa" w:w="3312"/>
          </w:tcPr>
          <w:p>
            <w:r/>
            <w:r>
              <w:rPr>
                <w:rFonts w:ascii="Arial" w:hAnsi="Arial"/>
                <w:b w:val="0"/>
                <w:sz w:val="17"/>
              </w:rPr>
              <w:t>Treasury / Bank Authorizer</w:t>
            </w:r>
          </w:p>
        </w:tc>
        <w:tc>
          <w:tcPr>
            <w:tcW w:type="dxa" w:w="3312"/>
          </w:tcPr>
          <w:p>
            <w:r/>
            <w:r>
              <w:rPr>
                <w:rFonts w:ascii="Arial" w:hAnsi="Arial"/>
                <w:b w:val="0"/>
                <w:sz w:val="17"/>
              </w:rPr>
              <w:t>Release payment through bank platform using dual authorization.</w:t>
            </w:r>
          </w:p>
        </w:tc>
        <w:tc>
          <w:tcPr>
            <w:tcW w:type="dxa" w:w="3312"/>
          </w:tcPr>
          <w:p>
            <w:r/>
            <w:r>
              <w:rPr>
                <w:rFonts w:ascii="Arial" w:hAnsi="Arial"/>
                <w:b w:val="0"/>
                <w:sz w:val="17"/>
              </w:rPr>
              <w:t>Payee count and amount matched to approved payroll.</w:t>
            </w:r>
          </w:p>
        </w:tc>
      </w:tr>
      <w:tr>
        <w:tc>
          <w:tcPr>
            <w:tcW w:type="dxa" w:w="3312"/>
          </w:tcPr>
          <w:p>
            <w:r/>
            <w:r>
              <w:rPr>
                <w:rFonts w:ascii="Arial" w:hAnsi="Arial"/>
                <w:b w:val="0"/>
                <w:sz w:val="17"/>
              </w:rPr>
              <w:t>IT / Payroll System Administrator</w:t>
            </w:r>
          </w:p>
        </w:tc>
        <w:tc>
          <w:tcPr>
            <w:tcW w:type="dxa" w:w="3312"/>
          </w:tcPr>
          <w:p>
            <w:r/>
            <w:r>
              <w:rPr>
                <w:rFonts w:ascii="Arial" w:hAnsi="Arial"/>
                <w:b w:val="0"/>
                <w:sz w:val="17"/>
              </w:rPr>
              <w:t>Access provisioning, integrations, backups, logs, security and change management.</w:t>
            </w:r>
          </w:p>
        </w:tc>
        <w:tc>
          <w:tcPr>
            <w:tcW w:type="dxa" w:w="3312"/>
          </w:tcPr>
          <w:p>
            <w:r/>
            <w:r>
              <w:rPr>
                <w:rFonts w:ascii="Arial" w:hAnsi="Arial"/>
                <w:b w:val="0"/>
                <w:sz w:val="17"/>
              </w:rPr>
              <w:t>Least privilege; access review; segregation from payroll approval.</w:t>
            </w:r>
          </w:p>
        </w:tc>
      </w:tr>
      <w:tr>
        <w:tc>
          <w:tcPr>
            <w:tcW w:type="dxa" w:w="3312"/>
          </w:tcPr>
          <w:p>
            <w:r/>
            <w:r>
              <w:rPr>
                <w:rFonts w:ascii="Arial" w:hAnsi="Arial"/>
                <w:b w:val="0"/>
                <w:sz w:val="17"/>
              </w:rPr>
              <w:t>Internal Audit / Compliance</w:t>
            </w:r>
          </w:p>
        </w:tc>
        <w:tc>
          <w:tcPr>
            <w:tcW w:type="dxa" w:w="3312"/>
          </w:tcPr>
          <w:p>
            <w:r/>
            <w:r>
              <w:rPr>
                <w:rFonts w:ascii="Arial" w:hAnsi="Arial"/>
                <w:b w:val="0"/>
                <w:sz w:val="17"/>
              </w:rPr>
              <w:t>Risk-based testing, control design assessment and follow-up of findings.</w:t>
            </w:r>
          </w:p>
        </w:tc>
        <w:tc>
          <w:tcPr>
            <w:tcW w:type="dxa" w:w="3312"/>
          </w:tcPr>
          <w:p>
            <w:r/>
            <w:r>
              <w:rPr>
                <w:rFonts w:ascii="Arial" w:hAnsi="Arial"/>
                <w:b w:val="0"/>
                <w:sz w:val="17"/>
              </w:rPr>
              <w:t>Independent audit evidence and remediation tracking.</w:t>
            </w:r>
          </w:p>
        </w:tc>
      </w:tr>
      <w:tr>
        <w:tc>
          <w:tcPr>
            <w:tcW w:type="dxa" w:w="3312"/>
          </w:tcPr>
          <w:p>
            <w:r/>
            <w:r>
              <w:rPr>
                <w:rFonts w:ascii="Arial" w:hAnsi="Arial"/>
                <w:b w:val="0"/>
                <w:sz w:val="17"/>
              </w:rPr>
              <w:t>Employees</w:t>
            </w:r>
          </w:p>
        </w:tc>
        <w:tc>
          <w:tcPr>
            <w:tcW w:type="dxa" w:w="3312"/>
          </w:tcPr>
          <w:p>
            <w:r/>
            <w:r>
              <w:rPr>
                <w:rFonts w:ascii="Arial" w:hAnsi="Arial"/>
                <w:b w:val="0"/>
                <w:sz w:val="17"/>
              </w:rPr>
              <w:t>Submit accurate declarations and bank details; review payslips and report discrepancies promptly.</w:t>
            </w:r>
          </w:p>
        </w:tc>
        <w:tc>
          <w:tcPr>
            <w:tcW w:type="dxa" w:w="3312"/>
          </w:tcPr>
          <w:p>
            <w:r/>
            <w:r>
              <w:rPr>
                <w:rFonts w:ascii="Arial" w:hAnsi="Arial"/>
                <w:b w:val="0"/>
                <w:sz w:val="17"/>
              </w:rPr>
              <w:t>Secure self-service process and documented query resolution.</w:t>
            </w:r>
          </w:p>
        </w:tc>
      </w:tr>
    </w:tbl>
    <w:p/>
    <w:p>
      <w:pPr>
        <w:pStyle w:val="Heading1"/>
      </w:pPr>
      <w:r>
        <w:t>8. Risk Register and Mitigation Plan</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
              <w:rPr>
                <w:rFonts w:ascii="Arial" w:hAnsi="Arial"/>
                <w:b/>
                <w:sz w:val="17"/>
              </w:rPr>
              <w:t>Risk area</w:t>
            </w:r>
          </w:p>
        </w:tc>
        <w:tc>
          <w:tcPr>
            <w:tcW w:type="dxa" w:w="2484"/>
            <w:shd w:fill="D9EAF7"/>
          </w:tcPr>
          <w:p>
            <w:r/>
            <w:r>
              <w:rPr>
                <w:rFonts w:ascii="Arial" w:hAnsi="Arial"/>
                <w:b/>
                <w:sz w:val="17"/>
              </w:rPr>
              <w:t>Potential impact</w:t>
            </w:r>
          </w:p>
        </w:tc>
        <w:tc>
          <w:tcPr>
            <w:tcW w:type="dxa" w:w="2484"/>
            <w:shd w:fill="D9EAF7"/>
          </w:tcPr>
          <w:p>
            <w:r/>
            <w:r>
              <w:rPr>
                <w:rFonts w:ascii="Arial" w:hAnsi="Arial"/>
                <w:b/>
                <w:sz w:val="17"/>
              </w:rPr>
              <w:t>Preventive / detective controls</w:t>
            </w:r>
          </w:p>
        </w:tc>
        <w:tc>
          <w:tcPr>
            <w:tcW w:type="dxa" w:w="2484"/>
            <w:shd w:fill="D9EAF7"/>
          </w:tcPr>
          <w:p>
            <w:r/>
            <w:r>
              <w:rPr>
                <w:rFonts w:ascii="Arial" w:hAnsi="Arial"/>
                <w:b/>
                <w:sz w:val="17"/>
              </w:rPr>
              <w:t>Evidence / escalation</w:t>
            </w:r>
          </w:p>
        </w:tc>
      </w:tr>
      <w:tr>
        <w:tc>
          <w:tcPr>
            <w:tcW w:type="dxa" w:w="2484"/>
          </w:tcPr>
          <w:p>
            <w:r/>
            <w:r>
              <w:rPr>
                <w:rFonts w:ascii="Arial" w:hAnsi="Arial"/>
                <w:b w:val="0"/>
                <w:sz w:val="17"/>
              </w:rPr>
              <w:t>Incorrect or late inputs</w:t>
            </w:r>
          </w:p>
        </w:tc>
        <w:tc>
          <w:tcPr>
            <w:tcW w:type="dxa" w:w="2484"/>
          </w:tcPr>
          <w:p>
            <w:r/>
            <w:r>
              <w:rPr>
                <w:rFonts w:ascii="Arial" w:hAnsi="Arial"/>
                <w:b w:val="0"/>
                <w:sz w:val="17"/>
              </w:rPr>
              <w:t>Underpayment, overpayment, employee disputes</w:t>
            </w:r>
          </w:p>
        </w:tc>
        <w:tc>
          <w:tcPr>
            <w:tcW w:type="dxa" w:w="2484"/>
          </w:tcPr>
          <w:p>
            <w:r/>
            <w:r>
              <w:rPr>
                <w:rFonts w:ascii="Arial" w:hAnsi="Arial"/>
                <w:b w:val="0"/>
                <w:sz w:val="17"/>
              </w:rPr>
              <w:t>Published cut-off; source-owner sign-off; validation rules; late-input approval.</w:t>
            </w:r>
          </w:p>
        </w:tc>
        <w:tc>
          <w:tcPr>
            <w:tcW w:type="dxa" w:w="2484"/>
          </w:tcPr>
          <w:p>
            <w:r/>
            <w:r>
              <w:rPr>
                <w:rFonts w:ascii="Arial" w:hAnsi="Arial"/>
                <w:b w:val="0"/>
                <w:sz w:val="17"/>
              </w:rPr>
              <w:t>Input log; late-input report; HR escalation.</w:t>
            </w:r>
          </w:p>
        </w:tc>
      </w:tr>
      <w:tr>
        <w:tc>
          <w:tcPr>
            <w:tcW w:type="dxa" w:w="2484"/>
          </w:tcPr>
          <w:p>
            <w:r/>
            <w:r>
              <w:rPr>
                <w:rFonts w:ascii="Arial" w:hAnsi="Arial"/>
                <w:b w:val="0"/>
                <w:sz w:val="17"/>
              </w:rPr>
              <w:t>Ghost or duplicate employees</w:t>
            </w:r>
          </w:p>
        </w:tc>
        <w:tc>
          <w:tcPr>
            <w:tcW w:type="dxa" w:w="2484"/>
          </w:tcPr>
          <w:p>
            <w:r/>
            <w:r>
              <w:rPr>
                <w:rFonts w:ascii="Arial" w:hAnsi="Arial"/>
                <w:b w:val="0"/>
                <w:sz w:val="17"/>
              </w:rPr>
              <w:t>Fraudulent payments and financial loss</w:t>
            </w:r>
          </w:p>
        </w:tc>
        <w:tc>
          <w:tcPr>
            <w:tcW w:type="dxa" w:w="2484"/>
          </w:tcPr>
          <w:p>
            <w:r/>
            <w:r>
              <w:rPr>
                <w:rFonts w:ascii="Arial" w:hAnsi="Arial"/>
                <w:b w:val="0"/>
                <w:sz w:val="17"/>
              </w:rPr>
              <w:t>HRIS-to-payroll headcount reconciliation; unique employee IDs; inactive-user blocks.</w:t>
            </w:r>
          </w:p>
        </w:tc>
        <w:tc>
          <w:tcPr>
            <w:tcW w:type="dxa" w:w="2484"/>
          </w:tcPr>
          <w:p>
            <w:r/>
            <w:r>
              <w:rPr>
                <w:rFonts w:ascii="Arial" w:hAnsi="Arial"/>
                <w:b w:val="0"/>
                <w:sz w:val="17"/>
              </w:rPr>
              <w:t>Headcount reconciliation; duplicate report; investigation case.</w:t>
            </w:r>
          </w:p>
        </w:tc>
      </w:tr>
      <w:tr>
        <w:tc>
          <w:tcPr>
            <w:tcW w:type="dxa" w:w="2484"/>
          </w:tcPr>
          <w:p>
            <w:r/>
            <w:r>
              <w:rPr>
                <w:rFonts w:ascii="Arial" w:hAnsi="Arial"/>
                <w:b w:val="0"/>
                <w:sz w:val="17"/>
              </w:rPr>
              <w:t>Unauthorized salary/bank change</w:t>
            </w:r>
          </w:p>
        </w:tc>
        <w:tc>
          <w:tcPr>
            <w:tcW w:type="dxa" w:w="2484"/>
          </w:tcPr>
          <w:p>
            <w:r/>
            <w:r>
              <w:rPr>
                <w:rFonts w:ascii="Arial" w:hAnsi="Arial"/>
                <w:b w:val="0"/>
                <w:sz w:val="17"/>
              </w:rPr>
              <w:t>Diversion of salary or excess payment</w:t>
            </w:r>
          </w:p>
        </w:tc>
        <w:tc>
          <w:tcPr>
            <w:tcW w:type="dxa" w:w="2484"/>
          </w:tcPr>
          <w:p>
            <w:r/>
            <w:r>
              <w:rPr>
                <w:rFonts w:ascii="Arial" w:hAnsi="Arial"/>
                <w:b w:val="0"/>
                <w:sz w:val="17"/>
              </w:rPr>
              <w:t>Role-based access; maker-checker approval; independent bank-detail verification; change alerts.</w:t>
            </w:r>
          </w:p>
        </w:tc>
        <w:tc>
          <w:tcPr>
            <w:tcW w:type="dxa" w:w="2484"/>
          </w:tcPr>
          <w:p>
            <w:r/>
            <w:r>
              <w:rPr>
                <w:rFonts w:ascii="Arial" w:hAnsi="Arial"/>
                <w:b w:val="0"/>
                <w:sz w:val="17"/>
              </w:rPr>
              <w:t>Change log; verification record; security escalation.</w:t>
            </w:r>
          </w:p>
        </w:tc>
      </w:tr>
      <w:tr>
        <w:tc>
          <w:tcPr>
            <w:tcW w:type="dxa" w:w="2484"/>
          </w:tcPr>
          <w:p>
            <w:r/>
            <w:r>
              <w:rPr>
                <w:rFonts w:ascii="Arial" w:hAnsi="Arial"/>
                <w:b w:val="0"/>
                <w:sz w:val="17"/>
              </w:rPr>
              <w:t>Wrong tax/statutory rule</w:t>
            </w:r>
          </w:p>
        </w:tc>
        <w:tc>
          <w:tcPr>
            <w:tcW w:type="dxa" w:w="2484"/>
          </w:tcPr>
          <w:p>
            <w:r/>
            <w:r>
              <w:rPr>
                <w:rFonts w:ascii="Arial" w:hAnsi="Arial"/>
                <w:b w:val="0"/>
                <w:sz w:val="17"/>
              </w:rPr>
              <w:t>Under/over-deduction, penalties and corrections</w:t>
            </w:r>
          </w:p>
        </w:tc>
        <w:tc>
          <w:tcPr>
            <w:tcW w:type="dxa" w:w="2484"/>
          </w:tcPr>
          <w:p>
            <w:r/>
            <w:r>
              <w:rPr>
                <w:rFonts w:ascii="Arial" w:hAnsi="Arial"/>
                <w:b w:val="0"/>
                <w:sz w:val="17"/>
              </w:rPr>
              <w:t>Official-source legal register; effective-dated rule tables; periodic compliance review.</w:t>
            </w:r>
          </w:p>
        </w:tc>
        <w:tc>
          <w:tcPr>
            <w:tcW w:type="dxa" w:w="2484"/>
          </w:tcPr>
          <w:p>
            <w:r/>
            <w:r>
              <w:rPr>
                <w:rFonts w:ascii="Arial" w:hAnsi="Arial"/>
                <w:b w:val="0"/>
                <w:sz w:val="17"/>
              </w:rPr>
              <w:t>Rule-change approval; test results; compliance sign-off.</w:t>
            </w:r>
          </w:p>
        </w:tc>
      </w:tr>
      <w:tr>
        <w:tc>
          <w:tcPr>
            <w:tcW w:type="dxa" w:w="2484"/>
          </w:tcPr>
          <w:p>
            <w:r/>
            <w:r>
              <w:rPr>
                <w:rFonts w:ascii="Arial" w:hAnsi="Arial"/>
                <w:b w:val="0"/>
                <w:sz w:val="17"/>
              </w:rPr>
              <w:t>Payroll calculation/configuration error</w:t>
            </w:r>
          </w:p>
        </w:tc>
        <w:tc>
          <w:tcPr>
            <w:tcW w:type="dxa" w:w="2484"/>
          </w:tcPr>
          <w:p>
            <w:r/>
            <w:r>
              <w:rPr>
                <w:rFonts w:ascii="Arial" w:hAnsi="Arial"/>
                <w:b w:val="0"/>
                <w:sz w:val="17"/>
              </w:rPr>
              <w:t>Incorrect net pay and accounting</w:t>
            </w:r>
          </w:p>
        </w:tc>
        <w:tc>
          <w:tcPr>
            <w:tcW w:type="dxa" w:w="2484"/>
          </w:tcPr>
          <w:p>
            <w:r/>
            <w:r>
              <w:rPr>
                <w:rFonts w:ascii="Arial" w:hAnsi="Arial"/>
                <w:b w:val="0"/>
                <w:sz w:val="17"/>
              </w:rPr>
              <w:t>Test cases; parallel run for major changes; regression testing; variance analytics.</w:t>
            </w:r>
          </w:p>
        </w:tc>
        <w:tc>
          <w:tcPr>
            <w:tcW w:type="dxa" w:w="2484"/>
          </w:tcPr>
          <w:p>
            <w:r/>
            <w:r>
              <w:rPr>
                <w:rFonts w:ascii="Arial" w:hAnsi="Arial"/>
                <w:b w:val="0"/>
                <w:sz w:val="17"/>
              </w:rPr>
              <w:t>Test evidence; defect log; rerun approval.</w:t>
            </w:r>
          </w:p>
        </w:tc>
      </w:tr>
      <w:tr>
        <w:tc>
          <w:tcPr>
            <w:tcW w:type="dxa" w:w="2484"/>
          </w:tcPr>
          <w:p>
            <w:r/>
            <w:r>
              <w:rPr>
                <w:rFonts w:ascii="Arial" w:hAnsi="Arial"/>
                <w:b w:val="0"/>
                <w:sz w:val="17"/>
              </w:rPr>
              <w:t>Manual override or spreadsheet manipulation</w:t>
            </w:r>
          </w:p>
        </w:tc>
        <w:tc>
          <w:tcPr>
            <w:tcW w:type="dxa" w:w="2484"/>
          </w:tcPr>
          <w:p>
            <w:r/>
            <w:r>
              <w:rPr>
                <w:rFonts w:ascii="Arial" w:hAnsi="Arial"/>
                <w:b w:val="0"/>
                <w:sz w:val="17"/>
              </w:rPr>
              <w:t>Untraceable changes, fraud, inconsistent results</w:t>
            </w:r>
          </w:p>
        </w:tc>
        <w:tc>
          <w:tcPr>
            <w:tcW w:type="dxa" w:w="2484"/>
          </w:tcPr>
          <w:p>
            <w:r/>
            <w:r>
              <w:rPr>
                <w:rFonts w:ascii="Arial" w:hAnsi="Arial"/>
                <w:b w:val="0"/>
                <w:sz w:val="17"/>
              </w:rPr>
              <w:t>Restrict overrides; mandatory reason and evidence; version control; protect formulas; independent review.</w:t>
            </w:r>
          </w:p>
        </w:tc>
        <w:tc>
          <w:tcPr>
            <w:tcW w:type="dxa" w:w="2484"/>
          </w:tcPr>
          <w:p>
            <w:r/>
            <w:r>
              <w:rPr>
                <w:rFonts w:ascii="Arial" w:hAnsi="Arial"/>
                <w:b w:val="0"/>
                <w:sz w:val="17"/>
              </w:rPr>
              <w:t>Override report; access log; approval reference.</w:t>
            </w:r>
          </w:p>
        </w:tc>
      </w:tr>
      <w:tr>
        <w:tc>
          <w:tcPr>
            <w:tcW w:type="dxa" w:w="2484"/>
          </w:tcPr>
          <w:p>
            <w:r/>
            <w:r>
              <w:rPr>
                <w:rFonts w:ascii="Arial" w:hAnsi="Arial"/>
                <w:b w:val="0"/>
                <w:sz w:val="17"/>
              </w:rPr>
              <w:t>Unauthorized disclosure</w:t>
            </w:r>
          </w:p>
        </w:tc>
        <w:tc>
          <w:tcPr>
            <w:tcW w:type="dxa" w:w="2484"/>
          </w:tcPr>
          <w:p>
            <w:r/>
            <w:r>
              <w:rPr>
                <w:rFonts w:ascii="Arial" w:hAnsi="Arial"/>
                <w:b w:val="0"/>
                <w:sz w:val="17"/>
              </w:rPr>
              <w:t>Privacy breach, employee harm and legal exposure</w:t>
            </w:r>
          </w:p>
        </w:tc>
        <w:tc>
          <w:tcPr>
            <w:tcW w:type="dxa" w:w="2484"/>
          </w:tcPr>
          <w:p>
            <w:r/>
            <w:r>
              <w:rPr>
                <w:rFonts w:ascii="Arial" w:hAnsi="Arial"/>
                <w:b w:val="0"/>
                <w:sz w:val="17"/>
              </w:rPr>
              <w:t>Least privilege; encryption; secure payslip portal; no open email attachments; retention and disposal policy.</w:t>
            </w:r>
          </w:p>
        </w:tc>
        <w:tc>
          <w:tcPr>
            <w:tcW w:type="dxa" w:w="2484"/>
          </w:tcPr>
          <w:p>
            <w:r/>
            <w:r>
              <w:rPr>
                <w:rFonts w:ascii="Arial" w:hAnsi="Arial"/>
                <w:b w:val="0"/>
                <w:sz w:val="17"/>
              </w:rPr>
              <w:t>Access review; incident log; security response.</w:t>
            </w:r>
          </w:p>
        </w:tc>
      </w:tr>
      <w:tr>
        <w:tc>
          <w:tcPr>
            <w:tcW w:type="dxa" w:w="2484"/>
          </w:tcPr>
          <w:p>
            <w:r/>
            <w:r>
              <w:rPr>
                <w:rFonts w:ascii="Arial" w:hAnsi="Arial"/>
                <w:b w:val="0"/>
                <w:sz w:val="17"/>
              </w:rPr>
              <w:t>Payment file tampering or wrong total</w:t>
            </w:r>
          </w:p>
        </w:tc>
        <w:tc>
          <w:tcPr>
            <w:tcW w:type="dxa" w:w="2484"/>
          </w:tcPr>
          <w:p>
            <w:r/>
            <w:r>
              <w:rPr>
                <w:rFonts w:ascii="Arial" w:hAnsi="Arial"/>
                <w:b w:val="0"/>
                <w:sz w:val="17"/>
              </w:rPr>
              <w:t>Wrong recipients, duplicate or failed payments</w:t>
            </w:r>
          </w:p>
        </w:tc>
        <w:tc>
          <w:tcPr>
            <w:tcW w:type="dxa" w:w="2484"/>
          </w:tcPr>
          <w:p>
            <w:r/>
            <w:r>
              <w:rPr>
                <w:rFonts w:ascii="Arial" w:hAnsi="Arial"/>
                <w:b w:val="0"/>
                <w:sz w:val="17"/>
              </w:rPr>
              <w:t>Generate from locked payroll; file integrity checks; dual bank authorization; no manual file editing.</w:t>
            </w:r>
          </w:p>
        </w:tc>
        <w:tc>
          <w:tcPr>
            <w:tcW w:type="dxa" w:w="2484"/>
          </w:tcPr>
          <w:p>
            <w:r/>
            <w:r>
              <w:rPr>
                <w:rFonts w:ascii="Arial" w:hAnsi="Arial"/>
                <w:b w:val="0"/>
                <w:sz w:val="17"/>
              </w:rPr>
              <w:t>Approved register-to-bank control totals; bank confirmation.</w:t>
            </w:r>
          </w:p>
        </w:tc>
      </w:tr>
      <w:tr>
        <w:tc>
          <w:tcPr>
            <w:tcW w:type="dxa" w:w="2484"/>
          </w:tcPr>
          <w:p>
            <w:r/>
            <w:r>
              <w:rPr>
                <w:rFonts w:ascii="Arial" w:hAnsi="Arial"/>
                <w:b w:val="0"/>
                <w:sz w:val="17"/>
              </w:rPr>
              <w:t>Late statutory remittance/filing</w:t>
            </w:r>
          </w:p>
        </w:tc>
        <w:tc>
          <w:tcPr>
            <w:tcW w:type="dxa" w:w="2484"/>
          </w:tcPr>
          <w:p>
            <w:r/>
            <w:r>
              <w:rPr>
                <w:rFonts w:ascii="Arial" w:hAnsi="Arial"/>
                <w:b w:val="0"/>
                <w:sz w:val="17"/>
              </w:rPr>
              <w:t>Interest, penalties and non-compliance</w:t>
            </w:r>
          </w:p>
        </w:tc>
        <w:tc>
          <w:tcPr>
            <w:tcW w:type="dxa" w:w="2484"/>
          </w:tcPr>
          <w:p>
            <w:r/>
            <w:r>
              <w:rPr>
                <w:rFonts w:ascii="Arial" w:hAnsi="Arial"/>
                <w:b w:val="0"/>
                <w:sz w:val="17"/>
              </w:rPr>
              <w:t>Compliance calendar with backup owner and alerts; pre-funding; reviewer approval.</w:t>
            </w:r>
          </w:p>
        </w:tc>
        <w:tc>
          <w:tcPr>
            <w:tcW w:type="dxa" w:w="2484"/>
          </w:tcPr>
          <w:p>
            <w:r/>
            <w:r>
              <w:rPr>
                <w:rFonts w:ascii="Arial" w:hAnsi="Arial"/>
                <w:b w:val="0"/>
                <w:sz w:val="17"/>
              </w:rPr>
              <w:t>Challans, acknowledgements, due-date tracker.</w:t>
            </w:r>
          </w:p>
        </w:tc>
      </w:tr>
      <w:tr>
        <w:tc>
          <w:tcPr>
            <w:tcW w:type="dxa" w:w="2484"/>
          </w:tcPr>
          <w:p>
            <w:r/>
            <w:r>
              <w:rPr>
                <w:rFonts w:ascii="Arial" w:hAnsi="Arial"/>
                <w:b w:val="0"/>
                <w:sz w:val="17"/>
              </w:rPr>
              <w:t>Unreconciled payroll liabilities</w:t>
            </w:r>
          </w:p>
        </w:tc>
        <w:tc>
          <w:tcPr>
            <w:tcW w:type="dxa" w:w="2484"/>
          </w:tcPr>
          <w:p>
            <w:r/>
            <w:r>
              <w:rPr>
                <w:rFonts w:ascii="Arial" w:hAnsi="Arial"/>
                <w:b w:val="0"/>
                <w:sz w:val="17"/>
              </w:rPr>
              <w:t>Misstated accounts and unresolved employee balances</w:t>
            </w:r>
          </w:p>
        </w:tc>
        <w:tc>
          <w:tcPr>
            <w:tcW w:type="dxa" w:w="2484"/>
          </w:tcPr>
          <w:p>
            <w:r/>
            <w:r>
              <w:rPr>
                <w:rFonts w:ascii="Arial" w:hAnsi="Arial"/>
                <w:b w:val="0"/>
                <w:sz w:val="17"/>
              </w:rPr>
              <w:t>Monthly bank, GL and statutory reconciliation; aging report; named owners.</w:t>
            </w:r>
          </w:p>
        </w:tc>
        <w:tc>
          <w:tcPr>
            <w:tcW w:type="dxa" w:w="2484"/>
          </w:tcPr>
          <w:p>
            <w:r/>
            <w:r>
              <w:rPr>
                <w:rFonts w:ascii="Arial" w:hAnsi="Arial"/>
                <w:b w:val="0"/>
                <w:sz w:val="17"/>
              </w:rPr>
              <w:t>Signed reconciliations; issue tracker; controller review.</w:t>
            </w:r>
          </w:p>
        </w:tc>
      </w:tr>
      <w:tr>
        <w:tc>
          <w:tcPr>
            <w:tcW w:type="dxa" w:w="2484"/>
          </w:tcPr>
          <w:p>
            <w:r/>
            <w:r>
              <w:rPr>
                <w:rFonts w:ascii="Arial" w:hAnsi="Arial"/>
                <w:b w:val="0"/>
                <w:sz w:val="17"/>
              </w:rPr>
              <w:t>Leaver not removed / final settlement error</w:t>
            </w:r>
          </w:p>
        </w:tc>
        <w:tc>
          <w:tcPr>
            <w:tcW w:type="dxa" w:w="2484"/>
          </w:tcPr>
          <w:p>
            <w:r/>
            <w:r>
              <w:rPr>
                <w:rFonts w:ascii="Arial" w:hAnsi="Arial"/>
                <w:b w:val="0"/>
                <w:sz w:val="17"/>
              </w:rPr>
              <w:t>Excess payment or unpaid entitlement</w:t>
            </w:r>
          </w:p>
        </w:tc>
        <w:tc>
          <w:tcPr>
            <w:tcW w:type="dxa" w:w="2484"/>
          </w:tcPr>
          <w:p>
            <w:r/>
            <w:r>
              <w:rPr>
                <w:rFonts w:ascii="Arial" w:hAnsi="Arial"/>
                <w:b w:val="0"/>
                <w:sz w:val="17"/>
              </w:rPr>
              <w:t>HR exit feed; access disablement; final attendance and leave reconciliation.</w:t>
            </w:r>
          </w:p>
        </w:tc>
        <w:tc>
          <w:tcPr>
            <w:tcW w:type="dxa" w:w="2484"/>
          </w:tcPr>
          <w:p>
            <w:r/>
            <w:r>
              <w:rPr>
                <w:rFonts w:ascii="Arial" w:hAnsi="Arial"/>
                <w:b w:val="0"/>
                <w:sz w:val="17"/>
              </w:rPr>
              <w:t>Exit checklist; settlement calculation and approval.</w:t>
            </w:r>
          </w:p>
        </w:tc>
      </w:tr>
      <w:tr>
        <w:tc>
          <w:tcPr>
            <w:tcW w:type="dxa" w:w="2484"/>
          </w:tcPr>
          <w:p>
            <w:r/>
            <w:r>
              <w:rPr>
                <w:rFonts w:ascii="Arial" w:hAnsi="Arial"/>
                <w:b w:val="0"/>
                <w:sz w:val="17"/>
              </w:rPr>
              <w:t>System outage or data loss</w:t>
            </w:r>
          </w:p>
        </w:tc>
        <w:tc>
          <w:tcPr>
            <w:tcW w:type="dxa" w:w="2484"/>
          </w:tcPr>
          <w:p>
            <w:r/>
            <w:r>
              <w:rPr>
                <w:rFonts w:ascii="Arial" w:hAnsi="Arial"/>
                <w:b w:val="0"/>
                <w:sz w:val="17"/>
              </w:rPr>
              <w:t>Delayed payroll and missing records</w:t>
            </w:r>
          </w:p>
        </w:tc>
        <w:tc>
          <w:tcPr>
            <w:tcW w:type="dxa" w:w="2484"/>
          </w:tcPr>
          <w:p>
            <w:r/>
            <w:r>
              <w:rPr>
                <w:rFonts w:ascii="Arial" w:hAnsi="Arial"/>
                <w:b w:val="0"/>
                <w:sz w:val="17"/>
              </w:rPr>
              <w:t>Backups; tested recovery plan; vendor escalation path; documented contingency procedure.</w:t>
            </w:r>
          </w:p>
        </w:tc>
        <w:tc>
          <w:tcPr>
            <w:tcW w:type="dxa" w:w="2484"/>
          </w:tcPr>
          <w:p>
            <w:r/>
            <w:r>
              <w:rPr>
                <w:rFonts w:ascii="Arial" w:hAnsi="Arial"/>
                <w:b w:val="0"/>
                <w:sz w:val="17"/>
              </w:rPr>
              <w:t>Backup logs; recovery test; incident post-mortem.</w:t>
            </w:r>
          </w:p>
        </w:tc>
      </w:tr>
    </w:tbl>
    <w:p/>
    <w:p>
      <w:pPr>
        <w:pStyle w:val="Heading1"/>
      </w:pPr>
      <w:r>
        <w:t>9. Audit Framework and Control Checkpoints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
              <w:rPr>
                <w:rFonts w:ascii="Arial" w:hAnsi="Arial"/>
                <w:b/>
                <w:sz w:val="17"/>
              </w:rPr>
              <w:t>Checkpoint</w:t>
            </w:r>
          </w:p>
        </w:tc>
        <w:tc>
          <w:tcPr>
            <w:tcW w:type="dxa" w:w="2484"/>
            <w:shd w:fill="D9EAF7"/>
          </w:tcPr>
          <w:p>
            <w:r/>
            <w:r>
              <w:rPr>
                <w:rFonts w:ascii="Arial" w:hAnsi="Arial"/>
                <w:b/>
                <w:sz w:val="17"/>
              </w:rPr>
              <w:t>Frequency</w:t>
            </w:r>
          </w:p>
        </w:tc>
        <w:tc>
          <w:tcPr>
            <w:tcW w:type="dxa" w:w="2484"/>
            <w:shd w:fill="D9EAF7"/>
          </w:tcPr>
          <w:p>
            <w:r/>
            <w:r>
              <w:rPr>
                <w:rFonts w:ascii="Arial" w:hAnsi="Arial"/>
                <w:b/>
                <w:sz w:val="17"/>
              </w:rPr>
              <w:t>Test / evidence</w:t>
            </w:r>
          </w:p>
        </w:tc>
        <w:tc>
          <w:tcPr>
            <w:tcW w:type="dxa" w:w="2484"/>
            <w:shd w:fill="D9EAF7"/>
          </w:tcPr>
          <w:p>
            <w:r/>
            <w:r>
              <w:rPr>
                <w:rFonts w:ascii="Arial" w:hAnsi="Arial"/>
                <w:b/>
                <w:sz w:val="17"/>
              </w:rPr>
              <w:t>Pass criterion</w:t>
            </w:r>
          </w:p>
        </w:tc>
      </w:tr>
      <w:tr>
        <w:tc>
          <w:tcPr>
            <w:tcW w:type="dxa" w:w="2484"/>
          </w:tcPr>
          <w:p>
            <w:r/>
            <w:r>
              <w:rPr>
                <w:rFonts w:ascii="Arial" w:hAnsi="Arial"/>
                <w:b w:val="0"/>
                <w:sz w:val="17"/>
              </w:rPr>
              <w:t>Payroll population completeness</w:t>
            </w:r>
          </w:p>
        </w:tc>
        <w:tc>
          <w:tcPr>
            <w:tcW w:type="dxa" w:w="2484"/>
          </w:tcPr>
          <w:p>
            <w:r/>
            <w:r>
              <w:rPr>
                <w:rFonts w:ascii="Arial" w:hAnsi="Arial"/>
                <w:b w:val="0"/>
                <w:sz w:val="17"/>
              </w:rPr>
              <w:t>Every payroll</w:t>
            </w:r>
          </w:p>
        </w:tc>
        <w:tc>
          <w:tcPr>
            <w:tcW w:type="dxa" w:w="2484"/>
          </w:tcPr>
          <w:p>
            <w:r/>
            <w:r>
              <w:rPr>
                <w:rFonts w:ascii="Arial" w:hAnsi="Arial"/>
                <w:b w:val="0"/>
                <w:sz w:val="17"/>
              </w:rPr>
              <w:t>Compare active HRIS employees to payroll; investigate joiners, leavers and missing records.</w:t>
            </w:r>
          </w:p>
        </w:tc>
        <w:tc>
          <w:tcPr>
            <w:tcW w:type="dxa" w:w="2484"/>
          </w:tcPr>
          <w:p>
            <w:r/>
            <w:r>
              <w:rPr>
                <w:rFonts w:ascii="Arial" w:hAnsi="Arial"/>
                <w:b w:val="0"/>
                <w:sz w:val="17"/>
              </w:rPr>
              <w:t>All differences explained and approved.</w:t>
            </w:r>
          </w:p>
        </w:tc>
      </w:tr>
      <w:tr>
        <w:tc>
          <w:tcPr>
            <w:tcW w:type="dxa" w:w="2484"/>
          </w:tcPr>
          <w:p>
            <w:r/>
            <w:r>
              <w:rPr>
                <w:rFonts w:ascii="Arial" w:hAnsi="Arial"/>
                <w:b w:val="0"/>
                <w:sz w:val="17"/>
              </w:rPr>
              <w:t>Input authorization</w:t>
            </w:r>
          </w:p>
        </w:tc>
        <w:tc>
          <w:tcPr>
            <w:tcW w:type="dxa" w:w="2484"/>
          </w:tcPr>
          <w:p>
            <w:r/>
            <w:r>
              <w:rPr>
                <w:rFonts w:ascii="Arial" w:hAnsi="Arial"/>
                <w:b w:val="0"/>
                <w:sz w:val="17"/>
              </w:rPr>
              <w:t>Every payroll</w:t>
            </w:r>
          </w:p>
        </w:tc>
        <w:tc>
          <w:tcPr>
            <w:tcW w:type="dxa" w:w="2484"/>
          </w:tcPr>
          <w:p>
            <w:r/>
            <w:r>
              <w:rPr>
                <w:rFonts w:ascii="Arial" w:hAnsi="Arial"/>
                <w:b w:val="0"/>
                <w:sz w:val="17"/>
              </w:rPr>
              <w:t>Sample salary changes, incentives, overtime, deductions and bank changes to approved source evidence.</w:t>
            </w:r>
          </w:p>
        </w:tc>
        <w:tc>
          <w:tcPr>
            <w:tcW w:type="dxa" w:w="2484"/>
          </w:tcPr>
          <w:p>
            <w:r/>
            <w:r>
              <w:rPr>
                <w:rFonts w:ascii="Arial" w:hAnsi="Arial"/>
                <w:b w:val="0"/>
                <w:sz w:val="17"/>
              </w:rPr>
              <w:t>All sampled items have valid approval and effective date.</w:t>
            </w:r>
          </w:p>
        </w:tc>
      </w:tr>
      <w:tr>
        <w:tc>
          <w:tcPr>
            <w:tcW w:type="dxa" w:w="2484"/>
          </w:tcPr>
          <w:p>
            <w:r/>
            <w:r>
              <w:rPr>
                <w:rFonts w:ascii="Arial" w:hAnsi="Arial"/>
                <w:b w:val="0"/>
                <w:sz w:val="17"/>
              </w:rPr>
              <w:t>Gross-to-net recalculation</w:t>
            </w:r>
          </w:p>
        </w:tc>
        <w:tc>
          <w:tcPr>
            <w:tcW w:type="dxa" w:w="2484"/>
          </w:tcPr>
          <w:p>
            <w:r/>
            <w:r>
              <w:rPr>
                <w:rFonts w:ascii="Arial" w:hAnsi="Arial"/>
                <w:b w:val="0"/>
                <w:sz w:val="17"/>
              </w:rPr>
              <w:t>Every payroll; risk-based sample</w:t>
            </w:r>
          </w:p>
        </w:tc>
        <w:tc>
          <w:tcPr>
            <w:tcW w:type="dxa" w:w="2484"/>
          </w:tcPr>
          <w:p>
            <w:r/>
            <w:r>
              <w:rPr>
                <w:rFonts w:ascii="Arial" w:hAnsi="Arial"/>
                <w:b w:val="0"/>
                <w:sz w:val="17"/>
              </w:rPr>
              <w:t>Independently recalculate selected employees, including joiner/leaver and variable-pay cases.</w:t>
            </w:r>
          </w:p>
        </w:tc>
        <w:tc>
          <w:tcPr>
            <w:tcW w:type="dxa" w:w="2484"/>
          </w:tcPr>
          <w:p>
            <w:r/>
            <w:r>
              <w:rPr>
                <w:rFonts w:ascii="Arial" w:hAnsi="Arial"/>
                <w:b w:val="0"/>
                <w:sz w:val="17"/>
              </w:rPr>
              <w:t>No unexplained variance beyond documented rounding rules.</w:t>
            </w:r>
          </w:p>
        </w:tc>
      </w:tr>
      <w:tr>
        <w:tc>
          <w:tcPr>
            <w:tcW w:type="dxa" w:w="2484"/>
          </w:tcPr>
          <w:p>
            <w:r/>
            <w:r>
              <w:rPr>
                <w:rFonts w:ascii="Arial" w:hAnsi="Arial"/>
                <w:b w:val="0"/>
                <w:sz w:val="17"/>
              </w:rPr>
              <w:t>Month-on-month variance</w:t>
            </w:r>
          </w:p>
        </w:tc>
        <w:tc>
          <w:tcPr>
            <w:tcW w:type="dxa" w:w="2484"/>
          </w:tcPr>
          <w:p>
            <w:r/>
            <w:r>
              <w:rPr>
                <w:rFonts w:ascii="Arial" w:hAnsi="Arial"/>
                <w:b w:val="0"/>
                <w:sz w:val="17"/>
              </w:rPr>
              <w:t>Every payroll</w:t>
            </w:r>
          </w:p>
        </w:tc>
        <w:tc>
          <w:tcPr>
            <w:tcW w:type="dxa" w:w="2484"/>
          </w:tcPr>
          <w:p>
            <w:r/>
            <w:r>
              <w:rPr>
                <w:rFonts w:ascii="Arial" w:hAnsi="Arial"/>
                <w:b w:val="0"/>
                <w:sz w:val="17"/>
              </w:rPr>
              <w:t>Compare headcount, gross pay, deductions, tax and net pay by employee and cost centre.</w:t>
            </w:r>
          </w:p>
        </w:tc>
        <w:tc>
          <w:tcPr>
            <w:tcW w:type="dxa" w:w="2484"/>
          </w:tcPr>
          <w:p>
            <w:r/>
            <w:r>
              <w:rPr>
                <w:rFonts w:ascii="Arial" w:hAnsi="Arial"/>
                <w:b w:val="0"/>
                <w:sz w:val="17"/>
              </w:rPr>
              <w:t>Material changes investigated and signed off.</w:t>
            </w:r>
          </w:p>
        </w:tc>
      </w:tr>
      <w:tr>
        <w:tc>
          <w:tcPr>
            <w:tcW w:type="dxa" w:w="2484"/>
          </w:tcPr>
          <w:p>
            <w:r/>
            <w:r>
              <w:rPr>
                <w:rFonts w:ascii="Arial" w:hAnsi="Arial"/>
                <w:b w:val="0"/>
                <w:sz w:val="17"/>
              </w:rPr>
              <w:t>Statutory liability reconciliation</w:t>
            </w:r>
          </w:p>
        </w:tc>
        <w:tc>
          <w:tcPr>
            <w:tcW w:type="dxa" w:w="2484"/>
          </w:tcPr>
          <w:p>
            <w:r/>
            <w:r>
              <w:rPr>
                <w:rFonts w:ascii="Arial" w:hAnsi="Arial"/>
                <w:b w:val="0"/>
                <w:sz w:val="17"/>
              </w:rPr>
              <w:t>Every payroll</w:t>
            </w:r>
          </w:p>
        </w:tc>
        <w:tc>
          <w:tcPr>
            <w:tcW w:type="dxa" w:w="2484"/>
          </w:tcPr>
          <w:p>
            <w:r/>
            <w:r>
              <w:rPr>
                <w:rFonts w:ascii="Arial" w:hAnsi="Arial"/>
                <w:b w:val="0"/>
                <w:sz w:val="17"/>
              </w:rPr>
              <w:t>Reconcile payroll register to ECR/ESI/tax/professional-tax workings and payment records as applicable.</w:t>
            </w:r>
          </w:p>
        </w:tc>
        <w:tc>
          <w:tcPr>
            <w:tcW w:type="dxa" w:w="2484"/>
          </w:tcPr>
          <w:p>
            <w:r/>
            <w:r>
              <w:rPr>
                <w:rFonts w:ascii="Arial" w:hAnsi="Arial"/>
                <w:b w:val="0"/>
                <w:sz w:val="17"/>
              </w:rPr>
              <w:t>Employee-level and total amounts agree or have documented timing differences.</w:t>
            </w:r>
          </w:p>
        </w:tc>
      </w:tr>
      <w:tr>
        <w:tc>
          <w:tcPr>
            <w:tcW w:type="dxa" w:w="2484"/>
          </w:tcPr>
          <w:p>
            <w:r/>
            <w:r>
              <w:rPr>
                <w:rFonts w:ascii="Arial" w:hAnsi="Arial"/>
                <w:b w:val="0"/>
                <w:sz w:val="17"/>
              </w:rPr>
              <w:t>Bank payment reconciliation</w:t>
            </w:r>
          </w:p>
        </w:tc>
        <w:tc>
          <w:tcPr>
            <w:tcW w:type="dxa" w:w="2484"/>
          </w:tcPr>
          <w:p>
            <w:r/>
            <w:r>
              <w:rPr>
                <w:rFonts w:ascii="Arial" w:hAnsi="Arial"/>
                <w:b w:val="0"/>
                <w:sz w:val="17"/>
              </w:rPr>
              <w:t>Every payroll</w:t>
            </w:r>
          </w:p>
        </w:tc>
        <w:tc>
          <w:tcPr>
            <w:tcW w:type="dxa" w:w="2484"/>
          </w:tcPr>
          <w:p>
            <w:r/>
            <w:r>
              <w:rPr>
                <w:rFonts w:ascii="Arial" w:hAnsi="Arial"/>
                <w:b w:val="0"/>
                <w:sz w:val="17"/>
              </w:rPr>
              <w:t>Match approved net-pay total and count to bank upload, debit confirmation and rejected payments.</w:t>
            </w:r>
          </w:p>
        </w:tc>
        <w:tc>
          <w:tcPr>
            <w:tcW w:type="dxa" w:w="2484"/>
          </w:tcPr>
          <w:p>
            <w:r/>
            <w:r>
              <w:rPr>
                <w:rFonts w:ascii="Arial" w:hAnsi="Arial"/>
                <w:b w:val="0"/>
                <w:sz w:val="17"/>
              </w:rPr>
              <w:t>Totals match; rejected payments tracked to closure.</w:t>
            </w:r>
          </w:p>
        </w:tc>
      </w:tr>
      <w:tr>
        <w:tc>
          <w:tcPr>
            <w:tcW w:type="dxa" w:w="2484"/>
          </w:tcPr>
          <w:p>
            <w:r/>
            <w:r>
              <w:rPr>
                <w:rFonts w:ascii="Arial" w:hAnsi="Arial"/>
                <w:b w:val="0"/>
                <w:sz w:val="17"/>
              </w:rPr>
              <w:t>General ledger reconciliation</w:t>
            </w:r>
          </w:p>
        </w:tc>
        <w:tc>
          <w:tcPr>
            <w:tcW w:type="dxa" w:w="2484"/>
          </w:tcPr>
          <w:p>
            <w:r/>
            <w:r>
              <w:rPr>
                <w:rFonts w:ascii="Arial" w:hAnsi="Arial"/>
                <w:b w:val="0"/>
                <w:sz w:val="17"/>
              </w:rPr>
              <w:t>Monthly</w:t>
            </w:r>
          </w:p>
        </w:tc>
        <w:tc>
          <w:tcPr>
            <w:tcW w:type="dxa" w:w="2484"/>
          </w:tcPr>
          <w:p>
            <w:r/>
            <w:r>
              <w:rPr>
                <w:rFonts w:ascii="Arial" w:hAnsi="Arial"/>
                <w:b w:val="0"/>
                <w:sz w:val="17"/>
              </w:rPr>
              <w:t>Match payroll expense and liability accounts to payroll reports and payment/remittance evidence.</w:t>
            </w:r>
          </w:p>
        </w:tc>
        <w:tc>
          <w:tcPr>
            <w:tcW w:type="dxa" w:w="2484"/>
          </w:tcPr>
          <w:p>
            <w:r/>
            <w:r>
              <w:rPr>
                <w:rFonts w:ascii="Arial" w:hAnsi="Arial"/>
                <w:b w:val="0"/>
                <w:sz w:val="17"/>
              </w:rPr>
              <w:t>Balances reconciled; suspense items aged and assigned.</w:t>
            </w:r>
          </w:p>
        </w:tc>
      </w:tr>
      <w:tr>
        <w:tc>
          <w:tcPr>
            <w:tcW w:type="dxa" w:w="2484"/>
          </w:tcPr>
          <w:p>
            <w:r/>
            <w:r>
              <w:rPr>
                <w:rFonts w:ascii="Arial" w:hAnsi="Arial"/>
                <w:b w:val="0"/>
                <w:sz w:val="17"/>
              </w:rPr>
              <w:t>Access and change management</w:t>
            </w:r>
          </w:p>
        </w:tc>
        <w:tc>
          <w:tcPr>
            <w:tcW w:type="dxa" w:w="2484"/>
          </w:tcPr>
          <w:p>
            <w:r/>
            <w:r>
              <w:rPr>
                <w:rFonts w:ascii="Arial" w:hAnsi="Arial"/>
                <w:b w:val="0"/>
                <w:sz w:val="17"/>
              </w:rPr>
              <w:t>Quarterly and on role change</w:t>
            </w:r>
          </w:p>
        </w:tc>
        <w:tc>
          <w:tcPr>
            <w:tcW w:type="dxa" w:w="2484"/>
          </w:tcPr>
          <w:p>
            <w:r/>
            <w:r>
              <w:rPr>
                <w:rFonts w:ascii="Arial" w:hAnsi="Arial"/>
                <w:b w:val="0"/>
                <w:sz w:val="17"/>
              </w:rPr>
              <w:t>Review payroll-system access, privileged users, terminated accounts and configuration changes.</w:t>
            </w:r>
          </w:p>
        </w:tc>
        <w:tc>
          <w:tcPr>
            <w:tcW w:type="dxa" w:w="2484"/>
          </w:tcPr>
          <w:p>
            <w:r/>
            <w:r>
              <w:rPr>
                <w:rFonts w:ascii="Arial" w:hAnsi="Arial"/>
                <w:b w:val="0"/>
                <w:sz w:val="17"/>
              </w:rPr>
              <w:t>Access is least-privilege and approved.</w:t>
            </w:r>
          </w:p>
        </w:tc>
      </w:tr>
      <w:tr>
        <w:tc>
          <w:tcPr>
            <w:tcW w:type="dxa" w:w="2484"/>
          </w:tcPr>
          <w:p>
            <w:r/>
            <w:r>
              <w:rPr>
                <w:rFonts w:ascii="Arial" w:hAnsi="Arial"/>
                <w:b w:val="0"/>
                <w:sz w:val="17"/>
              </w:rPr>
              <w:t>Audit log / override review</w:t>
            </w:r>
          </w:p>
        </w:tc>
        <w:tc>
          <w:tcPr>
            <w:tcW w:type="dxa" w:w="2484"/>
          </w:tcPr>
          <w:p>
            <w:r/>
            <w:r>
              <w:rPr>
                <w:rFonts w:ascii="Arial" w:hAnsi="Arial"/>
                <w:b w:val="0"/>
                <w:sz w:val="17"/>
              </w:rPr>
              <w:t>Every payroll or monthly</w:t>
            </w:r>
          </w:p>
        </w:tc>
        <w:tc>
          <w:tcPr>
            <w:tcW w:type="dxa" w:w="2484"/>
          </w:tcPr>
          <w:p>
            <w:r/>
            <w:r>
              <w:rPr>
                <w:rFonts w:ascii="Arial" w:hAnsi="Arial"/>
                <w:b w:val="0"/>
                <w:sz w:val="17"/>
              </w:rPr>
              <w:t>Review manual changes, overrides, reruns and bank-detail modifications.</w:t>
            </w:r>
          </w:p>
        </w:tc>
        <w:tc>
          <w:tcPr>
            <w:tcW w:type="dxa" w:w="2484"/>
          </w:tcPr>
          <w:p>
            <w:r/>
            <w:r>
              <w:rPr>
                <w:rFonts w:ascii="Arial" w:hAnsi="Arial"/>
                <w:b w:val="0"/>
                <w:sz w:val="17"/>
              </w:rPr>
              <w:t>All entries justified, approved and traceable.</w:t>
            </w:r>
          </w:p>
        </w:tc>
      </w:tr>
      <w:tr>
        <w:tc>
          <w:tcPr>
            <w:tcW w:type="dxa" w:w="2484"/>
          </w:tcPr>
          <w:p>
            <w:r/>
            <w:r>
              <w:rPr>
                <w:rFonts w:ascii="Arial" w:hAnsi="Arial"/>
                <w:b w:val="0"/>
                <w:sz w:val="17"/>
              </w:rPr>
              <w:t>Retention and privacy</w:t>
            </w:r>
          </w:p>
        </w:tc>
        <w:tc>
          <w:tcPr>
            <w:tcW w:type="dxa" w:w="2484"/>
          </w:tcPr>
          <w:p>
            <w:r/>
            <w:r>
              <w:rPr>
                <w:rFonts w:ascii="Arial" w:hAnsi="Arial"/>
                <w:b w:val="0"/>
                <w:sz w:val="17"/>
              </w:rPr>
              <w:t>Quarterly</w:t>
            </w:r>
          </w:p>
        </w:tc>
        <w:tc>
          <w:tcPr>
            <w:tcW w:type="dxa" w:w="2484"/>
          </w:tcPr>
          <w:p>
            <w:r/>
            <w:r>
              <w:rPr>
                <w:rFonts w:ascii="Arial" w:hAnsi="Arial"/>
                <w:b w:val="0"/>
                <w:sz w:val="17"/>
              </w:rPr>
              <w:t>Check storage permissions, retention schedule, secure transfer and disposal.</w:t>
            </w:r>
          </w:p>
        </w:tc>
        <w:tc>
          <w:tcPr>
            <w:tcW w:type="dxa" w:w="2484"/>
          </w:tcPr>
          <w:p>
            <w:r/>
            <w:r>
              <w:rPr>
                <w:rFonts w:ascii="Arial" w:hAnsi="Arial"/>
                <w:b w:val="0"/>
                <w:sz w:val="17"/>
              </w:rPr>
              <w:t>Restricted access and documented retention compliance.</w:t>
            </w:r>
          </w:p>
        </w:tc>
      </w:tr>
    </w:tbl>
    <w:p/>
    <w:p>
      <w:pPr>
        <w:pStyle w:val="Heading2"/>
      </w:pPr>
      <w:r>
        <w:t>9.1 Suggested payroll KPIs</w:t>
      </w:r>
    </w:p>
    <w:p>
      <w:pPr>
        <w:pStyle w:val="ListBullet"/>
      </w:pPr>
      <w:r>
        <w:t>On-time payroll rate = payrolls paid by the approved payday ÷ payrolls scheduled.</w:t>
      </w:r>
    </w:p>
    <w:p>
      <w:pPr>
        <w:pStyle w:val="ListBullet"/>
      </w:pPr>
      <w:r>
        <w:t>First-time-right rate = employee records paid without correction ÷ total employee records paid.</w:t>
      </w:r>
    </w:p>
    <w:p>
      <w:pPr>
        <w:pStyle w:val="ListBullet"/>
      </w:pPr>
      <w:r>
        <w:t>Payroll error rate = confirmed payroll errors ÷ employee payslips issued.</w:t>
      </w:r>
    </w:p>
    <w:p>
      <w:pPr>
        <w:pStyle w:val="ListBullet"/>
      </w:pPr>
      <w:r>
        <w:t>Exception closure time = average business days from exception creation to documented closure.</w:t>
      </w:r>
    </w:p>
    <w:p>
      <w:pPr>
        <w:pStyle w:val="ListBullet"/>
      </w:pPr>
      <w:r>
        <w:t>Reconciliation completion = reconciliations signed by deadline ÷ reconciliations due.</w:t>
      </w:r>
    </w:p>
    <w:p>
      <w:pPr>
        <w:pStyle w:val="ListBullet"/>
      </w:pPr>
      <w:r>
        <w:t>Compliance timeliness = statutory filings and payments completed by due date ÷ obligations due.</w:t>
      </w:r>
    </w:p>
    <w:p>
      <w:pPr>
        <w:pStyle w:val="Heading1"/>
      </w:pPr>
      <w:r>
        <w:t>10. Error Correction and Escalation Procedure</w:t>
      </w:r>
    </w:p>
    <w:p>
      <w:pPr>
        <w:pStyle w:val="ListNumber"/>
      </w:pPr>
      <w:r>
        <w:t>Log the issue with payroll period, employee ID, error type, amount, source, discovery date and reporter. Restrict sensitive details to authorized personnel.</w:t>
      </w:r>
    </w:p>
    <w:p>
      <w:pPr>
        <w:pStyle w:val="ListNumber"/>
      </w:pPr>
      <w:r>
        <w:t>Classify severity: critical (possible fraud, data breach, material payment failure or compliance deadline at risk), high (material under/overpayment), or routine (minor correction with no immediate deadline risk).</w:t>
      </w:r>
    </w:p>
    <w:p>
      <w:pPr>
        <w:pStyle w:val="ListNumber"/>
      </w:pPr>
      <w:r>
        <w:t>Identify the root cause: source data, master data, configuration, calculation, interface, approval or bank processing.</w:t>
      </w:r>
    </w:p>
    <w:p>
      <w:pPr>
        <w:pStyle w:val="ListNumber"/>
      </w:pPr>
      <w:r>
        <w:t>Correct the source record through the authorized owner. Never conceal an error by changing a final output or editing a bank file without a controlled rerun.</w:t>
      </w:r>
    </w:p>
    <w:p>
      <w:pPr>
        <w:pStyle w:val="ListNumber"/>
      </w:pPr>
      <w:r>
        <w:t>Recalculate affected employee(s), regenerate reports and perform an independent check of the correction and total payroll impact.</w:t>
      </w:r>
    </w:p>
    <w:p>
      <w:pPr>
        <w:pStyle w:val="ListNumber"/>
      </w:pPr>
      <w:r>
        <w:t>If payroll has not been paid, rerun and obtain new approval before payment. If already paid, assess recovery or supplementary payment under applicable law, contract and company policy; obtain required approvals and communicate respectfully with the employee.</w:t>
      </w:r>
    </w:p>
    <w:p>
      <w:pPr>
        <w:pStyle w:val="ListNumber"/>
      </w:pPr>
      <w:r>
        <w:t>For statutory errors, consult the compliance owner on amended returns, additional payments, interest or other corrective actions and deadlines.</w:t>
      </w:r>
    </w:p>
    <w:p>
      <w:pPr>
        <w:pStyle w:val="ListNumber"/>
      </w:pPr>
      <w:r>
        <w:t>Document employee communication, approvals, transaction references, root cause, corrective action and preventive action. Close only after reconciliation confirms the issue is resolved.</w:t>
      </w:r>
    </w:p>
    <w:p>
      <w:pPr>
        <w:pStyle w:val="Heading1"/>
      </w:pPr>
      <w:r>
        <w:t>11. Payroll Data Security and Record Management</w:t>
      </w:r>
    </w:p>
    <w:p>
      <w:pPr>
        <w:pStyle w:val="ListBullet"/>
      </w:pPr>
      <w:r>
        <w:t>Apply role-based access and least privilege; separate payroll preparation, approval, payment authorization and system administration.</w:t>
      </w:r>
    </w:p>
    <w:p>
      <w:pPr>
        <w:pStyle w:val="ListBullet"/>
      </w:pPr>
      <w:r>
        <w:t>Use multifactor authentication where supported and review privileged access quarterly and after role changes.</w:t>
      </w:r>
    </w:p>
    <w:p>
      <w:pPr>
        <w:pStyle w:val="ListBullet"/>
      </w:pPr>
      <w:r>
        <w:t>Encrypt payroll files in transit and at rest; share payslips through authenticated portals rather than broad email distribution.</w:t>
      </w:r>
    </w:p>
    <w:p>
      <w:pPr>
        <w:pStyle w:val="ListBullet"/>
      </w:pPr>
      <w:r>
        <w:t>Maintain audit logs for master-data changes, overrides, exports, approvals and payroll reruns.</w:t>
      </w:r>
    </w:p>
    <w:p>
      <w:pPr>
        <w:pStyle w:val="ListBullet"/>
      </w:pPr>
      <w:r>
        <w:t>Use secure backups and test restoration at planned intervals; document a contingency payroll procedure for system or banking outages.</w:t>
      </w:r>
    </w:p>
    <w:p>
      <w:pPr>
        <w:pStyle w:val="ListBullet"/>
      </w:pPr>
      <w:r>
        <w:t>Follow applicable privacy law and the organization’s approved retention schedule; securely dispose of records after the retention period, subject to legal holds.</w:t>
      </w:r>
    </w:p>
    <w:p>
      <w:pPr>
        <w:pStyle w:val="Heading1"/>
      </w:pPr>
      <w:r>
        <w:t>12. Payroll Close Pack — Required Documents</w:t>
      </w:r>
    </w:p>
    <w:p>
      <w:pPr>
        <w:pStyle w:val="ListBullet"/>
      </w:pPr>
      <w:r>
        <w:t>Approved payroll calendar and cut-off communications.</w:t>
      </w:r>
    </w:p>
    <w:p>
      <w:pPr>
        <w:pStyle w:val="ListBullet"/>
      </w:pPr>
      <w:r>
        <w:t>HR master-data change report and approved variable-pay/attendance inputs.</w:t>
      </w:r>
    </w:p>
    <w:p>
      <w:pPr>
        <w:pStyle w:val="ListBullet"/>
      </w:pPr>
      <w:r>
        <w:t>Preliminary and final payroll registers, gross-to-net summaries and exception reports.</w:t>
      </w:r>
    </w:p>
    <w:p>
      <w:pPr>
        <w:pStyle w:val="ListBullet"/>
      </w:pPr>
      <w:r>
        <w:t>Statutory calculation workings, challans, returns and acknowledgements, where applicable.</w:t>
      </w:r>
    </w:p>
    <w:p>
      <w:pPr>
        <w:pStyle w:val="ListBullet"/>
      </w:pPr>
      <w:r>
        <w:t>Final approval checklist and evidence of maker-checker review.</w:t>
      </w:r>
    </w:p>
    <w:p>
      <w:pPr>
        <w:pStyle w:val="ListBullet"/>
      </w:pPr>
      <w:r>
        <w:t>Approved bank payment control totals, bank confirmation and rejected-payment log.</w:t>
      </w:r>
    </w:p>
    <w:p>
      <w:pPr>
        <w:pStyle w:val="ListBullet"/>
      </w:pPr>
      <w:r>
        <w:t>Payroll journal, general-ledger posting evidence and signed reconciliations.</w:t>
      </w:r>
    </w:p>
    <w:p>
      <w:pPr>
        <w:pStyle w:val="ListBullet"/>
      </w:pPr>
      <w:r>
        <w:t>Employee query log, correction register, root-cause analysis and preventive actions.</w:t>
      </w:r>
    </w:p>
    <w:p>
      <w:pPr>
        <w:pStyle w:val="ListBullet"/>
      </w:pPr>
      <w:r>
        <w:t>System access/change reports and audit log extracts required by policy.</w:t>
      </w:r>
    </w:p>
    <w:p>
      <w:pPr>
        <w:pStyle w:val="Heading1"/>
      </w:pPr>
      <w:r>
        <w:t>13. Implementation Plan</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
              <w:rPr>
                <w:rFonts w:ascii="Arial" w:hAnsi="Arial"/>
                <w:b/>
                <w:sz w:val="17"/>
              </w:rPr>
              <w:t>Phase</w:t>
            </w:r>
          </w:p>
        </w:tc>
        <w:tc>
          <w:tcPr>
            <w:tcW w:type="dxa" w:w="3312"/>
            <w:shd w:fill="D9EAF7"/>
          </w:tcPr>
          <w:p>
            <w:r/>
            <w:r>
              <w:rPr>
                <w:rFonts w:ascii="Arial" w:hAnsi="Arial"/>
                <w:b/>
                <w:sz w:val="17"/>
              </w:rPr>
              <w:t>Activities</w:t>
            </w:r>
          </w:p>
        </w:tc>
        <w:tc>
          <w:tcPr>
            <w:tcW w:type="dxa" w:w="3312"/>
            <w:shd w:fill="D9EAF7"/>
          </w:tcPr>
          <w:p>
            <w:r/>
            <w:r>
              <w:rPr>
                <w:rFonts w:ascii="Arial" w:hAnsi="Arial"/>
                <w:b/>
                <w:sz w:val="17"/>
              </w:rPr>
              <w:t>Deliverable</w:t>
            </w:r>
          </w:p>
        </w:tc>
      </w:tr>
      <w:tr>
        <w:tc>
          <w:tcPr>
            <w:tcW w:type="dxa" w:w="3312"/>
          </w:tcPr>
          <w:p>
            <w:r/>
            <w:r>
              <w:rPr>
                <w:rFonts w:ascii="Arial" w:hAnsi="Arial"/>
                <w:b w:val="0"/>
                <w:sz w:val="17"/>
              </w:rPr>
              <w:t>1. Discover</w:t>
            </w:r>
          </w:p>
        </w:tc>
        <w:tc>
          <w:tcPr>
            <w:tcW w:type="dxa" w:w="3312"/>
          </w:tcPr>
          <w:p>
            <w:r/>
            <w:r>
              <w:rPr>
                <w:rFonts w:ascii="Arial" w:hAnsi="Arial"/>
                <w:b w:val="0"/>
                <w:sz w:val="17"/>
              </w:rPr>
              <w:t>Confirm employee population, payroll frequency, states, pay components, systems, bank format, policies and applicable obligations.</w:t>
            </w:r>
          </w:p>
        </w:tc>
        <w:tc>
          <w:tcPr>
            <w:tcW w:type="dxa" w:w="3312"/>
          </w:tcPr>
          <w:p>
            <w:r/>
            <w:r>
              <w:rPr>
                <w:rFonts w:ascii="Arial" w:hAnsi="Arial"/>
                <w:b w:val="0"/>
                <w:sz w:val="17"/>
              </w:rPr>
              <w:t>Requirements and legal/compliance register.</w:t>
            </w:r>
          </w:p>
        </w:tc>
      </w:tr>
      <w:tr>
        <w:tc>
          <w:tcPr>
            <w:tcW w:type="dxa" w:w="3312"/>
          </w:tcPr>
          <w:p>
            <w:r/>
            <w:r>
              <w:rPr>
                <w:rFonts w:ascii="Arial" w:hAnsi="Arial"/>
                <w:b w:val="0"/>
                <w:sz w:val="17"/>
              </w:rPr>
              <w:t>2. Design</w:t>
            </w:r>
          </w:p>
        </w:tc>
        <w:tc>
          <w:tcPr>
            <w:tcW w:type="dxa" w:w="3312"/>
          </w:tcPr>
          <w:p>
            <w:r/>
            <w:r>
              <w:rPr>
                <w:rFonts w:ascii="Arial" w:hAnsi="Arial"/>
                <w:b w:val="0"/>
                <w:sz w:val="17"/>
              </w:rPr>
              <w:t>Map data owners, approvals, calendar, exception rules, reports, accounting entries and security roles.</w:t>
            </w:r>
          </w:p>
        </w:tc>
        <w:tc>
          <w:tcPr>
            <w:tcW w:type="dxa" w:w="3312"/>
          </w:tcPr>
          <w:p>
            <w:r/>
            <w:r>
              <w:rPr>
                <w:rFonts w:ascii="Arial" w:hAnsi="Arial"/>
                <w:b w:val="0"/>
                <w:sz w:val="17"/>
              </w:rPr>
              <w:t>Approved process map, RACI and control matrix.</w:t>
            </w:r>
          </w:p>
        </w:tc>
      </w:tr>
      <w:tr>
        <w:tc>
          <w:tcPr>
            <w:tcW w:type="dxa" w:w="3312"/>
          </w:tcPr>
          <w:p>
            <w:r/>
            <w:r>
              <w:rPr>
                <w:rFonts w:ascii="Arial" w:hAnsi="Arial"/>
                <w:b w:val="0"/>
                <w:sz w:val="17"/>
              </w:rPr>
              <w:t>3. Configure</w:t>
            </w:r>
          </w:p>
        </w:tc>
        <w:tc>
          <w:tcPr>
            <w:tcW w:type="dxa" w:w="3312"/>
          </w:tcPr>
          <w:p>
            <w:r/>
            <w:r>
              <w:rPr>
                <w:rFonts w:ascii="Arial" w:hAnsi="Arial"/>
                <w:b w:val="0"/>
                <w:sz w:val="17"/>
              </w:rPr>
              <w:t>Set up earning/deduction codes, effective-dated rules, tax/social-security parameters, interfaces and access roles.</w:t>
            </w:r>
          </w:p>
        </w:tc>
        <w:tc>
          <w:tcPr>
            <w:tcW w:type="dxa" w:w="3312"/>
          </w:tcPr>
          <w:p>
            <w:r/>
            <w:r>
              <w:rPr>
                <w:rFonts w:ascii="Arial" w:hAnsi="Arial"/>
                <w:b w:val="0"/>
                <w:sz w:val="17"/>
              </w:rPr>
              <w:t>Configuration record and access matrix.</w:t>
            </w:r>
          </w:p>
        </w:tc>
      </w:tr>
      <w:tr>
        <w:tc>
          <w:tcPr>
            <w:tcW w:type="dxa" w:w="3312"/>
          </w:tcPr>
          <w:p>
            <w:r/>
            <w:r>
              <w:rPr>
                <w:rFonts w:ascii="Arial" w:hAnsi="Arial"/>
                <w:b w:val="0"/>
                <w:sz w:val="17"/>
              </w:rPr>
              <w:t>4. Test</w:t>
            </w:r>
          </w:p>
        </w:tc>
        <w:tc>
          <w:tcPr>
            <w:tcW w:type="dxa" w:w="3312"/>
          </w:tcPr>
          <w:p>
            <w:r/>
            <w:r>
              <w:rPr>
                <w:rFonts w:ascii="Arial" w:hAnsi="Arial"/>
                <w:b w:val="0"/>
                <w:sz w:val="17"/>
              </w:rPr>
              <w:t>Test normal payroll, joiner/leaver, unpaid leave, overtime, arrears, tax changes, rejected bank payments, rounding and recovery cases.</w:t>
            </w:r>
          </w:p>
        </w:tc>
        <w:tc>
          <w:tcPr>
            <w:tcW w:type="dxa" w:w="3312"/>
          </w:tcPr>
          <w:p>
            <w:r/>
            <w:r>
              <w:rPr>
                <w:rFonts w:ascii="Arial" w:hAnsi="Arial"/>
                <w:b w:val="0"/>
                <w:sz w:val="17"/>
              </w:rPr>
              <w:t>Signed test scripts and defect log.</w:t>
            </w:r>
          </w:p>
        </w:tc>
      </w:tr>
      <w:tr>
        <w:tc>
          <w:tcPr>
            <w:tcW w:type="dxa" w:w="3312"/>
          </w:tcPr>
          <w:p>
            <w:r/>
            <w:r>
              <w:rPr>
                <w:rFonts w:ascii="Arial" w:hAnsi="Arial"/>
                <w:b w:val="0"/>
                <w:sz w:val="17"/>
              </w:rPr>
              <w:t>5. Parallel run</w:t>
            </w:r>
          </w:p>
        </w:tc>
        <w:tc>
          <w:tcPr>
            <w:tcW w:type="dxa" w:w="3312"/>
          </w:tcPr>
          <w:p>
            <w:r/>
            <w:r>
              <w:rPr>
                <w:rFonts w:ascii="Arial" w:hAnsi="Arial"/>
                <w:b w:val="0"/>
                <w:sz w:val="17"/>
              </w:rPr>
              <w:t>Compare test payroll with a trusted baseline; investigate and approve differences before production.</w:t>
            </w:r>
          </w:p>
        </w:tc>
        <w:tc>
          <w:tcPr>
            <w:tcW w:type="dxa" w:w="3312"/>
          </w:tcPr>
          <w:p>
            <w:r/>
            <w:r>
              <w:rPr>
                <w:rFonts w:ascii="Arial" w:hAnsi="Arial"/>
                <w:b w:val="0"/>
                <w:sz w:val="17"/>
              </w:rPr>
              <w:t>Parallel-run reconciliation and go-live approval.</w:t>
            </w:r>
          </w:p>
        </w:tc>
      </w:tr>
      <w:tr>
        <w:tc>
          <w:tcPr>
            <w:tcW w:type="dxa" w:w="3312"/>
          </w:tcPr>
          <w:p>
            <w:r/>
            <w:r>
              <w:rPr>
                <w:rFonts w:ascii="Arial" w:hAnsi="Arial"/>
                <w:b w:val="0"/>
                <w:sz w:val="17"/>
              </w:rPr>
              <w:t>6. Operate and improve</w:t>
            </w:r>
          </w:p>
        </w:tc>
        <w:tc>
          <w:tcPr>
            <w:tcW w:type="dxa" w:w="3312"/>
          </w:tcPr>
          <w:p>
            <w:r/>
            <w:r>
              <w:rPr>
                <w:rFonts w:ascii="Arial" w:hAnsi="Arial"/>
                <w:b w:val="0"/>
                <w:sz w:val="17"/>
              </w:rPr>
              <w:t>Run monthly process, monitor KPIs, close audit findings, refresh rules and train backup personnel.</w:t>
            </w:r>
          </w:p>
        </w:tc>
        <w:tc>
          <w:tcPr>
            <w:tcW w:type="dxa" w:w="3312"/>
          </w:tcPr>
          <w:p>
            <w:r/>
            <w:r>
              <w:rPr>
                <w:rFonts w:ascii="Arial" w:hAnsi="Arial"/>
                <w:b w:val="0"/>
                <w:sz w:val="17"/>
              </w:rPr>
              <w:t>Monthly close pack and quarterly improvement log.</w:t>
            </w:r>
          </w:p>
        </w:tc>
      </w:tr>
    </w:tbl>
    <w:p/>
    <w:p>
      <w:pPr>
        <w:pStyle w:val="Heading1"/>
      </w:pPr>
      <w:r>
        <w:t>14. Conclusion</w:t>
      </w:r>
    </w:p>
    <w:p>
      <w:r>
        <w:t>A dependable payroll process is built on accurate source data, clear cut-offs, correct and current rules, independent review, secure payment release and complete reconciliation. The proposed design provides a repeatable monthly workflow while allowing controlled handling of exceptions, employee changes and legal updates. The enterprise should review the process at least annually, after significant system changes and whenever an official statutory change affects payroll.</w:t>
      </w:r>
    </w:p>
    <w:p>
      <w:pPr>
        <w:pStyle w:val="Heading1"/>
      </w:pPr>
      <w:r>
        <w:t>15. References and Official Resources</w:t>
      </w:r>
    </w:p>
    <w:p>
      <w:pPr>
        <w:pStyle w:val="ListBullet"/>
      </w:pPr>
      <w:r>
        <w:t xml:space="preserve">Income Tax Department — TDS compliance FAQs (including Tax Year 2026–27 transition guidance): </w:t>
      </w:r>
      <w:r>
        <w:t>https://www.incometax.gov.in/iec/foportal/help/all-topics/e-filing-services/%20tds%20compliance-faq</w:t>
      </w:r>
    </w:p>
    <w:p>
      <w:pPr>
        <w:pStyle w:val="ListBullet"/>
      </w:pPr>
      <w:r>
        <w:t xml:space="preserve">Ministry of Labour &amp; Employment — Labour Codes information: </w:t>
      </w:r>
      <w:r>
        <w:t>https://www.labour.gov.in/offerings/schemes-and-services/details/labour-codes-2-ATO5YzMtQWa?archives=true</w:t>
      </w:r>
    </w:p>
    <w:p>
      <w:pPr>
        <w:pStyle w:val="ListBullet"/>
      </w:pPr>
      <w:r>
        <w:t xml:space="preserve">Press Information Bureau — EPF wage ceiling revision effective 17 September 2026: </w:t>
      </w:r>
      <w:r>
        <w:t>https://www.pib.gov.in/PressReleasePage.aspx?PRID=2313790&amp;lang=1&amp;reg=3</w:t>
      </w:r>
    </w:p>
    <w:p>
      <w:pPr>
        <w:pStyle w:val="ListBullet"/>
      </w:pPr>
      <w:r>
        <w:t xml:space="preserve">Employees’ State Insurance Corporation — Employers Booklet: </w:t>
      </w:r>
      <w:r>
        <w:t>https://esic.gov.in/press/ESIC%20Employers%20Booklet%20English.pdf</w:t>
      </w:r>
    </w:p>
    <w:p>
      <w:pPr>
        <w:pStyle w:val="ListBullet"/>
      </w:pPr>
      <w:r>
        <w:t xml:space="preserve">Employees’ Provident Fund Organisation — official portal: </w:t>
      </w:r>
      <w:r>
        <w:t>https://www.epfindia.gov.in/</w:t>
      </w:r>
    </w:p>
    <w:p>
      <w:pPr>
        <w:pStyle w:val="ListBullet"/>
      </w:pPr>
      <w:r>
        <w:t xml:space="preserve">Employees’ State Insurance Corporation — official portal: </w:t>
      </w:r>
      <w:r>
        <w:t>https://www.esic.gov.in/</w:t>
      </w:r>
    </w:p>
    <w:p>
      <w:r>
        <w:t>Research note: Official pages and notifications should be checked again at the time of implementation. This document uses the official resources listed above as a starting point; it does not replace legal review of the enterprise’s exact facts and state-specific obligations.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Payroll Process Design and Documentation | Academic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WEEK 1 TASK | PAYROLL PROCESS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