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i w:val="0"/>
          <w:color w:val="2E74B5"/>
          <w:sz w:val="18"/>
        </w:rPr>
        <w:t>SUBMISSION-READY PROMPT</w:t>
      </w:r>
    </w:p>
    <w:p>
      <w:pPr>
        <w:spacing w:after="80"/>
      </w:pPr>
      <w:r>
        <w:rPr>
          <w:rFonts w:ascii="Calibri" w:hAnsi="Calibri"/>
          <w:b/>
          <w:i w:val="0"/>
          <w:color w:val="17365D"/>
          <w:sz w:val="50"/>
        </w:rPr>
        <w:t>Healthy Meal Planner</w:t>
      </w:r>
    </w:p>
    <w:p>
      <w:pPr>
        <w:spacing w:after="240"/>
      </w:pPr>
      <w:r>
        <w:rPr>
          <w:rFonts w:ascii="Calibri" w:hAnsi="Calibri"/>
          <w:b w:val="0"/>
          <w:i w:val="0"/>
          <w:color w:val="667085"/>
          <w:sz w:val="24"/>
        </w:rPr>
        <w:t>A single prompt structured with the RTCFR framework</w:t>
      </w:r>
    </w:p>
    <w:p>
      <w:pPr>
        <w:spacing w:after="200" w:line="264" w:lineRule="auto"/>
      </w:pPr>
      <w:r>
        <w:rPr>
          <w:rFonts w:ascii="Calibri" w:hAnsi="Calibri"/>
          <w:b w:val="0"/>
          <w:i/>
          <w:color w:val="667085"/>
          <w:sz w:val="21"/>
        </w:rPr>
        <w:t>Copy the complete prompt below into an AI model. The five labeled sections form one prompt.</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1. ROLE</w:t>
            </w:r>
          </w:p>
        </w:tc>
      </w:tr>
      <w:tr>
        <w:trPr>
          <w:cantSplit/>
        </w:trPr>
        <w:tc>
          <w:tcPr>
            <w:tcW w:type="dxa" w:w="9360"/>
            <w:tcMar>
              <w:top w:w="100" w:type="dxa"/>
              <w:start w:w="140" w:type="dxa"/>
              <w:bottom w:w="100" w:type="dxa"/>
              <w:end w:w="140" w:type="dxa"/>
            </w:tcMar>
            <w:shd w:fill="FFFFFF"/>
          </w:tcPr>
          <w:p>
            <w:pPr>
              <w:spacing w:before="0" w:after="0" w:line="269" w:lineRule="auto"/>
            </w:pPr>
            <w:r>
              <w:rPr>
                <w:rFonts w:ascii="Calibri" w:hAnsi="Calibri"/>
                <w:b/>
                <w:i w:val="0"/>
                <w:color w:val="17365D"/>
                <w:sz w:val="22"/>
              </w:rPr>
              <w:t xml:space="preserve">Act as: </w:t>
            </w:r>
            <w:r>
              <w:rPr>
                <w:rFonts w:ascii="Calibri" w:hAnsi="Calibri"/>
                <w:b w:val="0"/>
                <w:i w:val="0"/>
                <w:color w:val="1F2937"/>
                <w:sz w:val="22"/>
              </w:rPr>
              <w:t>a certified nutritionist who specializes in practical Indian vegetarian nutrition, sustainable weight management, and South Indian food traditions. Give balanced, evidence-informed guidance in clear, encouraging language.</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4EA"/>
          </w:tcPr>
          <w:p>
            <w:pPr>
              <w:spacing w:before="0" w:after="0"/>
            </w:pPr>
            <w:r>
              <w:rPr>
                <w:rFonts w:ascii="Calibri" w:hAnsi="Calibri"/>
                <w:b/>
                <w:i w:val="0"/>
                <w:color w:val="17365D"/>
                <w:sz w:val="23"/>
              </w:rPr>
              <w:t>2. TASK</w:t>
            </w:r>
          </w:p>
        </w:tc>
      </w:tr>
      <w:tr>
        <w:trPr>
          <w:cantSplit/>
        </w:trPr>
        <w:tc>
          <w:tcPr>
            <w:tcW w:type="dxa" w:w="9360"/>
            <w:tcMar>
              <w:top w:w="100" w:type="dxa"/>
              <w:start w:w="140" w:type="dxa"/>
              <w:bottom w:w="100" w:type="dxa"/>
              <w:end w:w="140" w:type="dxa"/>
            </w:tcMar>
            <w:shd w:fill="FFFFFF"/>
          </w:tcPr>
          <w:p>
            <w:pPr>
              <w:spacing w:before="0" w:after="0" w:line="269" w:lineRule="auto"/>
            </w:pPr>
            <w:r>
              <w:rPr>
                <w:rFonts w:ascii="Calibri" w:hAnsi="Calibri"/>
                <w:b/>
                <w:i w:val="0"/>
                <w:color w:val="17365D"/>
                <w:sz w:val="22"/>
              </w:rPr>
              <w:t xml:space="preserve">Create: </w:t>
            </w:r>
            <w:r>
              <w:rPr>
                <w:rFonts w:ascii="Calibri" w:hAnsi="Calibri"/>
                <w:b w:val="0"/>
                <w:i w:val="0"/>
                <w:color w:val="1F2937"/>
                <w:sz w:val="22"/>
              </w:rPr>
              <w:t>a complete 7-day healthy meal plan covering Monday through Sunday. The plan must support gradual weight loss while remaining satisfying, nutritionally balanced, realistic to prepare, and suitable for taking to an office.</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3. CONTEXT</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Person: </w:t>
            </w:r>
            <w:r>
              <w:rPr>
                <w:rFonts w:ascii="Calibri" w:hAnsi="Calibri"/>
                <w:b w:val="0"/>
                <w:i w:val="0"/>
                <w:color w:val="1F2937"/>
                <w:sz w:val="22"/>
              </w:rPr>
              <w:t>A working professional living in Tamil Nadu who follows a vegetarian diet and spends most of the day seated at an office desk.</w:t>
            </w:r>
          </w:p>
          <w:p>
            <w:pPr>
              <w:spacing w:before="0" w:after="100" w:line="269" w:lineRule="auto"/>
            </w:pPr>
            <w:r>
              <w:rPr>
                <w:rFonts w:ascii="Calibri" w:hAnsi="Calibri"/>
                <w:b/>
                <w:i w:val="0"/>
                <w:color w:val="17365D"/>
                <w:sz w:val="22"/>
              </w:rPr>
              <w:t xml:space="preserve">Goal: </w:t>
            </w:r>
            <w:r>
              <w:rPr>
                <w:rFonts w:ascii="Calibri" w:hAnsi="Calibri"/>
                <w:b w:val="0"/>
                <w:i w:val="0"/>
                <w:color w:val="1F2937"/>
                <w:sz w:val="22"/>
              </w:rPr>
              <w:t>Healthy, sustainable weight loss without crash dieting or extreme restriction.</w:t>
            </w:r>
          </w:p>
          <w:p>
            <w:pPr>
              <w:spacing w:before="0" w:after="100" w:line="269" w:lineRule="auto"/>
            </w:pPr>
            <w:r>
              <w:rPr>
                <w:rFonts w:ascii="Calibri" w:hAnsi="Calibri"/>
                <w:b/>
                <w:i w:val="0"/>
                <w:color w:val="17365D"/>
                <w:sz w:val="22"/>
              </w:rPr>
              <w:t xml:space="preserve">Food preferences: </w:t>
            </w:r>
            <w:r>
              <w:rPr>
                <w:rFonts w:ascii="Calibri" w:hAnsi="Calibri"/>
                <w:b w:val="0"/>
                <w:i w:val="0"/>
                <w:color w:val="1F2937"/>
                <w:sz w:val="22"/>
              </w:rPr>
              <w:t>Use familiar South Indian vegetarian foods and ingredients readily available in Tamil Nadu. Treat vegetarian as lacto-vegetarian: dairy is allowed, but exclude eggs, meat, fish, and poultry.</w:t>
            </w:r>
          </w:p>
          <w:p>
            <w:pPr>
              <w:spacing w:before="0" w:after="100" w:line="269" w:lineRule="auto"/>
            </w:pPr>
            <w:r>
              <w:rPr>
                <w:rFonts w:ascii="Calibri" w:hAnsi="Calibri"/>
                <w:b/>
                <w:i w:val="0"/>
                <w:color w:val="17365D"/>
                <w:sz w:val="22"/>
              </w:rPr>
              <w:t xml:space="preserve">Practical needs: </w:t>
            </w:r>
            <w:r>
              <w:rPr>
                <w:rFonts w:ascii="Calibri" w:hAnsi="Calibri"/>
                <w:b w:val="0"/>
                <w:i w:val="0"/>
                <w:color w:val="1F2937"/>
                <w:sz w:val="22"/>
              </w:rPr>
              <w:t>Prefer simple recipes, minimal weekday preparation, affordable ingredients, packable lunches, and office-friendly snacks. Avoid deep-fried foods, excess sugar, and highly processed items.</w:t>
            </w:r>
          </w:p>
          <w:p>
            <w:pPr>
              <w:spacing w:before="0" w:after="0" w:line="269" w:lineRule="auto"/>
            </w:pPr>
            <w:r>
              <w:rPr>
                <w:rFonts w:ascii="Calibri" w:hAnsi="Calibri"/>
                <w:b/>
                <w:i w:val="0"/>
                <w:color w:val="17365D"/>
                <w:sz w:val="22"/>
              </w:rPr>
              <w:t xml:space="preserve">Nutrition guidance: </w:t>
            </w:r>
            <w:r>
              <w:rPr>
                <w:rFonts w:ascii="Calibri" w:hAnsi="Calibri"/>
                <w:b w:val="0"/>
                <w:i w:val="0"/>
                <w:color w:val="1F2937"/>
                <w:sz w:val="22"/>
              </w:rPr>
              <w:t>Include sensible household portion sizes, vegetables, protein-rich vegetarian foods, whole grains or millets, and adequate fibre. Keep dinner lighter than lunch where practical. Provide approximate calories as ranges rather than claiming medical precision.</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4EA"/>
          </w:tcPr>
          <w:p>
            <w:pPr>
              <w:pageBreakBefore/>
              <w:spacing w:before="0" w:after="0"/>
            </w:pPr>
            <w:r>
              <w:rPr>
                <w:rFonts w:ascii="Calibri" w:hAnsi="Calibri"/>
                <w:b/>
                <w:i w:val="0"/>
                <w:color w:val="17365D"/>
                <w:sz w:val="23"/>
              </w:rPr>
              <w:t>4. FEW SHOTS</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Example 1 - Breakfast style: </w:t>
            </w:r>
            <w:r>
              <w:rPr>
                <w:rFonts w:ascii="Calibri" w:hAnsi="Calibri"/>
                <w:b w:val="0"/>
                <w:i w:val="0"/>
                <w:color w:val="1F2937"/>
                <w:sz w:val="22"/>
              </w:rPr>
              <w:t>2 vegetable adai + 1/2 cup sambar + mint chutney (about 350-400 kcal). Keep oil minimal; include dal-based protein and vegetables.</w:t>
            </w:r>
          </w:p>
          <w:p>
            <w:pPr>
              <w:spacing w:before="0" w:after="100" w:line="269" w:lineRule="auto"/>
            </w:pPr>
            <w:r>
              <w:rPr>
                <w:rFonts w:ascii="Calibri" w:hAnsi="Calibri"/>
                <w:b/>
                <w:i w:val="0"/>
                <w:color w:val="17365D"/>
                <w:sz w:val="22"/>
              </w:rPr>
              <w:t xml:space="preserve">Example 2 - Office lunch style: </w:t>
            </w:r>
            <w:r>
              <w:rPr>
                <w:rFonts w:ascii="Calibri" w:hAnsi="Calibri"/>
                <w:b w:val="0"/>
                <w:i w:val="0"/>
                <w:color w:val="1F2937"/>
                <w:sz w:val="22"/>
              </w:rPr>
              <w:t>3/4 cup cooked red rice + 1 cup mixed-vegetable sambar + 1 cup beans poriyal + 1/2 cup curd (about 500-550 kcal). Pack in separate containers and avoid papad or fried sides.</w:t>
            </w:r>
          </w:p>
          <w:p>
            <w:pPr>
              <w:spacing w:before="0" w:after="0" w:line="269" w:lineRule="auto"/>
            </w:pPr>
            <w:r>
              <w:rPr>
                <w:rFonts w:ascii="Calibri" w:hAnsi="Calibri"/>
                <w:b/>
                <w:i w:val="0"/>
                <w:color w:val="17365D"/>
                <w:sz w:val="22"/>
              </w:rPr>
              <w:t xml:space="preserve">Follow this pattern: </w:t>
            </w:r>
            <w:r>
              <w:rPr>
                <w:rFonts w:ascii="Calibri" w:hAnsi="Calibri"/>
                <w:b w:val="0"/>
                <w:i w:val="0"/>
                <w:color w:val="1F2937"/>
                <w:sz w:val="22"/>
              </w:rPr>
              <w:t>name specific foods, state practical portions, add an approximate calorie range, and include one short preparation or packing note. Use the examples only as style guides; create varied meals across the week.</w:t>
            </w:r>
          </w:p>
        </w:tc>
      </w:tr>
    </w:tbl>
    <w:p>
      <w:pPr>
        <w:spacing w:after="0"/>
      </w:pP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tcMar>
              <w:top w:w="100" w:type="dxa"/>
              <w:start w:w="140" w:type="dxa"/>
              <w:bottom w:w="100" w:type="dxa"/>
              <w:end w:w="140" w:type="dxa"/>
            </w:tcMar>
            <w:vAlign w:val="center"/>
            <w:shd w:fill="EAF2F8"/>
          </w:tcPr>
          <w:p>
            <w:pPr>
              <w:spacing w:before="0" w:after="0"/>
            </w:pPr>
            <w:r>
              <w:rPr>
                <w:rFonts w:ascii="Calibri" w:hAnsi="Calibri"/>
                <w:b/>
                <w:i w:val="0"/>
                <w:color w:val="17365D"/>
                <w:sz w:val="23"/>
              </w:rPr>
              <w:t>5. RESPONSE FORMAT</w:t>
            </w:r>
          </w:p>
        </w:tc>
      </w:tr>
      <w:tr>
        <w:trPr>
          <w:cantSplit/>
        </w:trPr>
        <w:tc>
          <w:tcPr>
            <w:tcW w:type="dxa" w:w="9360"/>
            <w:tcMar>
              <w:top w:w="100" w:type="dxa"/>
              <w:start w:w="140" w:type="dxa"/>
              <w:bottom w:w="100" w:type="dxa"/>
              <w:end w:w="140" w:type="dxa"/>
            </w:tcMar>
            <w:shd w:fill="FFFFFF"/>
          </w:tcPr>
          <w:p>
            <w:pPr>
              <w:spacing w:before="0" w:after="100" w:line="269" w:lineRule="auto"/>
            </w:pPr>
            <w:r>
              <w:rPr>
                <w:rFonts w:ascii="Calibri" w:hAnsi="Calibri"/>
                <w:b/>
                <w:i w:val="0"/>
                <w:color w:val="17365D"/>
                <w:sz w:val="22"/>
              </w:rPr>
              <w:t xml:space="preserve">Return only: </w:t>
            </w:r>
            <w:r>
              <w:rPr>
                <w:rFonts w:ascii="Calibri" w:hAnsi="Calibri"/>
                <w:b w:val="0"/>
                <w:i w:val="0"/>
                <w:color w:val="1F2937"/>
                <w:sz w:val="22"/>
              </w:rPr>
              <w:t>one clean day-wise Markdown table with exactly seven rows, one for each day from Monday to Sunday.</w:t>
            </w:r>
          </w:p>
          <w:p>
            <w:pPr>
              <w:spacing w:before="0" w:after="100" w:line="269" w:lineRule="auto"/>
            </w:pPr>
            <w:r>
              <w:rPr>
                <w:rFonts w:ascii="Calibri" w:hAnsi="Calibri"/>
                <w:b/>
                <w:i w:val="0"/>
                <w:color w:val="17365D"/>
                <w:sz w:val="22"/>
              </w:rPr>
              <w:t xml:space="preserve">Use these columns: </w:t>
            </w:r>
            <w:r>
              <w:rPr>
                <w:rFonts w:ascii="Calibri" w:hAnsi="Calibri"/>
                <w:b w:val="0"/>
                <w:i w:val="0"/>
                <w:color w:val="1F2937"/>
                <w:sz w:val="22"/>
              </w:rPr>
              <w:t>Day | Breakfast | Mid-morning snack | Lunch | Evening snack | Dinner | Approx. daily calories | Prep/packing note.</w:t>
            </w:r>
          </w:p>
          <w:p>
            <w:pPr>
              <w:spacing w:before="0" w:after="100" w:line="269" w:lineRule="auto"/>
            </w:pPr>
            <w:r>
              <w:rPr>
                <w:rFonts w:ascii="Calibri" w:hAnsi="Calibri"/>
                <w:b/>
                <w:i w:val="0"/>
                <w:color w:val="17365D"/>
                <w:sz w:val="22"/>
              </w:rPr>
              <w:t xml:space="preserve">Cell content: </w:t>
            </w:r>
            <w:r>
              <w:rPr>
                <w:rFonts w:ascii="Calibri" w:hAnsi="Calibri"/>
                <w:b w:val="0"/>
                <w:i w:val="0"/>
                <w:color w:val="1F2937"/>
                <w:sz w:val="22"/>
              </w:rPr>
              <w:t>For every meal, include the dish and portion size. Keep each cell concise, use no repeated main meals, and ensure the full day is coherent and realistic for an office schedule.</w:t>
            </w:r>
          </w:p>
          <w:p>
            <w:pPr>
              <w:spacing w:before="0" w:after="100" w:line="269" w:lineRule="auto"/>
            </w:pPr>
            <w:r>
              <w:rPr>
                <w:rFonts w:ascii="Calibri" w:hAnsi="Calibri"/>
                <w:b/>
                <w:i w:val="0"/>
                <w:color w:val="17365D"/>
                <w:sz w:val="22"/>
              </w:rPr>
              <w:t xml:space="preserve">After the table: </w:t>
            </w:r>
            <w:r>
              <w:rPr>
                <w:rFonts w:ascii="Calibri" w:hAnsi="Calibri"/>
                <w:b w:val="0"/>
                <w:i w:val="0"/>
                <w:color w:val="1F2937"/>
                <w:sz w:val="22"/>
              </w:rPr>
              <w:t>add exactly three brief lines titled Hydration, Weekly preparation, and Safety note. In the safety note, state that calorie needs vary and that anyone with a medical condition, pregnancy, food allergy, or prescribed diet should consult a qualified clinician or dietitian.</w:t>
            </w:r>
          </w:p>
          <w:p>
            <w:pPr>
              <w:spacing w:before="0" w:after="0" w:line="269" w:lineRule="auto"/>
            </w:pPr>
            <w:r>
              <w:rPr>
                <w:rFonts w:ascii="Calibri" w:hAnsi="Calibri"/>
                <w:b/>
                <w:i w:val="0"/>
                <w:color w:val="17365D"/>
                <w:sz w:val="22"/>
              </w:rPr>
              <w:t xml:space="preserve">Quality check before answering: </w:t>
            </w:r>
            <w:r>
              <w:rPr>
                <w:rFonts w:ascii="Calibri" w:hAnsi="Calibri"/>
                <w:b w:val="0"/>
                <w:i w:val="0"/>
                <w:color w:val="1F2937"/>
                <w:sz w:val="22"/>
              </w:rPr>
              <w:t>confirm that all seven days are present, every meal is South Indian and vegetarian, portions are stated, the plan supports healthy weight loss, and the output follows the requested table format.</w:t>
            </w:r>
          </w:p>
        </w:tc>
      </w:tr>
    </w:tbl>
    <w:p>
      <w:pPr>
        <w:spacing w:after="0"/>
      </w:pPr>
    </w:p>
    <w:p>
      <w:pPr>
        <w:spacing w:before="40" w:after="0"/>
        <w:jc w:val="center"/>
      </w:pPr>
      <w:r>
        <w:rPr>
          <w:rFonts w:ascii="Calibri" w:hAnsi="Calibri"/>
          <w:b/>
          <w:i w:val="0"/>
          <w:color w:val="667085"/>
          <w:sz w:val="17"/>
        </w:rPr>
        <w:t>END OF PROMPT</w:t>
      </w:r>
    </w:p>
    <w:p>
      <w:pPr>
        <w:sectPr>
          <w:headerReference w:type="default" r:id="rId9"/>
          <w:footerReference w:type="default" r:id="rId10"/>
          <w:pgSz w:w="12240" w:h="15840"/>
          <w:pgMar w:top="1037" w:right="1440" w:bottom="936" w:left="1440" w:header="504" w:footer="504" w:gutter="0"/>
          <w:cols w:space="720"/>
          <w:docGrid w:linePitch="360"/>
        </w:sectPr>
      </w:pPr>
    </w:p>
    <w:p>
      <w:pPr>
        <w:spacing w:after="40"/>
      </w:pPr>
      <w:r>
        <w:rPr>
          <w:rFonts w:ascii="Calibri" w:hAnsi="Calibri"/>
          <w:b/>
          <w:i w:val="0"/>
          <w:color w:val="2E74B5"/>
          <w:sz w:val="17"/>
        </w:rPr>
        <w:t>PROMPT DEMONSTRATION</w:t>
      </w:r>
    </w:p>
    <w:p>
      <w:pPr>
        <w:spacing w:after="40"/>
      </w:pPr>
      <w:r>
        <w:rPr>
          <w:rFonts w:ascii="Calibri" w:hAnsi="Calibri"/>
          <w:b/>
          <w:i w:val="0"/>
          <w:color w:val="17365D"/>
          <w:sz w:val="40"/>
        </w:rPr>
        <w:t>Sample Prompt Outcome: 7-Day Meal Plan</w:t>
      </w:r>
    </w:p>
    <w:p>
      <w:pPr>
        <w:spacing w:after="140"/>
      </w:pPr>
      <w:r>
        <w:rPr>
          <w:rFonts w:ascii="Calibri" w:hAnsi="Calibri"/>
          <w:b w:val="0"/>
          <w:i/>
          <w:color w:val="667085"/>
          <w:sz w:val="18"/>
        </w:rPr>
        <w:t>Illustrative AI-generated result for the screen-recording demonstration. The RTCFR prompt above remains the graded submission.</w:t>
      </w:r>
    </w:p>
    <w:tbl>
      <w:tblPr>
        <w:tblStyle w:val="TableGrid"/>
        <w:tblW w:type="dxa" w:w="14400"/>
        <w:tblLayout w:type="fixed"/>
        <w:tblLook w:firstColumn="1" w:firstRow="1" w:lastColumn="0" w:lastRow="0" w:noHBand="0" w:noVBand="1" w:val="04A0"/>
        <w:tblInd w:w="85" w:type="dxa"/>
      </w:tblPr>
      <w:tblGrid>
        <w:gridCol w:w="1050"/>
        <w:gridCol w:w="1900"/>
        <w:gridCol w:w="1350"/>
        <w:gridCol w:w="2300"/>
        <w:gridCol w:w="1450"/>
        <w:gridCol w:w="2050"/>
        <w:gridCol w:w="1200"/>
        <w:gridCol w:w="3100"/>
      </w:tblGrid>
      <w:tr>
        <w:trPr>
          <w:tblHeader/>
          <w:cantSplit/>
        </w:trPr>
        <w:tc>
          <w:tcPr>
            <w:tcW w:type="dxa" w:w="10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Day</w:t>
            </w:r>
          </w:p>
        </w:tc>
        <w:tc>
          <w:tcPr>
            <w:tcW w:type="dxa" w:w="19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Breakfast</w:t>
            </w:r>
          </w:p>
        </w:tc>
        <w:tc>
          <w:tcPr>
            <w:tcW w:type="dxa" w:w="13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Mid-morning snack</w:t>
            </w:r>
          </w:p>
        </w:tc>
        <w:tc>
          <w:tcPr>
            <w:tcW w:type="dxa" w:w="23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Lunch</w:t>
            </w:r>
          </w:p>
        </w:tc>
        <w:tc>
          <w:tcPr>
            <w:tcW w:type="dxa" w:w="14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Evening snack</w:t>
            </w:r>
          </w:p>
        </w:tc>
        <w:tc>
          <w:tcPr>
            <w:tcW w:type="dxa" w:w="205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Dinner</w:t>
            </w:r>
          </w:p>
        </w:tc>
        <w:tc>
          <w:tcPr>
            <w:tcW w:type="dxa" w:w="12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Daily kcal</w:t>
            </w:r>
          </w:p>
        </w:tc>
        <w:tc>
          <w:tcPr>
            <w:tcW w:type="dxa" w:w="3100"/>
            <w:shd w:fill="17365D"/>
            <w:vAlign w:val="center"/>
            <w:tcMar>
              <w:top w:w="75" w:type="dxa"/>
              <w:start w:w="85" w:type="dxa"/>
              <w:bottom w:w="75" w:type="dxa"/>
              <w:end w:w="85" w:type="dxa"/>
            </w:tcMar>
          </w:tcPr>
          <w:p>
            <w:pPr>
              <w:spacing w:before="0" w:after="0" w:line="240" w:lineRule="auto"/>
              <w:jc w:val="center"/>
            </w:pPr>
            <w:r>
              <w:rPr>
                <w:rFonts w:ascii="Calibri" w:hAnsi="Calibri"/>
                <w:b/>
                <w:i w:val="0"/>
                <w:color w:val="FFFFFF"/>
                <w:sz w:val="16"/>
              </w:rPr>
              <w:t>Prep / packing note</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Monday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vegetable adai; 1/2 cup sambar; mint chutney</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guava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red rice; 1 cup vegetable sambar; beans poriyal; 1/2 cup curd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buttermilk; 2 tbsp roasted chana</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ragi dosas; tomato chutney; vegetable soup</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Prepare adai batter and chop vegetables the previous evening.</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Tuesday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vegetable uthappams; 1/2 cup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apple</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millet rotis; 3/4 cup chana kurma; cucumber salad</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1/2 cup green-gram sundal</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oats upma; 1/2 cup curd</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Pack kurma separately; prepare sundal during morning meal preparation.</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Wednesday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rava upma; 1/2 cup curd</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papaya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lemon millet rice; 1 cup keerai kootu; carrot salad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Unsweetened tea; 10 almonds</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pesarattu; ginger chutney</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1,350-1,450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Cook millet and prepare green-gram batter in advance.</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Thursday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 small idlis; 1 cup vegetable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orange</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brown rice; 1 cup rasam; cabbage poriyal; 3/4 cup dal</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buttermilk; 1 small banana</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chapatis; 1 cup mixed-vegetable kurma</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1,450-1,550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Use an insulated lunch box for rice, dal, and vegetables.</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Friday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pesarattu; onion-tomato chutney</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pear</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vegetable curd millet; 1/2 cup chickpea sundal; cucumber</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sweet corn with lemon and pepper</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1/2 cups vegetable semiya upma; 1/2 cup sprouts salad</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1,400-1,500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Chill curd millet before packing and carry it in an insulated bag.</w:t>
            </w:r>
          </w:p>
        </w:tc>
      </w:tr>
      <w:tr>
        <w:trPr>
          <w:cantSplit/>
        </w:trPr>
        <w:tc>
          <w:tcPr>
            <w:tcW w:type="dxa" w:w="1050"/>
            <w:vAlign w:val="center"/>
            <w:shd w:fill="F1F7F1"/>
            <w:tcMar>
              <w:top w:w="75" w:type="dxa"/>
              <w:start w:w="85" w:type="dxa"/>
              <w:bottom w:w="75" w:type="dxa"/>
              <w:end w:w="85" w:type="dxa"/>
            </w:tcMar>
          </w:tcPr>
          <w:p>
            <w:pPr>
              <w:spacing w:before="0" w:after="0" w:line="228" w:lineRule="auto"/>
              <w:jc w:val="center"/>
            </w:pPr>
            <w:r>
              <w:rPr>
                <w:rFonts w:ascii="Calibri" w:hAnsi="Calibri"/>
                <w:b/>
                <w:i w:val="0"/>
                <w:color w:val="1F2937"/>
                <w:sz w:val="15"/>
              </w:rPr>
              <w:t>Saturday</w:t>
            </w:r>
          </w:p>
        </w:tc>
        <w:tc>
          <w:tcPr>
            <w:tcW w:type="dxa" w:w="19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millet dosas; 1/2 cup sambar</w:t>
            </w:r>
          </w:p>
        </w:tc>
        <w:tc>
          <w:tcPr>
            <w:tcW w:type="dxa" w:w="13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1 cup watermelon</w:t>
            </w:r>
          </w:p>
        </w:tc>
        <w:tc>
          <w:tcPr>
            <w:tcW w:type="dxa" w:w="23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rice; 1 cup mor kuzhambu; okra poriyal; salad</w:t>
            </w:r>
          </w:p>
        </w:tc>
        <w:tc>
          <w:tcPr>
            <w:tcW w:type="dxa" w:w="14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Herbal tea; 2 tbsp roasted peanuts</w:t>
            </w:r>
          </w:p>
        </w:tc>
        <w:tc>
          <w:tcPr>
            <w:tcW w:type="dxa" w:w="205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2 bowls vegetable-moong dal soup; 1 small dosa</w:t>
            </w:r>
          </w:p>
        </w:tc>
        <w:tc>
          <w:tcPr>
            <w:tcW w:type="dxa" w:w="1200"/>
            <w:vAlign w:val="center"/>
            <w:shd w:fill="F1F7F1"/>
            <w:tcMar>
              <w:top w:w="75" w:type="dxa"/>
              <w:start w:w="85" w:type="dxa"/>
              <w:bottom w:w="75" w:type="dxa"/>
              <w:end w:w="85" w:type="dxa"/>
            </w:tcMar>
          </w:tcPr>
          <w:p>
            <w:pPr>
              <w:spacing w:before="0" w:after="0" w:line="228" w:lineRule="auto"/>
              <w:jc w:val="center"/>
            </w:pPr>
            <w:r>
              <w:rPr>
                <w:rFonts w:ascii="Calibri" w:hAnsi="Calibri"/>
                <w:b w:val="0"/>
                <w:i w:val="0"/>
                <w:color w:val="1F2937"/>
                <w:sz w:val="15"/>
              </w:rPr>
              <w:t>1,350-1,450</w:t>
            </w:r>
          </w:p>
        </w:tc>
        <w:tc>
          <w:tcPr>
            <w:tcW w:type="dxa" w:w="3100"/>
            <w:vAlign w:val="center"/>
            <w:shd w:fill="F1F7F1"/>
            <w:tcMar>
              <w:top w:w="75" w:type="dxa"/>
              <w:start w:w="85" w:type="dxa"/>
              <w:bottom w:w="75" w:type="dxa"/>
              <w:end w:w="85" w:type="dxa"/>
            </w:tcMar>
          </w:tcPr>
          <w:p>
            <w:pPr>
              <w:spacing w:before="0" w:after="0" w:line="228" w:lineRule="auto"/>
              <w:jc w:val="left"/>
            </w:pPr>
            <w:r>
              <w:rPr>
                <w:rFonts w:ascii="Calibri" w:hAnsi="Calibri"/>
                <w:b w:val="0"/>
                <w:i w:val="0"/>
                <w:color w:val="1F2937"/>
                <w:sz w:val="15"/>
              </w:rPr>
              <w:t>Batch-cook the soup and refrigerate individual portions.</w:t>
            </w:r>
          </w:p>
        </w:tc>
      </w:tr>
      <w:tr>
        <w:trPr>
          <w:cantSplit/>
        </w:trPr>
        <w:tc>
          <w:tcPr>
            <w:tcW w:type="dxa" w:w="1050"/>
            <w:vAlign w:val="center"/>
            <w:shd w:fill="FFFFFF"/>
            <w:tcMar>
              <w:top w:w="75" w:type="dxa"/>
              <w:start w:w="85" w:type="dxa"/>
              <w:bottom w:w="75" w:type="dxa"/>
              <w:end w:w="85" w:type="dxa"/>
            </w:tcMar>
          </w:tcPr>
          <w:p>
            <w:pPr>
              <w:spacing w:before="0" w:after="0" w:line="228" w:lineRule="auto"/>
              <w:jc w:val="center"/>
            </w:pPr>
            <w:r>
              <w:rPr>
                <w:rFonts w:ascii="Calibri" w:hAnsi="Calibri"/>
                <w:b/>
                <w:i w:val="0"/>
                <w:color w:val="1F2937"/>
                <w:sz w:val="15"/>
              </w:rPr>
              <w:t>Sunday</w:t>
            </w:r>
          </w:p>
        </w:tc>
        <w:tc>
          <w:tcPr>
            <w:tcW w:type="dxa" w:w="19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vegetable appams; 3/4 cup light vegetable stew</w:t>
            </w:r>
          </w:p>
        </w:tc>
        <w:tc>
          <w:tcPr>
            <w:tcW w:type="dxa" w:w="13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 small banana</w:t>
            </w:r>
          </w:p>
        </w:tc>
        <w:tc>
          <w:tcPr>
            <w:tcW w:type="dxa" w:w="23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3/4 cup brown-rice vegetable biryani; onion raita; salad</w:t>
            </w:r>
          </w:p>
        </w:tc>
        <w:tc>
          <w:tcPr>
            <w:tcW w:type="dxa" w:w="14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1/2 cup black-chana sundal</w:t>
            </w:r>
          </w:p>
        </w:tc>
        <w:tc>
          <w:tcPr>
            <w:tcW w:type="dxa" w:w="205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2 small idiyappams; 3/4 cup vegetable kurma</w:t>
            </w:r>
          </w:p>
        </w:tc>
        <w:tc>
          <w:tcPr>
            <w:tcW w:type="dxa" w:w="1200"/>
            <w:vAlign w:val="center"/>
            <w:shd w:fill="FFFFFF"/>
            <w:tcMar>
              <w:top w:w="75" w:type="dxa"/>
              <w:start w:w="85" w:type="dxa"/>
              <w:bottom w:w="75" w:type="dxa"/>
              <w:end w:w="85" w:type="dxa"/>
            </w:tcMar>
          </w:tcPr>
          <w:p>
            <w:pPr>
              <w:spacing w:before="0" w:after="0" w:line="228" w:lineRule="auto"/>
              <w:jc w:val="center"/>
            </w:pPr>
            <w:r>
              <w:rPr>
                <w:rFonts w:ascii="Calibri" w:hAnsi="Calibri"/>
                <w:b w:val="0"/>
                <w:i w:val="0"/>
                <w:color w:val="1F2937"/>
                <w:sz w:val="15"/>
              </w:rPr>
              <w:t>1,450-1,550</w:t>
            </w:r>
          </w:p>
        </w:tc>
        <w:tc>
          <w:tcPr>
            <w:tcW w:type="dxa" w:w="3100"/>
            <w:vAlign w:val="center"/>
            <w:shd w:fill="FFFFFF"/>
            <w:tcMar>
              <w:top w:w="75" w:type="dxa"/>
              <w:start w:w="85" w:type="dxa"/>
              <w:bottom w:w="75" w:type="dxa"/>
              <w:end w:w="85" w:type="dxa"/>
            </w:tcMar>
          </w:tcPr>
          <w:p>
            <w:pPr>
              <w:spacing w:before="0" w:after="0" w:line="228" w:lineRule="auto"/>
              <w:jc w:val="left"/>
            </w:pPr>
            <w:r>
              <w:rPr>
                <w:rFonts w:ascii="Calibri" w:hAnsi="Calibri"/>
                <w:b w:val="0"/>
                <w:i w:val="0"/>
                <w:color w:val="1F2937"/>
                <w:sz w:val="15"/>
              </w:rPr>
              <w:t>Prepare extra vegetables and batter for the coming workweek.</w:t>
            </w:r>
          </w:p>
        </w:tc>
      </w:tr>
    </w:tbl>
    <w:p>
      <w:pPr>
        <w:spacing w:before="40" w:after="0"/>
      </w:pPr>
    </w:p>
    <w:p>
      <w:pPr>
        <w:spacing w:before="0" w:after="40" w:line="240" w:lineRule="auto"/>
      </w:pPr>
      <w:r>
        <w:rPr>
          <w:rFonts w:ascii="Calibri" w:hAnsi="Calibri"/>
          <w:b/>
          <w:i w:val="0"/>
          <w:color w:val="17365D"/>
          <w:sz w:val="17"/>
        </w:rPr>
        <w:t xml:space="preserve">Hydration: </w:t>
      </w:r>
      <w:r>
        <w:rPr>
          <w:rFonts w:ascii="Calibri" w:hAnsi="Calibri"/>
          <w:b w:val="0"/>
          <w:i w:val="0"/>
          <w:color w:val="1F2937"/>
          <w:sz w:val="17"/>
        </w:rPr>
        <w:t>Drink approximately 2-2.5 litres of water daily, adjusting for weather, activity, and individual needs.</w:t>
      </w:r>
    </w:p>
    <w:p>
      <w:pPr>
        <w:spacing w:before="0" w:after="40" w:line="240" w:lineRule="auto"/>
      </w:pPr>
      <w:r>
        <w:rPr>
          <w:rFonts w:ascii="Calibri" w:hAnsi="Calibri"/>
          <w:b/>
          <w:i w:val="0"/>
          <w:color w:val="17365D"/>
          <w:sz w:val="17"/>
        </w:rPr>
        <w:t xml:space="preserve">Weekly preparation: </w:t>
      </w:r>
      <w:r>
        <w:rPr>
          <w:rFonts w:ascii="Calibri" w:hAnsi="Calibri"/>
          <w:b w:val="0"/>
          <w:i w:val="0"/>
          <w:color w:val="1F2937"/>
          <w:sz w:val="17"/>
        </w:rPr>
        <w:t>Prepare dosa or adai batter, cook legumes and millet, and chop vegetables during the weekend.</w:t>
      </w:r>
    </w:p>
    <w:p>
      <w:pPr>
        <w:spacing w:before="0" w:after="40" w:line="240" w:lineRule="auto"/>
      </w:pPr>
      <w:r>
        <w:rPr>
          <w:rFonts w:ascii="Calibri" w:hAnsi="Calibri"/>
          <w:b/>
          <w:i w:val="0"/>
          <w:color w:val="17365D"/>
          <w:sz w:val="17"/>
        </w:rPr>
        <w:t xml:space="preserve">Safety note: </w:t>
      </w:r>
      <w:r>
        <w:rPr>
          <w:rFonts w:ascii="Calibri" w:hAnsi="Calibri"/>
          <w:b w:val="0"/>
          <w:i w:val="0"/>
          <w:color w:val="1F2937"/>
          <w:sz w:val="17"/>
        </w:rPr>
        <w:t>Calorie needs vary. Anyone with a medical condition, pregnancy, food allergy, or prescribed diet should consult a qualified clinician or dietitian.</w:t>
      </w:r>
    </w:p>
    <w:p>
      <w:pPr>
        <w:sectPr>
          <w:pgSz w:w="15840" w:h="12240" w:orient="landscape"/>
          <w:pgMar w:top="648" w:right="720" w:bottom="648" w:left="720" w:header="360" w:footer="360" w:gutter="0"/>
          <w:cols w:space="720"/>
          <w:docGrid w:linePitch="360"/>
        </w:sectPr>
      </w:pPr>
    </w:p>
    <w:p>
      <w:pPr>
        <w:spacing w:after="40"/>
      </w:pPr>
      <w:r>
        <w:rPr>
          <w:rFonts w:ascii="Calibri" w:hAnsi="Calibri"/>
          <w:b/>
          <w:i w:val="0"/>
          <w:color w:val="2E74B5"/>
          <w:sz w:val="17"/>
        </w:rPr>
        <w:t>PRACTICAL REFERENCE</w:t>
      </w:r>
    </w:p>
    <w:p>
      <w:pPr>
        <w:spacing w:after="40"/>
      </w:pPr>
      <w:r>
        <w:rPr>
          <w:rFonts w:ascii="Calibri" w:hAnsi="Calibri"/>
          <w:b/>
          <w:i w:val="0"/>
          <w:color w:val="17365D"/>
          <w:sz w:val="40"/>
        </w:rPr>
        <w:t>Prompting Techniques Reference</w:t>
      </w:r>
    </w:p>
    <w:p>
      <w:pPr>
        <w:spacing w:after="140"/>
      </w:pPr>
      <w:r>
        <w:rPr>
          <w:rFonts w:ascii="Calibri" w:hAnsi="Calibri"/>
          <w:b w:val="0"/>
          <w:i/>
          <w:color w:val="667085"/>
          <w:sz w:val="18"/>
        </w:rPr>
        <w:t>Definitions, suitable use cases, and reusable examples for seven common prompting patterns.</w:t>
      </w:r>
    </w:p>
    <w:tbl>
      <w:tblPr>
        <w:tblStyle w:val="TableGrid"/>
        <w:tblW w:type="dxa" w:w="14400"/>
        <w:tblLayout w:type="fixed"/>
        <w:tblLook w:firstColumn="1" w:firstRow="1" w:lastColumn="0" w:lastRow="0" w:noHBand="0" w:noVBand="1" w:val="04A0"/>
        <w:tblInd w:w="105" w:type="dxa"/>
      </w:tblPr>
      <w:tblGrid>
        <w:gridCol w:w="1900"/>
        <w:gridCol w:w="2900"/>
        <w:gridCol w:w="3300"/>
        <w:gridCol w:w="6300"/>
      </w:tblGrid>
      <w:tr>
        <w:trPr>
          <w:tblHeader/>
          <w:cantSplit/>
        </w:trPr>
        <w:tc>
          <w:tcPr>
            <w:tcW w:type="dxa" w:w="1900"/>
            <w:shd w:fill="17365D"/>
            <w:vAlign w:val="center"/>
            <w:tcMar>
              <w:top w:w="90" w:type="dxa"/>
              <w:start w:w="105" w:type="dxa"/>
              <w:bottom w:w="90" w:type="dxa"/>
              <w:end w:w="105" w:type="dxa"/>
            </w:tcMar>
          </w:tcPr>
          <w:p>
            <w:pPr>
              <w:spacing w:before="0" w:after="0" w:line="245" w:lineRule="auto"/>
              <w:jc w:val="center"/>
            </w:pPr>
            <w:r>
              <w:rPr>
                <w:rFonts w:ascii="Calibri" w:hAnsi="Calibri"/>
                <w:b/>
                <w:i w:val="0"/>
                <w:color w:val="FFFFFF"/>
                <w:sz w:val="17"/>
              </w:rPr>
              <w:t>Prompt type</w:t>
            </w:r>
          </w:p>
        </w:tc>
        <w:tc>
          <w:tcPr>
            <w:tcW w:type="dxa" w:w="2900"/>
            <w:shd w:fill="17365D"/>
            <w:vAlign w:val="center"/>
            <w:tcMar>
              <w:top w:w="90" w:type="dxa"/>
              <w:start w:w="105" w:type="dxa"/>
              <w:bottom w:w="90" w:type="dxa"/>
              <w:end w:w="105" w:type="dxa"/>
            </w:tcMar>
          </w:tcPr>
          <w:p>
            <w:pPr>
              <w:spacing w:before="0" w:after="0" w:line="245" w:lineRule="auto"/>
              <w:jc w:val="center"/>
            </w:pPr>
            <w:r>
              <w:rPr>
                <w:rFonts w:ascii="Calibri" w:hAnsi="Calibri"/>
                <w:b/>
                <w:i w:val="0"/>
                <w:color w:val="FFFFFF"/>
                <w:sz w:val="17"/>
              </w:rPr>
              <w:t>What it means</w:t>
            </w:r>
          </w:p>
        </w:tc>
        <w:tc>
          <w:tcPr>
            <w:tcW w:type="dxa" w:w="3300"/>
            <w:shd w:fill="17365D"/>
            <w:vAlign w:val="center"/>
            <w:tcMar>
              <w:top w:w="90" w:type="dxa"/>
              <w:start w:w="105" w:type="dxa"/>
              <w:bottom w:w="90" w:type="dxa"/>
              <w:end w:w="105" w:type="dxa"/>
            </w:tcMar>
          </w:tcPr>
          <w:p>
            <w:pPr>
              <w:spacing w:before="0" w:after="0" w:line="245" w:lineRule="auto"/>
              <w:jc w:val="center"/>
            </w:pPr>
            <w:r>
              <w:rPr>
                <w:rFonts w:ascii="Calibri" w:hAnsi="Calibri"/>
                <w:b/>
                <w:i w:val="0"/>
                <w:color w:val="FFFFFF"/>
                <w:sz w:val="17"/>
              </w:rPr>
              <w:t>Where / when to use</w:t>
            </w:r>
          </w:p>
        </w:tc>
        <w:tc>
          <w:tcPr>
            <w:tcW w:type="dxa" w:w="6300"/>
            <w:shd w:fill="17365D"/>
            <w:vAlign w:val="center"/>
            <w:tcMar>
              <w:top w:w="90" w:type="dxa"/>
              <w:start w:w="105" w:type="dxa"/>
              <w:bottom w:w="90" w:type="dxa"/>
              <w:end w:w="105" w:type="dxa"/>
            </w:tcMar>
          </w:tcPr>
          <w:p>
            <w:pPr>
              <w:spacing w:before="0" w:after="0" w:line="245" w:lineRule="auto"/>
              <w:jc w:val="center"/>
            </w:pPr>
            <w:r>
              <w:rPr>
                <w:rFonts w:ascii="Calibri" w:hAnsi="Calibri"/>
                <w:b/>
                <w:i w:val="0"/>
                <w:color w:val="FFFFFF"/>
                <w:sz w:val="17"/>
              </w:rPr>
              <w:t>Example prompt</w:t>
            </w:r>
          </w:p>
        </w:tc>
      </w:tr>
      <w:tr>
        <w:trPr>
          <w:cantSplit/>
        </w:trPr>
        <w:tc>
          <w:tcPr>
            <w:tcW w:type="dxa" w:w="1900"/>
            <w:vAlign w:val="center"/>
            <w:shd w:fill="FFFFFF"/>
            <w:tcMar>
              <w:top w:w="90" w:type="dxa"/>
              <w:start w:w="105" w:type="dxa"/>
              <w:bottom w:w="90" w:type="dxa"/>
              <w:end w:w="105" w:type="dxa"/>
            </w:tcMar>
          </w:tcPr>
          <w:p>
            <w:pPr>
              <w:spacing w:before="0" w:after="0" w:line="245" w:lineRule="auto"/>
              <w:jc w:val="left"/>
            </w:pPr>
            <w:r>
              <w:rPr>
                <w:rFonts w:ascii="Calibri" w:hAnsi="Calibri"/>
                <w:b/>
                <w:i w:val="0"/>
                <w:color w:val="1F2937"/>
                <w:sz w:val="16"/>
              </w:rPr>
              <w:t>1. Reverse Prompting</w:t>
            </w:r>
          </w:p>
        </w:tc>
        <w:tc>
          <w:tcPr>
            <w:tcW w:type="dxa" w:w="29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Starts with a desired output or example and works backward to create the prompt that could produce it. It can also make the AI ask clarifying questions before drafting the final prompt.</w:t>
            </w:r>
          </w:p>
        </w:tc>
        <w:tc>
          <w:tcPr>
            <w:tcW w:type="dxa" w:w="3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when you have an example output but do not know how to prompt for it; when requirements are unclear; or when improving an existing result.</w:t>
            </w:r>
          </w:p>
        </w:tc>
        <w:tc>
          <w:tcPr>
            <w:tcW w:type="dxa" w:w="6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Study the sample output below and reverse-engineer a reusable prompt that can generate similar results. First ask me up to five essential questions. Then provide the final prompt using Role, Task, Context, Few Shots, and Response Format. Sample output: [paste output].</w:t>
            </w:r>
          </w:p>
        </w:tc>
      </w:tr>
      <w:tr>
        <w:trPr>
          <w:cantSplit/>
        </w:trPr>
        <w:tc>
          <w:tcPr>
            <w:tcW w:type="dxa" w:w="1900"/>
            <w:vAlign w:val="center"/>
            <w:shd w:fill="F1F7F1"/>
            <w:tcMar>
              <w:top w:w="90" w:type="dxa"/>
              <w:start w:w="105" w:type="dxa"/>
              <w:bottom w:w="90" w:type="dxa"/>
              <w:end w:w="105" w:type="dxa"/>
            </w:tcMar>
          </w:tcPr>
          <w:p>
            <w:pPr>
              <w:spacing w:before="0" w:after="0" w:line="245" w:lineRule="auto"/>
              <w:jc w:val="left"/>
            </w:pPr>
            <w:r>
              <w:rPr>
                <w:rFonts w:ascii="Calibri" w:hAnsi="Calibri"/>
                <w:b/>
                <w:i w:val="0"/>
                <w:color w:val="1F2937"/>
                <w:sz w:val="16"/>
              </w:rPr>
              <w:t>2. System Prompt</w:t>
            </w:r>
          </w:p>
        </w:tc>
        <w:tc>
          <w:tcPr>
            <w:tcW w:type="dxa" w:w="29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Establishes persistent instructions, behaviour, expertise, boundaries, and response rules for an AI assistant.</w:t>
            </w:r>
          </w:p>
        </w:tc>
        <w:tc>
          <w:tcPr>
            <w:tcW w:type="dxa" w:w="33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for chatbots, custom assistants, customer support, n8n agents, and other systems that must behave consistently across conversations.</w:t>
            </w:r>
          </w:p>
        </w:tc>
        <w:tc>
          <w:tcPr>
            <w:tcW w:type="dxa" w:w="6300"/>
            <w:vAlign w:val="center"/>
            <w:shd w:fill="F1F7F1"/>
            <w:tcMar>
              <w:top w:w="90" w:type="dxa"/>
              <w:start w:w="105" w:type="dxa"/>
              <w:bottom w:w="90" w:type="dxa"/>
              <w:end w:w="105" w:type="dxa"/>
            </w:tcMar>
          </w:tcPr>
          <w:p>
            <w:pPr>
              <w:spacing w:before="0" w:after="40" w:line="245" w:lineRule="auto"/>
              <w:jc w:val="left"/>
            </w:pPr>
            <w:r>
              <w:rPr>
                <w:rFonts w:ascii="Calibri" w:hAnsi="Calibri"/>
                <w:b w:val="0"/>
                <w:i w:val="0"/>
                <w:color w:val="1F2937"/>
                <w:sz w:val="16"/>
              </w:rPr>
              <w:t>Role: You are a senior AI automation assistant.</w:t>
            </w:r>
          </w:p>
          <w:p>
            <w:pPr>
              <w:spacing w:before="0" w:after="40" w:line="245" w:lineRule="auto"/>
              <w:jc w:val="left"/>
            </w:pPr>
            <w:r>
              <w:rPr>
                <w:rFonts w:ascii="Calibri" w:hAnsi="Calibri"/>
                <w:b w:val="0"/>
                <w:i w:val="0"/>
                <w:color w:val="1F2937"/>
                <w:sz w:val="16"/>
              </w:rPr>
              <w:t>Task: Help users build n8n workflows step by step.</w:t>
            </w:r>
          </w:p>
          <w:p>
            <w:pPr>
              <w:spacing w:before="0" w:after="40" w:line="245" w:lineRule="auto"/>
              <w:jc w:val="left"/>
            </w:pPr>
            <w:r>
              <w:rPr>
                <w:rFonts w:ascii="Calibri" w:hAnsi="Calibri"/>
                <w:b w:val="0"/>
                <w:i w:val="0"/>
                <w:color w:val="1F2937"/>
                <w:sz w:val="16"/>
              </w:rPr>
              <w:t>Context: Users are beginners from a Tamil audience learning practical automation. Explain technical terms simply and use Tamil-friendly examples when helpful.</w:t>
            </w:r>
          </w:p>
          <w:p>
            <w:pPr>
              <w:spacing w:before="0" w:after="40" w:line="245" w:lineRule="auto"/>
              <w:jc w:val="left"/>
            </w:pPr>
            <w:r>
              <w:rPr>
                <w:rFonts w:ascii="Calibri" w:hAnsi="Calibri"/>
                <w:b w:val="0"/>
                <w:i w:val="0"/>
                <w:color w:val="1F2937"/>
                <w:sz w:val="16"/>
              </w:rPr>
              <w:t>Few shots: Use cases may include Google Sheets to Gmail, form-to-ticket workflows, and lead-capture automation.</w:t>
            </w:r>
          </w:p>
          <w:p>
            <w:pPr>
              <w:spacing w:before="0" w:after="40" w:line="245" w:lineRule="auto"/>
              <w:jc w:val="left"/>
            </w:pPr>
            <w:r>
              <w:rPr>
                <w:rFonts w:ascii="Calibri" w:hAnsi="Calibri"/>
                <w:b w:val="0"/>
                <w:i w:val="0"/>
                <w:color w:val="1F2937"/>
                <w:sz w:val="16"/>
              </w:rPr>
              <w:t>Response: Always provide the objective, required nodes, configuration steps, sample expressions or prompts, testing instructions, and error handling. Never invent unavailable nodes or credentials.</w:t>
            </w:r>
          </w:p>
        </w:tc>
      </w:tr>
      <w:tr>
        <w:trPr>
          <w:cantSplit/>
        </w:trPr>
        <w:tc>
          <w:tcPr>
            <w:tcW w:type="dxa" w:w="1900"/>
            <w:vAlign w:val="center"/>
            <w:shd w:fill="FFFFFF"/>
            <w:tcMar>
              <w:top w:w="90" w:type="dxa"/>
              <w:start w:w="105" w:type="dxa"/>
              <w:bottom w:w="90" w:type="dxa"/>
              <w:end w:w="105" w:type="dxa"/>
            </w:tcMar>
          </w:tcPr>
          <w:p>
            <w:pPr>
              <w:spacing w:before="0" w:after="0" w:line="245" w:lineRule="auto"/>
              <w:jc w:val="left"/>
            </w:pPr>
            <w:r>
              <w:rPr>
                <w:rFonts w:ascii="Calibri" w:hAnsi="Calibri"/>
                <w:b/>
                <w:i w:val="0"/>
                <w:color w:val="1F2937"/>
                <w:sz w:val="16"/>
              </w:rPr>
              <w:t>3. Sequential Prompting</w:t>
            </w:r>
          </w:p>
        </w:tc>
        <w:tc>
          <w:tcPr>
            <w:tcW w:type="dxa" w:w="29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Divides a complex task into an ordered series of prompts, with each result becoming input for the next step.</w:t>
            </w:r>
          </w:p>
        </w:tc>
        <w:tc>
          <w:tcPr>
            <w:tcW w:type="dxa" w:w="3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for research, content creation, application development, data analysis, and workflows in which later work depends on earlier decisions.</w:t>
            </w:r>
          </w:p>
        </w:tc>
        <w:tc>
          <w:tcPr>
            <w:tcW w:type="dxa" w:w="6300"/>
            <w:vAlign w:val="center"/>
            <w:shd w:fill="FFFFFF"/>
            <w:tcMar>
              <w:top w:w="90" w:type="dxa"/>
              <w:start w:w="105" w:type="dxa"/>
              <w:bottom w:w="90" w:type="dxa"/>
              <w:end w:w="105" w:type="dxa"/>
            </w:tcMar>
          </w:tcPr>
          <w:p>
            <w:pPr>
              <w:spacing w:before="0" w:after="40" w:line="245" w:lineRule="auto"/>
              <w:jc w:val="left"/>
            </w:pPr>
            <w:r>
              <w:rPr>
                <w:rFonts w:ascii="Calibri" w:hAnsi="Calibri"/>
                <w:b w:val="0"/>
                <w:i w:val="0"/>
                <w:color w:val="1F2937"/>
                <w:sz w:val="16"/>
              </w:rPr>
              <w:t>Prompt 1: Identify five beginner-friendly n8n automation ideas.</w:t>
            </w:r>
          </w:p>
          <w:p>
            <w:pPr>
              <w:spacing w:before="0" w:after="40" w:line="245" w:lineRule="auto"/>
              <w:jc w:val="left"/>
            </w:pPr>
            <w:r>
              <w:rPr>
                <w:rFonts w:ascii="Calibri" w:hAnsi="Calibri"/>
                <w:b w:val="0"/>
                <w:i w:val="0"/>
                <w:color w:val="1F2937"/>
                <w:sz w:val="16"/>
              </w:rPr>
              <w:t>Prompt 2: Evaluate the ideas and select the easiest high-value option.</w:t>
            </w:r>
          </w:p>
          <w:p>
            <w:pPr>
              <w:spacing w:before="0" w:after="40" w:line="245" w:lineRule="auto"/>
              <w:jc w:val="left"/>
            </w:pPr>
            <w:r>
              <w:rPr>
                <w:rFonts w:ascii="Calibri" w:hAnsi="Calibri"/>
                <w:b w:val="0"/>
                <w:i w:val="0"/>
                <w:color w:val="1F2937"/>
                <w:sz w:val="16"/>
              </w:rPr>
              <w:t>Prompt 3: Design the selected workflow and list its nodes.</w:t>
            </w:r>
          </w:p>
          <w:p>
            <w:pPr>
              <w:spacing w:before="0" w:after="40" w:line="245" w:lineRule="auto"/>
              <w:jc w:val="left"/>
            </w:pPr>
            <w:r>
              <w:rPr>
                <w:rFonts w:ascii="Calibri" w:hAnsi="Calibri"/>
                <w:b w:val="0"/>
                <w:i w:val="0"/>
                <w:color w:val="1F2937"/>
                <w:sz w:val="16"/>
              </w:rPr>
              <w:t>Prompt 4: Provide node-by-node configuration instructions.</w:t>
            </w:r>
          </w:p>
          <w:p>
            <w:pPr>
              <w:spacing w:before="0" w:after="40" w:line="245" w:lineRule="auto"/>
              <w:jc w:val="left"/>
            </w:pPr>
            <w:r>
              <w:rPr>
                <w:rFonts w:ascii="Calibri" w:hAnsi="Calibri"/>
                <w:b w:val="0"/>
                <w:i w:val="0"/>
                <w:color w:val="1F2937"/>
                <w:sz w:val="16"/>
              </w:rPr>
              <w:t>Prompt 5: Create a testing and troubleshooting checklist.</w:t>
            </w:r>
          </w:p>
        </w:tc>
      </w:tr>
      <w:tr>
        <w:trPr>
          <w:cantSplit/>
        </w:trPr>
        <w:tc>
          <w:tcPr>
            <w:tcW w:type="dxa" w:w="1900"/>
            <w:vAlign w:val="center"/>
            <w:shd w:fill="F1F7F1"/>
            <w:tcMar>
              <w:top w:w="90" w:type="dxa"/>
              <w:start w:w="105" w:type="dxa"/>
              <w:bottom w:w="90" w:type="dxa"/>
              <w:end w:w="105" w:type="dxa"/>
            </w:tcMar>
          </w:tcPr>
          <w:p>
            <w:pPr>
              <w:spacing w:before="0" w:after="0" w:line="245" w:lineRule="auto"/>
              <w:jc w:val="left"/>
            </w:pPr>
            <w:r>
              <w:rPr>
                <w:rFonts w:ascii="Calibri" w:hAnsi="Calibri"/>
                <w:b/>
                <w:i w:val="0"/>
                <w:color w:val="1F2937"/>
                <w:sz w:val="16"/>
              </w:rPr>
              <w:t>4. Chain-of-Thought-style Prompting</w:t>
            </w:r>
          </w:p>
        </w:tc>
        <w:tc>
          <w:tcPr>
            <w:tcW w:type="dxa" w:w="29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Encourages deliberate multi-step problem solving while requesting the conclusion and a concise rationale rather than private internal reasoning.</w:t>
            </w:r>
          </w:p>
        </w:tc>
        <w:tc>
          <w:tcPr>
            <w:tcW w:type="dxa" w:w="33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for mathematics, debugging, planning, comparisons, and problems involving several dependent conditions.</w:t>
            </w:r>
          </w:p>
        </w:tc>
        <w:tc>
          <w:tcPr>
            <w:tcW w:type="dxa" w:w="63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Analyse the workflow requirements carefully. Check the trigger, data mapping, authentication, failure conditions, and expected output. Then provide the recommended workflow, a concise explanation of the key decisions, and a verification checklist. Do not provide private hidden reasoning.</w:t>
            </w:r>
          </w:p>
        </w:tc>
      </w:tr>
      <w:tr>
        <w:trPr>
          <w:cantSplit/>
        </w:trPr>
        <w:tc>
          <w:tcPr>
            <w:tcW w:type="dxa" w:w="1900"/>
            <w:vAlign w:val="center"/>
            <w:shd w:fill="FFFFFF"/>
            <w:tcMar>
              <w:top w:w="90" w:type="dxa"/>
              <w:start w:w="105" w:type="dxa"/>
              <w:bottom w:w="90" w:type="dxa"/>
              <w:end w:w="105" w:type="dxa"/>
            </w:tcMar>
          </w:tcPr>
          <w:p>
            <w:pPr>
              <w:spacing w:before="0" w:after="0" w:line="245" w:lineRule="auto"/>
              <w:jc w:val="left"/>
            </w:pPr>
            <w:r>
              <w:rPr>
                <w:rFonts w:ascii="Calibri" w:hAnsi="Calibri"/>
                <w:b/>
                <w:i w:val="0"/>
                <w:color w:val="1F2937"/>
                <w:sz w:val="16"/>
              </w:rPr>
              <w:t>5. Tree of Thoughts (ToT)</w:t>
            </w:r>
          </w:p>
        </w:tc>
        <w:tc>
          <w:tcPr>
            <w:tcW w:type="dxa" w:w="29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Explores several possible solution paths, compares them using clear criteria, and selects the strongest option.</w:t>
            </w:r>
          </w:p>
        </w:tc>
        <w:tc>
          <w:tcPr>
            <w:tcW w:type="dxa" w:w="3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when multiple valid approaches exist, such as architecture selection, business strategy, automation design, or troubleshooting.</w:t>
            </w:r>
          </w:p>
        </w:tc>
        <w:tc>
          <w:tcPr>
            <w:tcW w:type="dxa" w:w="6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Propose three possible n8n designs for capturing website leads and sending follow-ups. Compare their complexity, cost, reliability, scalability, and maintenance. Select the best design for a beginner and briefly explain the decision.</w:t>
            </w:r>
          </w:p>
        </w:tc>
      </w:tr>
      <w:tr>
        <w:trPr>
          <w:cantSplit/>
        </w:trPr>
        <w:tc>
          <w:tcPr>
            <w:tcW w:type="dxa" w:w="1900"/>
            <w:vAlign w:val="center"/>
            <w:shd w:fill="F1F7F1"/>
            <w:tcMar>
              <w:top w:w="90" w:type="dxa"/>
              <w:start w:w="105" w:type="dxa"/>
              <w:bottom w:w="90" w:type="dxa"/>
              <w:end w:w="105" w:type="dxa"/>
            </w:tcMar>
          </w:tcPr>
          <w:p>
            <w:pPr>
              <w:spacing w:before="0" w:after="0" w:line="245" w:lineRule="auto"/>
              <w:jc w:val="left"/>
            </w:pPr>
            <w:r>
              <w:rPr>
                <w:rFonts w:ascii="Calibri" w:hAnsi="Calibri"/>
                <w:b/>
                <w:i w:val="0"/>
                <w:color w:val="1F2937"/>
                <w:sz w:val="16"/>
              </w:rPr>
              <w:t>6. ReAct Prompt</w:t>
            </w:r>
          </w:p>
        </w:tc>
        <w:tc>
          <w:tcPr>
            <w:tcW w:type="dxa" w:w="29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Combines planning with actions and observations. The agent uses a tool, observes the result, and chooses the next safe action.</w:t>
            </w:r>
          </w:p>
        </w:tc>
        <w:tc>
          <w:tcPr>
            <w:tcW w:type="dxa" w:w="33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for research agents, API integrations, database queries, browser agents, and troubleshooting that requires external tools.</w:t>
            </w:r>
          </w:p>
        </w:tc>
        <w:tc>
          <w:tcPr>
            <w:tcW w:type="dxa" w:w="6300"/>
            <w:vAlign w:val="center"/>
            <w:shd w:fill="F1F7F1"/>
            <w:tcMar>
              <w:top w:w="90" w:type="dxa"/>
              <w:start w:w="105" w:type="dxa"/>
              <w:bottom w:w="90" w:type="dxa"/>
              <w:end w:w="105" w:type="dxa"/>
            </w:tcMar>
          </w:tcPr>
          <w:p>
            <w:pPr>
              <w:spacing w:before="0" w:after="0" w:line="245" w:lineRule="auto"/>
              <w:jc w:val="left"/>
            </w:pPr>
            <w:r>
              <w:rPr>
                <w:rFonts w:ascii="Calibri" w:hAnsi="Calibri"/>
                <w:b w:val="0"/>
                <w:i w:val="0"/>
                <w:color w:val="1F2937"/>
                <w:sz w:val="16"/>
              </w:rPr>
              <w:t>Your goal is to diagnose why an n8n Gmail workflow is failing. Plan privately. Inspect the execution log, identify the failing node, check its configuration, and test one safe correction at a time. Use each observation to choose the next action. Finish with the root cause, correction, and validation result. Do not expose private chain-of-thought.</w:t>
            </w:r>
          </w:p>
        </w:tc>
      </w:tr>
      <w:tr>
        <w:trPr>
          <w:cantSplit/>
        </w:trPr>
        <w:tc>
          <w:tcPr>
            <w:tcW w:type="dxa" w:w="1900"/>
            <w:vAlign w:val="center"/>
            <w:shd w:fill="FFFFFF"/>
            <w:tcMar>
              <w:top w:w="90" w:type="dxa"/>
              <w:start w:w="105" w:type="dxa"/>
              <w:bottom w:w="90" w:type="dxa"/>
              <w:end w:w="105" w:type="dxa"/>
            </w:tcMar>
          </w:tcPr>
          <w:p>
            <w:pPr>
              <w:spacing w:before="0" w:after="0" w:line="245" w:lineRule="auto"/>
              <w:jc w:val="left"/>
            </w:pPr>
            <w:r>
              <w:rPr>
                <w:rFonts w:ascii="Calibri" w:hAnsi="Calibri"/>
                <w:b/>
                <w:i w:val="0"/>
                <w:color w:val="1F2937"/>
                <w:sz w:val="16"/>
              </w:rPr>
              <w:t>7. Multi-Agent Prompting</w:t>
            </w:r>
          </w:p>
        </w:tc>
        <w:tc>
          <w:tcPr>
            <w:tcW w:type="dxa" w:w="29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Assigns specialized roles to multiple AI agents and combines their work through a coordinating agent.</w:t>
            </w:r>
          </w:p>
        </w:tc>
        <w:tc>
          <w:tcPr>
            <w:tcW w:type="dxa" w:w="3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Use for large research assignments, software projects, security reviews, marketing campaigns, and complex automation requiring different skills.</w:t>
            </w:r>
          </w:p>
        </w:tc>
        <w:tc>
          <w:tcPr>
            <w:tcW w:type="dxa" w:w="6300"/>
            <w:vAlign w:val="center"/>
            <w:shd w:fill="FFFFFF"/>
            <w:tcMar>
              <w:top w:w="90" w:type="dxa"/>
              <w:start w:w="105" w:type="dxa"/>
              <w:bottom w:w="90" w:type="dxa"/>
              <w:end w:w="105" w:type="dxa"/>
            </w:tcMar>
          </w:tcPr>
          <w:p>
            <w:pPr>
              <w:spacing w:before="0" w:after="0" w:line="245" w:lineRule="auto"/>
              <w:jc w:val="left"/>
            </w:pPr>
            <w:r>
              <w:rPr>
                <w:rFonts w:ascii="Calibri" w:hAnsi="Calibri"/>
                <w:b w:val="0"/>
                <w:i w:val="0"/>
                <w:color w:val="1F2937"/>
                <w:sz w:val="16"/>
              </w:rPr>
              <w:t>Create a four-agent team. Agent 1 - Requirements Analyst: clarify the business need. Agent 2 - Workflow Architect: design the n8n workflow. Agent 3 - Implementation Specialist: provide node configuration and expressions. Agent 4 - Reviewer: check security, errors, and completeness. A Coordinator should manage hand-offs, resolve disagreements, and produce one final implementation guide.</w:t>
            </w:r>
          </w:p>
        </w:tc>
      </w:tr>
    </w:tbl>
    <w:sectPr w:rsidR="00FC693F" w:rsidRPr="0006063C" w:rsidSect="00034616">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7"/>
      </w:rPr>
      <w:t>RTCFR Assignment 2 | Healthy Meal Planner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GEN AI ARCHITECT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RTCFR Healthy Meal Planner Prompt</dc:title>
  <dc:subject>RTCFR Assignment 2 - Prompt, outcome, and prompting techniques reference</dc:subject>
  <dc:creator>Student Submission</dc:creator>
  <cp:keywords>RTCFR, prompt engineering, healthy meal planner, South Indian vegetarian</cp:keywords>
  <dc:description>generated by python-docx</dc:description>
  <cp:lastModifiedBy/>
  <cp:revision>1</cp:revision>
  <dcterms:created xsi:type="dcterms:W3CDTF">2013-12-23T23:15:00Z</dcterms:created>
  <dcterms:modified xsi:type="dcterms:W3CDTF">2013-12-23T23:15:00Z</dcterms:modified>
  <cp:category/>
</cp:coreProperties>
</file>