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0000"/>
          <w:sz w:val="36"/>
          <w:szCs w:val="36"/>
        </w:rPr>
        <w:t xml:space="preserve">Task 1 — Restful Booker API Discovery</w:t>
      </w:r>
    </w:p>
    <w:p>
      <w:pPr>
        <w:spacing w:after="60"/>
      </w:pPr>
      <w:r>
        <w:rPr>
          <w:rFonts w:ascii="Calibri" w:cs="Calibri" w:eastAsia="Calibri" w:hAnsi="Calibri"/>
          <w:color w:val="555555"/>
          <w:sz w:val="23"/>
          <w:szCs w:val="23"/>
        </w:rPr>
        <w:t xml:space="preserve">Challenges &amp; Proposed Improvements</w:t>
      </w:r>
    </w:p>
    <w:p>
      <w:pPr>
        <w:spacing w:after="40"/>
      </w:pPr>
      <w:r>
        <w:rPr>
          <w:rFonts w:ascii="Calibri" w:cs="Calibri" w:eastAsia="Calibri" w:hAnsi="Calibri"/>
          <w:color w:val="888888"/>
          <w:sz w:val="19"/>
          <w:szCs w:val="19"/>
        </w:rPr>
        <w:t xml:space="preserve">Sankari Ravichandran  ·  MeDirect SDET Assessment  ·  May 2026</w:t>
      </w:r>
    </w:p>
    <w:p>
      <w:pPr>
        <w:pBdr>
          <w:bottom w:val="single" w:color="000000" w:sz="6" w:space="1"/>
        </w:pBdr>
        <w:spacing w:after="320"/>
      </w:pPr>
      <w:r>
        <w:t xml:space="preserve"/>
      </w:r>
    </w:p>
    <w:p>
      <w:pPr>
        <w:pBdr>
          <w:bottom w:val="single" w:color="CCCCCC" w:sz="4" w:space="4"/>
        </w:pBdr>
        <w:spacing w:after="120" w:before="360"/>
      </w:pPr>
      <w:r>
        <w:rPr>
          <w:rFonts w:ascii="Calibri" w:cs="Calibri" w:eastAsia="Calibri" w:hAnsi="Calibri"/>
          <w:b/>
          <w:bCs/>
          <w:color w:val="000000"/>
          <w:sz w:val="26"/>
          <w:szCs w:val="26"/>
        </w:rPr>
        <w:t xml:space="preserve">Challenges Encountered</w:t>
      </w:r>
    </w:p>
    <w:p>
      <w:pPr>
        <w:spacing w:after="100"/>
      </w:pPr>
      <w:r>
        <w:t xml:space="preserve"/>
      </w:r>
    </w:p>
    <w:p>
      <w:pPr>
        <w:pStyle w:val="ListParagraph"/>
        <w:numPr>
          <w:ilvl w:val="0"/>
          <w:numId w:val="2"/>
        </w:numPr>
        <w:spacing w:after="140"/>
      </w:pPr>
      <w:r>
        <w:rPr>
          <w:rFonts w:ascii="Calibri" w:cs="Calibri" w:eastAsia="Calibri" w:hAnsi="Calibri"/>
          <w:b/>
          <w:bCs/>
          <w:color w:val="1A1A1A"/>
          <w:sz w:val="21"/>
          <w:szCs w:val="21"/>
        </w:rPr>
        <w:t xml:space="preserve">Cookie-based authentication — </w:t>
      </w:r>
      <w:r>
        <w:rPr>
          <w:rFonts w:ascii="Calibri" w:cs="Calibri" w:eastAsia="Calibri" w:hAnsi="Calibri"/>
          <w:b w:val="false"/>
          <w:bCs w:val="false"/>
          <w:color w:val="1A1A1A"/>
          <w:sz w:val="21"/>
          <w:szCs w:val="21"/>
        </w:rPr>
        <w:t xml:space="preserve">the API documentation implies standard token-based auth, but the implementation uses a Cookie header (Cookie: token=&lt;value&gt;) rather than Authorization: Bearer. This was identified through manual exploration and handled by explicitly setting the Cookie header on all PUT, PATCH, and DELETE requests.</w:t>
      </w:r>
    </w:p>
    <w:p>
      <w:pPr>
        <w:pStyle w:val="ListParagraph"/>
        <w:numPr>
          <w:ilvl w:val="0"/>
          <w:numId w:val="2"/>
        </w:numPr>
        <w:spacing w:after="140"/>
      </w:pPr>
      <w:r>
        <w:rPr>
          <w:rFonts w:ascii="Calibri" w:cs="Calibri" w:eastAsia="Calibri" w:hAnsi="Calibri"/>
          <w:b/>
          <w:bCs/>
          <w:color w:val="1A1A1A"/>
          <w:sz w:val="21"/>
          <w:szCs w:val="21"/>
        </w:rPr>
        <w:t xml:space="preserve">DELETE returns 201 instead of 204 — </w:t>
      </w:r>
      <w:r>
        <w:rPr>
          <w:rFonts w:ascii="Calibri" w:cs="Calibri" w:eastAsia="Calibri" w:hAnsi="Calibri"/>
          <w:b w:val="false"/>
          <w:bCs w:val="false"/>
          <w:color w:val="1A1A1A"/>
          <w:sz w:val="21"/>
          <w:szCs w:val="21"/>
        </w:rPr>
        <w:t xml:space="preserve">REST convention for a successful deletion is HTTP 204 No Content. The Restful Booker API returns 201 Created, which is non-standard. The collection asserts 201 to match the actual API behaviour, flagged as a known API quirk rather than a test error.</w:t>
      </w:r>
    </w:p>
    <w:p>
      <w:pPr>
        <w:pStyle w:val="ListParagraph"/>
        <w:numPr>
          <w:ilvl w:val="0"/>
          <w:numId w:val="2"/>
        </w:numPr>
        <w:spacing w:after="140"/>
      </w:pPr>
      <w:r>
        <w:rPr>
          <w:rFonts w:ascii="Calibri" w:cs="Calibri" w:eastAsia="Calibri" w:hAnsi="Calibri"/>
          <w:b/>
          <w:bCs/>
          <w:color w:val="1A1A1A"/>
          <w:sz w:val="21"/>
          <w:szCs w:val="21"/>
        </w:rPr>
        <w:t xml:space="preserve">Hardcoded booking dates — </w:t>
      </w:r>
      <w:r>
        <w:rPr>
          <w:rFonts w:ascii="Calibri" w:cs="Calibri" w:eastAsia="Calibri" w:hAnsi="Calibri"/>
          <w:b w:val="false"/>
          <w:bCs w:val="false"/>
          <w:color w:val="1A1A1A"/>
          <w:sz w:val="21"/>
          <w:szCs w:val="21"/>
        </w:rPr>
        <w:t xml:space="preserve">the API requires checkin and checkout dates in the request body. Static strings are used in the current collection since the API does not validate whether dates are in the future. In a production setup these would be dynamically generated in the pre-request script, always relative to today's date.</w:t>
      </w:r>
    </w:p>
    <w:p>
      <w:pPr>
        <w:pStyle w:val="ListParagraph"/>
        <w:numPr>
          <w:ilvl w:val="0"/>
          <w:numId w:val="2"/>
        </w:numPr>
        <w:spacing w:after="140"/>
      </w:pPr>
      <w:r>
        <w:rPr>
          <w:rFonts w:ascii="Calibri" w:cs="Calibri" w:eastAsia="Calibri" w:hAnsi="Calibri"/>
          <w:b/>
          <w:bCs/>
          <w:color w:val="1A1A1A"/>
          <w:sz w:val="21"/>
          <w:szCs w:val="21"/>
        </w:rPr>
        <w:t xml:space="preserve">Shared public sandbox — </w:t>
      </w:r>
      <w:r>
        <w:rPr>
          <w:rFonts w:ascii="Calibri" w:cs="Calibri" w:eastAsia="Calibri" w:hAnsi="Calibri"/>
          <w:b w:val="false"/>
          <w:bCs w:val="false"/>
          <w:color w:val="1A1A1A"/>
          <w:sz w:val="21"/>
          <w:szCs w:val="21"/>
        </w:rPr>
        <w:t xml:space="preserve">the Restful Booker API is a shared public instance. Other users may create or delete bookings concurrently. Timestamp-based unique guest names (User + Date.now()) minimise data collision risk but cannot eliminate it entirely on a shared environment.</w:t>
      </w:r>
    </w:p>
    <w:p>
      <w:pPr>
        <w:spacing w:after="300"/>
      </w:pPr>
      <w:r>
        <w:t xml:space="preserve"/>
      </w:r>
    </w:p>
    <w:p>
      <w:pPr>
        <w:pBdr>
          <w:bottom w:val="single" w:color="CCCCCC" w:sz="4" w:space="4"/>
        </w:pBdr>
        <w:spacing w:after="120" w:before="360"/>
      </w:pPr>
      <w:r>
        <w:rPr>
          <w:rFonts w:ascii="Calibri" w:cs="Calibri" w:eastAsia="Calibri" w:hAnsi="Calibri"/>
          <w:b/>
          <w:bCs/>
          <w:color w:val="000000"/>
          <w:sz w:val="26"/>
          <w:szCs w:val="26"/>
        </w:rPr>
        <w:t xml:space="preserve">Proposed Improvements</w:t>
      </w:r>
    </w:p>
    <w:p>
      <w:pPr>
        <w:spacing w:after="100"/>
      </w:pPr>
      <w:r>
        <w:t xml:space="preserve"/>
      </w:r>
    </w:p>
    <w:p>
      <w:pPr>
        <w:pStyle w:val="ListParagraph"/>
        <w:numPr>
          <w:ilvl w:val="0"/>
          <w:numId w:val="2"/>
        </w:numPr>
        <w:spacing w:after="140"/>
      </w:pPr>
      <w:r>
        <w:rPr>
          <w:rFonts w:ascii="Calibri" w:cs="Calibri" w:eastAsia="Calibri" w:hAnsi="Calibri"/>
          <w:b/>
          <w:bCs/>
          <w:color w:val="1A1A1A"/>
          <w:sz w:val="21"/>
          <w:szCs w:val="21"/>
        </w:rPr>
        <w:t xml:space="preserve">Dynamic date generation — </w:t>
      </w:r>
      <w:r>
        <w:rPr>
          <w:rFonts w:ascii="Calibri" w:cs="Calibri" w:eastAsia="Calibri" w:hAnsi="Calibri"/>
          <w:b w:val="false"/>
          <w:bCs w:val="false"/>
          <w:color w:val="1A1A1A"/>
          <w:sz w:val="21"/>
          <w:szCs w:val="21"/>
        </w:rPr>
        <w:t xml:space="preserve">replace static checkin and checkout strings with pre-request script logic that generates dates relative to today using new Date(). This keeps the collection valid long-term and handles any future date validation the API may introduce.</w:t>
      </w:r>
    </w:p>
    <w:p>
      <w:pPr>
        <w:pStyle w:val="ListParagraph"/>
        <w:numPr>
          <w:ilvl w:val="0"/>
          <w:numId w:val="2"/>
        </w:numPr>
        <w:spacing w:after="140"/>
      </w:pPr>
      <w:r>
        <w:rPr>
          <w:rFonts w:ascii="Calibri" w:cs="Calibri" w:eastAsia="Calibri" w:hAnsi="Calibri"/>
          <w:b/>
          <w:bCs/>
          <w:color w:val="1A1A1A"/>
          <w:sz w:val="21"/>
          <w:szCs w:val="21"/>
        </w:rPr>
        <w:t xml:space="preserve">Newman CI integration — </w:t>
      </w:r>
      <w:r>
        <w:rPr>
          <w:rFonts w:ascii="Calibri" w:cs="Calibri" w:eastAsia="Calibri" w:hAnsi="Calibri"/>
          <w:b w:val="false"/>
          <w:bCs w:val="false"/>
          <w:color w:val="1A1A1A"/>
          <w:sz w:val="21"/>
          <w:szCs w:val="21"/>
        </w:rPr>
        <w:t xml:space="preserve">Newman is the official Postman command-line runner. Integrating it into the GitHub Actions pipeline already set up for Tasks 2–4 would allow the Postman collection to run automatically alongside the Playwright tests on every push, generating an HTML report via newman-reporter-htmlextra.</w:t>
      </w:r>
    </w:p>
    <w:p>
      <w:pPr>
        <w:pStyle w:val="ListParagraph"/>
        <w:numPr>
          <w:ilvl w:val="0"/>
          <w:numId w:val="2"/>
        </w:numPr>
        <w:spacing w:after="140"/>
      </w:pPr>
      <w:r>
        <w:rPr>
          <w:rFonts w:ascii="Calibri" w:cs="Calibri" w:eastAsia="Calibri" w:hAnsi="Calibri"/>
          <w:b/>
          <w:bCs/>
          <w:color w:val="1A1A1A"/>
          <w:sz w:val="21"/>
          <w:szCs w:val="21"/>
        </w:rPr>
        <w:t xml:space="preserve">Expanded negative test coverage — </w:t>
      </w:r>
      <w:r>
        <w:rPr>
          <w:rFonts w:ascii="Calibri" w:cs="Calibri" w:eastAsia="Calibri" w:hAnsi="Calibri"/>
          <w:b w:val="false"/>
          <w:bCs w:val="false"/>
          <w:color w:val="1A1A1A"/>
          <w:sz w:val="21"/>
          <w:szCs w:val="21"/>
        </w:rPr>
        <w:t xml:space="preserve">the current Negative Tests folder covers one scenario (invalid booking ID returning 404). Additional cases would include: DELETE without a token (expected 403), POST with missing required fields (expected 400/500), and POST /auth with invalid credentials (expected Bad credentials response).</w:t>
      </w:r>
    </w:p>
    <w:p>
      <w:pPr>
        <w:pStyle w:val="ListParagraph"/>
        <w:numPr>
          <w:ilvl w:val="0"/>
          <w:numId w:val="2"/>
        </w:numPr>
        <w:spacing w:after="140"/>
      </w:pPr>
      <w:r>
        <w:rPr>
          <w:rFonts w:ascii="Calibri" w:cs="Calibri" w:eastAsia="Calibri" w:hAnsi="Calibri"/>
          <w:b/>
          <w:bCs/>
          <w:color w:val="1A1A1A"/>
          <w:sz w:val="21"/>
          <w:szCs w:val="21"/>
        </w:rPr>
        <w:t xml:space="preserve">Environment separation — </w:t>
      </w:r>
      <w:r>
        <w:rPr>
          <w:rFonts w:ascii="Calibri" w:cs="Calibri" w:eastAsia="Calibri" w:hAnsi="Calibri"/>
          <w:b w:val="false"/>
          <w:bCs w:val="false"/>
          <w:color w:val="1A1A1A"/>
          <w:sz w:val="21"/>
          <w:szCs w:val="21"/>
        </w:rPr>
        <w:t xml:space="preserve">a companion environment file for UAT would allow the same collection to run against a staging environment simply by switching the active Postman environment or passing a different -e flag to Newman, with no changes to the collection itself.</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Calibri" w:cs="Calibri" w:eastAsia="Calibri" w:hAnsi="Calibri"/>
        <w:color w:val="888888"/>
        <w:sz w:val="17"/>
        <w:szCs w:val="17"/>
      </w:rPr>
      <w:t xml:space="preserve">Task 1  ·  Restful Booker API Discovery  ·  Sankari Ravichandran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2026-05-13T15:54:39.295Z</dcterms:created>
  <dcterms:modified xsi:type="dcterms:W3CDTF">2026-05-13T15:54:39.296Z</dcterms:modified>
</cp:coreProperties>
</file>

<file path=docProps/custom.xml><?xml version="1.0" encoding="utf-8"?>
<Properties xmlns="http://schemas.openxmlformats.org/officeDocument/2006/custom-properties" xmlns:vt="http://schemas.openxmlformats.org/officeDocument/2006/docPropsVTypes"/>
</file>