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071A2D"/>
          <w:sz w:val="52"/>
        </w:rPr>
        <w:t>DHA Data Dashboard</w:t>
      </w:r>
    </w:p>
    <w:p>
      <w:r>
        <w:t>Technical Documentation | Version 1.1.0 | Candidate</w:t>
      </w:r>
    </w:p>
    <w:p>
      <w:pPr>
        <w:pStyle w:val="Heading1"/>
      </w:pPr>
      <w:r>
        <w:t>1. Purpose and scope</w:t>
      </w:r>
    </w:p>
    <w:p>
      <w:r>
        <w:t>Local dashboard for selecting a folder of legacy DHA XLS files, processing verified worksheet ranges, and displaying one consolidated DHA Data table.</w:t>
      </w:r>
    </w:p>
    <w:p>
      <w:pPr>
        <w:pStyle w:val="Heading1"/>
      </w:pPr>
      <w:r>
        <w:t>2. Architecture</w:t>
      </w:r>
    </w:p>
    <w:p>
      <w:r>
        <w:t>Flask entry point: run_app.py and app.py. Frontend: frontend/index.html, CSS and JavaScript. Backend: API routes, processing service, XLS loader, validators, and calculation constants.</w:t>
      </w:r>
    </w:p>
    <w:p>
      <w:pPr>
        <w:pStyle w:val="Heading1"/>
      </w:pPr>
      <w:r>
        <w:t>3. User interface</w:t>
      </w:r>
    </w:p>
    <w:p>
      <w:r>
        <w:t>The sidebar contains one DHA Data tab. The table fixes File Name, UID, DateTime, and Component on the left and aligns C1 through C15 on the right.</w:t>
      </w:r>
    </w:p>
    <w:p>
      <w:pPr>
        <w:pStyle w:val="Heading1"/>
      </w:pPr>
      <w:r>
        <w:t>4. Data processing</w:t>
      </w:r>
    </w:p>
    <w:p>
      <w:r>
        <w:t>For each valid file, HEADER!B6 supplies UID and DateTime. CARBON_TABULAR(%WGT)!C3:H18 supplies Paraffin, I-Paraffins, Aromatics, Naphthenes, and Olefins values for C1-C15. Five component rows are generated per successfully processed file.</w:t>
      </w:r>
    </w:p>
    <w:p>
      <w:pPr>
        <w:pStyle w:val="Heading1"/>
      </w:pPr>
      <w:r>
        <w:t>5. Folder selection</w:t>
      </w:r>
    </w:p>
    <w:p>
      <w:r>
        <w:t>The default folder is configured in config/settings.json. The Browse control calls POST /api/browse-folder, which attempts to open the native Windows folder picker. A manually entered path is supported. POST /api/process processes the selected directory.</w:t>
      </w:r>
    </w:p>
    <w:p>
      <w:pPr>
        <w:pStyle w:val="Heading1"/>
      </w:pPr>
      <w:r>
        <w:t>6. Validation</w:t>
      </w:r>
    </w:p>
    <w:p>
      <w:r>
        <w:t>The loader validates the OLE workbook stream, required worksheets, required ranges, UID/date pattern, expected headers, numeric values, and missing markers. File-level failures are returned in processing_log.</w:t>
      </w:r>
    </w:p>
    <w:p>
      <w:pPr>
        <w:pStyle w:val="Heading1"/>
      </w:pPr>
      <w:r>
        <w:t>7. Equations and units</w:t>
      </w:r>
    </w:p>
    <w:p>
      <w:r>
        <w:t>No equation, conversion, correction factor, setpoint, or unit was changed. Displayed carbon values are extracted %WGT values. The output is a structural pivot, not a scientific recalculation.</w:t>
      </w:r>
    </w:p>
    <w:p>
      <w:pPr>
        <w:pStyle w:val="Heading1"/>
      </w:pPr>
      <w:r>
        <w:t>8. Testing</w:t>
      </w:r>
    </w:p>
    <w:p>
      <w:r>
        <w:t>Tests cover header/value normalization, invalid directory handling, frontend loading, health API, and settings API. Live XLS regression requires the source workbooks on the Windows machine.</w:t>
      </w:r>
    </w:p>
    <w:p>
      <w:pPr>
        <w:pStyle w:val="Heading1"/>
      </w:pPr>
      <w:r>
        <w:t>9. Security and limitations</w:t>
      </w:r>
    </w:p>
    <w:p>
      <w:r>
        <w:t>The application binds to localhost. The path-processing API should remain local. Native folder browsing depends on tkinter and a graphical Windows session. Browser security prevents automatically preselecting an arbitrary local folder.</w:t>
      </w:r>
    </w:p>
    <w:p>
      <w:pPr>
        <w:pStyle w:val="Heading1"/>
      </w:pPr>
      <w:r>
        <w:t>10. Version and rollback</w:t>
      </w:r>
    </w:p>
    <w:p>
      <w:r>
        <w:t>New candidate version: 1.1.0. Rollback version: 1.0.0 in the user OneDrive project folder. A reconstructed backup marker and manifest are included because the physical OneDrive folder was not directly accessible in the execution environment.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