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87CA1" w14:textId="77777777" w:rsidR="00361027" w:rsidRPr="00361027" w:rsidRDefault="00361027" w:rsidP="00361027">
      <w:r w:rsidRPr="00361027">
        <w:rPr>
          <w:b/>
          <w:bCs/>
          <w:lang w:val="en-US"/>
        </w:rPr>
        <w:t xml:space="preserve">Chapter 1 Research Methodology </w:t>
      </w:r>
    </w:p>
    <w:p w14:paraId="7201CBF5" w14:textId="77777777" w:rsidR="00361027" w:rsidRPr="00361027" w:rsidRDefault="00361027" w:rsidP="00361027">
      <w:r w:rsidRPr="00361027">
        <w:rPr>
          <w:b/>
          <w:bCs/>
          <w:lang w:val="en-US"/>
        </w:rPr>
        <w:t xml:space="preserve">Chapter 2 Market Structure </w:t>
      </w:r>
    </w:p>
    <w:p w14:paraId="49FA5AEF" w14:textId="77777777" w:rsidR="00361027" w:rsidRPr="00361027" w:rsidRDefault="00361027" w:rsidP="00361027">
      <w:r w:rsidRPr="00361027">
        <w:rPr>
          <w:b/>
          <w:bCs/>
          <w:lang w:val="en-US"/>
        </w:rPr>
        <w:t>Chapter 3 Executive Summary</w:t>
      </w:r>
    </w:p>
    <w:p w14:paraId="247F5B9E" w14:textId="77777777" w:rsidR="00361027" w:rsidRPr="00361027" w:rsidRDefault="00361027" w:rsidP="00361027">
      <w:r w:rsidRPr="00361027">
        <w:rPr>
          <w:b/>
          <w:bCs/>
          <w:lang w:val="en-US"/>
        </w:rPr>
        <w:t xml:space="preserve">Chapter 4 Energy Grid Market Overview </w:t>
      </w:r>
    </w:p>
    <w:p w14:paraId="44EA793E" w14:textId="77777777" w:rsidR="00361027" w:rsidRPr="00361027" w:rsidRDefault="00361027" w:rsidP="00361027">
      <w:r w:rsidRPr="00361027">
        <w:rPr>
          <w:b/>
          <w:bCs/>
          <w:lang w:val="en-US"/>
        </w:rPr>
        <w:t xml:space="preserve">  </w:t>
      </w:r>
      <w:r w:rsidRPr="00361027">
        <w:rPr>
          <w:lang w:val="en-US"/>
        </w:rPr>
        <w:t xml:space="preserve">4.1 Introduction </w:t>
      </w:r>
    </w:p>
    <w:p w14:paraId="723A05E1" w14:textId="77777777" w:rsidR="00361027" w:rsidRPr="00361027" w:rsidRDefault="00361027" w:rsidP="00361027">
      <w:pPr>
        <w:ind w:left="720"/>
      </w:pPr>
      <w:r w:rsidRPr="00361027">
        <w:rPr>
          <w:lang w:val="en-US"/>
        </w:rPr>
        <w:t>4.1.1 Market Snapshot</w:t>
      </w:r>
    </w:p>
    <w:p w14:paraId="37007815" w14:textId="77777777" w:rsidR="00361027" w:rsidRPr="00361027" w:rsidRDefault="00361027" w:rsidP="00361027">
      <w:pPr>
        <w:ind w:left="720"/>
      </w:pPr>
      <w:r w:rsidRPr="00361027">
        <w:rPr>
          <w:lang w:val="en-US"/>
        </w:rPr>
        <w:t xml:space="preserve">4.1.2 Assumptions, Inclusion &amp; Exclusions </w:t>
      </w:r>
    </w:p>
    <w:p w14:paraId="280B9479" w14:textId="77777777" w:rsidR="00361027" w:rsidRPr="00361027" w:rsidRDefault="00361027" w:rsidP="00361027">
      <w:pPr>
        <w:ind w:left="720"/>
      </w:pPr>
      <w:r w:rsidRPr="00361027">
        <w:rPr>
          <w:lang w:val="en-US"/>
        </w:rPr>
        <w:t>4.1.3 Technological Advancements &amp; Patent Analysis</w:t>
      </w:r>
    </w:p>
    <w:p w14:paraId="5F4BAD70" w14:textId="77777777" w:rsidR="00361027" w:rsidRPr="00361027" w:rsidRDefault="00361027" w:rsidP="00361027">
      <w:pPr>
        <w:ind w:left="720"/>
      </w:pPr>
      <w:r w:rsidRPr="00361027">
        <w:rPr>
          <w:lang w:val="en-US"/>
        </w:rPr>
        <w:t>4.1.4 Case Studies</w:t>
      </w:r>
    </w:p>
    <w:p w14:paraId="75498677" w14:textId="77777777" w:rsidR="00361027" w:rsidRPr="00361027" w:rsidRDefault="00361027" w:rsidP="00361027">
      <w:pPr>
        <w:ind w:left="720"/>
      </w:pPr>
      <w:r w:rsidRPr="00361027">
        <w:rPr>
          <w:lang w:val="en-US"/>
        </w:rPr>
        <w:t>4.1.5 Market Entry &amp; Launch Strategies</w:t>
      </w:r>
    </w:p>
    <w:p w14:paraId="20B868D6" w14:textId="77777777" w:rsidR="00361027" w:rsidRPr="00361027" w:rsidRDefault="00361027" w:rsidP="00361027">
      <w:pPr>
        <w:ind w:left="720"/>
      </w:pPr>
      <w:r w:rsidRPr="00361027">
        <w:rPr>
          <w:lang w:val="en-US"/>
        </w:rPr>
        <w:t>4.1.6 Macro-Economic Factors Impacting the Market Growth</w:t>
      </w:r>
    </w:p>
    <w:p w14:paraId="5D9A98E8" w14:textId="77777777" w:rsidR="00361027" w:rsidRPr="00361027" w:rsidRDefault="00361027" w:rsidP="00361027">
      <w:r w:rsidRPr="00361027">
        <w:rPr>
          <w:lang w:val="en-US"/>
        </w:rPr>
        <w:t xml:space="preserve">  4.2 Energy Grid Market Dynamics</w:t>
      </w:r>
    </w:p>
    <w:p w14:paraId="0EE8DAD8" w14:textId="77777777" w:rsidR="00361027" w:rsidRPr="00361027" w:rsidRDefault="00361027" w:rsidP="00361027">
      <w:pPr>
        <w:ind w:left="720"/>
      </w:pPr>
      <w:r w:rsidRPr="00361027">
        <w:rPr>
          <w:lang w:val="en-US"/>
        </w:rPr>
        <w:t>4.2.1 Market Drivers</w:t>
      </w:r>
    </w:p>
    <w:p w14:paraId="16204CCA" w14:textId="77777777" w:rsidR="00361027" w:rsidRPr="00361027" w:rsidRDefault="00361027" w:rsidP="00361027">
      <w:pPr>
        <w:ind w:left="720"/>
      </w:pPr>
      <w:r w:rsidRPr="00361027">
        <w:rPr>
          <w:lang w:val="en-US"/>
        </w:rPr>
        <w:t>4.2.2 Market Restraints</w:t>
      </w:r>
    </w:p>
    <w:p w14:paraId="702E9D53" w14:textId="77777777" w:rsidR="00361027" w:rsidRPr="00361027" w:rsidRDefault="00361027" w:rsidP="00361027">
      <w:pPr>
        <w:ind w:left="720"/>
      </w:pPr>
      <w:r w:rsidRPr="00361027">
        <w:rPr>
          <w:lang w:val="en-US"/>
        </w:rPr>
        <w:t>4.2.3 Market Opportunity</w:t>
      </w:r>
    </w:p>
    <w:p w14:paraId="47565EFB" w14:textId="77777777" w:rsidR="00361027" w:rsidRPr="00361027" w:rsidRDefault="00361027" w:rsidP="00361027">
      <w:r w:rsidRPr="00361027">
        <w:rPr>
          <w:lang w:val="en-US"/>
        </w:rPr>
        <w:t>4.3 Energy Grid Market - Supply Chain Analysis</w:t>
      </w:r>
      <w:r w:rsidRPr="00361027">
        <w:rPr>
          <w:b/>
          <w:bCs/>
          <w:lang w:val="en-US"/>
        </w:rPr>
        <w:t xml:space="preserve"> </w:t>
      </w:r>
    </w:p>
    <w:p w14:paraId="57869754" w14:textId="77777777" w:rsidR="00361027" w:rsidRPr="00361027" w:rsidRDefault="00361027" w:rsidP="00361027">
      <w:r w:rsidRPr="00361027">
        <w:rPr>
          <w:lang w:val="en-US"/>
        </w:rPr>
        <w:t xml:space="preserve">      4.3.1 Key Raw Material/Components Provider</w:t>
      </w:r>
    </w:p>
    <w:p w14:paraId="61684AAE" w14:textId="77777777" w:rsidR="00361027" w:rsidRPr="00361027" w:rsidRDefault="00361027" w:rsidP="00361027">
      <w:pPr>
        <w:ind w:left="720"/>
      </w:pPr>
      <w:r w:rsidRPr="00361027">
        <w:rPr>
          <w:lang w:val="en-US"/>
        </w:rPr>
        <w:t>4.3.1 Key Manufacturers</w:t>
      </w:r>
    </w:p>
    <w:p w14:paraId="7905D4E4" w14:textId="77777777" w:rsidR="00361027" w:rsidRPr="00361027" w:rsidRDefault="00361027" w:rsidP="00361027">
      <w:pPr>
        <w:ind w:left="720"/>
      </w:pPr>
      <w:r w:rsidRPr="00361027">
        <w:rPr>
          <w:lang w:val="en-US"/>
        </w:rPr>
        <w:t>4.3.2 Key Distributors</w:t>
      </w:r>
    </w:p>
    <w:p w14:paraId="6FC52D4E" w14:textId="77777777" w:rsidR="00361027" w:rsidRDefault="00361027" w:rsidP="00361027">
      <w:pPr>
        <w:ind w:left="720"/>
        <w:rPr>
          <w:lang w:val="en-US"/>
        </w:rPr>
      </w:pPr>
      <w:r w:rsidRPr="00361027">
        <w:rPr>
          <w:lang w:val="en-US"/>
        </w:rPr>
        <w:t>4.3.3 Key Consumers</w:t>
      </w:r>
    </w:p>
    <w:p w14:paraId="25F648B4" w14:textId="77777777" w:rsidR="00361027" w:rsidRPr="00361027" w:rsidRDefault="00361027" w:rsidP="00361027">
      <w:r w:rsidRPr="00361027">
        <w:rPr>
          <w:lang w:val="en-US"/>
        </w:rPr>
        <w:t xml:space="preserve">   4.4 Key Forces Shaping the Energy Grid Market </w:t>
      </w:r>
    </w:p>
    <w:p w14:paraId="744FE9C5" w14:textId="0DDC9FB6" w:rsidR="00361027" w:rsidRPr="00361027" w:rsidRDefault="00361027" w:rsidP="00361027">
      <w:pPr>
        <w:ind w:left="720"/>
      </w:pPr>
      <w:r w:rsidRPr="00361027">
        <w:rPr>
          <w:lang w:val="en-US"/>
        </w:rPr>
        <w:t xml:space="preserve">4.4.1 Bargaining Power of Suppliers </w:t>
      </w:r>
    </w:p>
    <w:p w14:paraId="38C8163D" w14:textId="7F0059DB" w:rsidR="00361027" w:rsidRPr="00361027" w:rsidRDefault="00361027" w:rsidP="00361027">
      <w:pPr>
        <w:ind w:left="720"/>
      </w:pPr>
      <w:r w:rsidRPr="00361027">
        <w:rPr>
          <w:lang w:val="en-US"/>
        </w:rPr>
        <w:t>4.4.2 Bargaining Power of Buyers</w:t>
      </w:r>
    </w:p>
    <w:p w14:paraId="6F09FCBF" w14:textId="4B841993" w:rsidR="00361027" w:rsidRPr="00361027" w:rsidRDefault="00361027" w:rsidP="00361027">
      <w:pPr>
        <w:ind w:left="720"/>
      </w:pPr>
      <w:r w:rsidRPr="00361027">
        <w:rPr>
          <w:lang w:val="en-US"/>
        </w:rPr>
        <w:t>4.4.3 Threat of Substitution</w:t>
      </w:r>
    </w:p>
    <w:p w14:paraId="6D321C60" w14:textId="25D5EF5A" w:rsidR="00361027" w:rsidRPr="00361027" w:rsidRDefault="00361027" w:rsidP="00361027">
      <w:pPr>
        <w:ind w:left="720"/>
      </w:pPr>
      <w:r w:rsidRPr="00361027">
        <w:rPr>
          <w:lang w:val="en-US"/>
        </w:rPr>
        <w:t xml:space="preserve">4.4.4 Threat of New Entrants </w:t>
      </w:r>
    </w:p>
    <w:p w14:paraId="3BBA0402" w14:textId="77777777" w:rsidR="00361027" w:rsidRDefault="00361027" w:rsidP="00361027">
      <w:pPr>
        <w:ind w:left="720"/>
      </w:pPr>
      <w:r w:rsidRPr="00361027">
        <w:rPr>
          <w:lang w:val="en-US"/>
        </w:rPr>
        <w:t>4.4.5 Competitive Rivalry</w:t>
      </w:r>
    </w:p>
    <w:p w14:paraId="0B9DDBE2" w14:textId="77777777" w:rsidR="00361027" w:rsidRDefault="00361027" w:rsidP="00361027"/>
    <w:p w14:paraId="6491D799" w14:textId="003EFDDE" w:rsidR="00361027" w:rsidRPr="00361027" w:rsidRDefault="00361027" w:rsidP="00361027">
      <w:r w:rsidRPr="00361027">
        <w:rPr>
          <w:b/>
          <w:bCs/>
          <w:lang w:val="en-US"/>
        </w:rPr>
        <w:t>Chapter 5 Global Energy Grid Market, By Infrastructure Type</w:t>
      </w:r>
    </w:p>
    <w:p w14:paraId="4A08E45E" w14:textId="59584DE2" w:rsidR="00361027" w:rsidRPr="00361027" w:rsidRDefault="00361027" w:rsidP="00361027">
      <w:r w:rsidRPr="00361027">
        <w:rPr>
          <w:lang w:val="en-US"/>
        </w:rPr>
        <w:lastRenderedPageBreak/>
        <w:t xml:space="preserve">5.1 Market Size, </w:t>
      </w:r>
      <w:r w:rsidR="0080215D">
        <w:rPr>
          <w:lang w:val="en-US"/>
        </w:rPr>
        <w:t>Value (USD Mn) &amp; Volume (Units)</w:t>
      </w:r>
    </w:p>
    <w:p w14:paraId="522DD78B" w14:textId="77777777" w:rsidR="00361027" w:rsidRPr="00361027" w:rsidRDefault="00361027" w:rsidP="00361027">
      <w:r w:rsidRPr="00361027">
        <w:rPr>
          <w:b/>
          <w:bCs/>
          <w:lang w:val="en-US"/>
        </w:rPr>
        <w:t xml:space="preserve">    5.1.1 Transmission Networks (High Voltage)</w:t>
      </w:r>
    </w:p>
    <w:p w14:paraId="43B2D0D4" w14:textId="77777777" w:rsidR="00361027" w:rsidRPr="00361027" w:rsidRDefault="00361027" w:rsidP="00361027">
      <w:r w:rsidRPr="00361027">
        <w:rPr>
          <w:lang w:val="en-US"/>
        </w:rPr>
        <w:t xml:space="preserve">        5.1.1.1 Overhead Transmission Lines</w:t>
      </w:r>
    </w:p>
    <w:p w14:paraId="3E022CFB" w14:textId="77777777" w:rsidR="00361027" w:rsidRPr="00361027" w:rsidRDefault="00361027" w:rsidP="00361027">
      <w:r w:rsidRPr="00361027">
        <w:rPr>
          <w:lang w:val="en-US"/>
        </w:rPr>
        <w:t xml:space="preserve">        5.1.1.2 Underground &amp; Submarine Cables</w:t>
      </w:r>
    </w:p>
    <w:p w14:paraId="74847C76" w14:textId="77777777" w:rsidR="00361027" w:rsidRPr="00361027" w:rsidRDefault="00361027" w:rsidP="00361027">
      <w:r w:rsidRPr="00361027">
        <w:rPr>
          <w:lang w:val="en-US"/>
        </w:rPr>
        <w:t xml:space="preserve">        5.1.1.3 HVDC (High Voltage Direct Current) Links</w:t>
      </w:r>
    </w:p>
    <w:p w14:paraId="19A7AE8F" w14:textId="77777777" w:rsidR="00361027" w:rsidRPr="00361027" w:rsidRDefault="00361027" w:rsidP="00361027">
      <w:r w:rsidRPr="00361027">
        <w:rPr>
          <w:b/>
          <w:bCs/>
          <w:lang w:val="en-US"/>
        </w:rPr>
        <w:t xml:space="preserve">   5.1.2 Distribution Networks (Medium &amp; Low Voltage)</w:t>
      </w:r>
    </w:p>
    <w:p w14:paraId="50E068CF" w14:textId="77777777" w:rsidR="00361027" w:rsidRPr="00361027" w:rsidRDefault="00361027" w:rsidP="00361027">
      <w:r w:rsidRPr="00361027">
        <w:rPr>
          <w:lang w:val="en-US"/>
        </w:rPr>
        <w:t xml:space="preserve">        5.1.2.1 Primary &amp; Secondary Distribution Lines</w:t>
      </w:r>
    </w:p>
    <w:p w14:paraId="4C21A444" w14:textId="77777777" w:rsidR="00361027" w:rsidRPr="00361027" w:rsidRDefault="00361027" w:rsidP="00361027">
      <w:r w:rsidRPr="00361027">
        <w:rPr>
          <w:lang w:val="en-US"/>
        </w:rPr>
        <w:t xml:space="preserve">        5.1.2.2 Substations (Step-down)</w:t>
      </w:r>
    </w:p>
    <w:p w14:paraId="41A7A117" w14:textId="77777777" w:rsidR="00361027" w:rsidRPr="00361027" w:rsidRDefault="00361027" w:rsidP="00361027">
      <w:r w:rsidRPr="00361027">
        <w:rPr>
          <w:lang w:val="en-US"/>
        </w:rPr>
        <w:t xml:space="preserve">        5.1.2.3 Last-mile Connectivity</w:t>
      </w:r>
    </w:p>
    <w:p w14:paraId="56DBC7C5" w14:textId="77777777" w:rsidR="00361027" w:rsidRPr="00361027" w:rsidRDefault="00361027" w:rsidP="00361027">
      <w:r w:rsidRPr="00361027">
        <w:rPr>
          <w:b/>
          <w:bCs/>
          <w:lang w:val="en-US"/>
        </w:rPr>
        <w:t xml:space="preserve">   5.1.3 Generation Interconnection</w:t>
      </w:r>
    </w:p>
    <w:p w14:paraId="488BB74B" w14:textId="77777777" w:rsidR="00361027" w:rsidRPr="00361027" w:rsidRDefault="00361027" w:rsidP="00361027">
      <w:r w:rsidRPr="00361027">
        <w:rPr>
          <w:lang w:val="en-US"/>
        </w:rPr>
        <w:t xml:space="preserve">        5.1.3.1 Renewable Energy Integration (Solar/Wind Farms)</w:t>
      </w:r>
    </w:p>
    <w:p w14:paraId="33039336" w14:textId="77777777" w:rsidR="00361027" w:rsidRPr="00361027" w:rsidRDefault="00361027" w:rsidP="00361027">
      <w:r w:rsidRPr="00361027">
        <w:rPr>
          <w:lang w:val="en-US"/>
        </w:rPr>
        <w:t xml:space="preserve">        5.1.3.2 Conventional Power Plant Links</w:t>
      </w:r>
    </w:p>
    <w:p w14:paraId="2B3345BA" w14:textId="77777777" w:rsidR="00361027" w:rsidRPr="00361027" w:rsidRDefault="00361027" w:rsidP="00361027">
      <w:r w:rsidRPr="00361027">
        <w:rPr>
          <w:lang w:val="en-US"/>
        </w:rPr>
        <w:t>5.2 Key Market Trends &amp; Growth Opportunities</w:t>
      </w:r>
    </w:p>
    <w:p w14:paraId="6906B281" w14:textId="1680DDE2" w:rsidR="00361027" w:rsidRPr="00361027" w:rsidRDefault="00361027" w:rsidP="00361027">
      <w:r w:rsidRPr="00361027">
        <w:rPr>
          <w:lang w:val="en-US"/>
        </w:rPr>
        <w:t>5.3 Market Share (%) Analysis,</w:t>
      </w:r>
      <w:r w:rsidR="0080215D">
        <w:rPr>
          <w:lang w:val="en-US"/>
        </w:rPr>
        <w:t>2018-2035</w:t>
      </w:r>
    </w:p>
    <w:p w14:paraId="40FAF912" w14:textId="77777777" w:rsidR="00361027" w:rsidRPr="00361027" w:rsidRDefault="00361027" w:rsidP="00361027">
      <w:r w:rsidRPr="00361027">
        <w:rPr>
          <w:lang w:val="en-US"/>
        </w:rPr>
        <w:t>5.4 Year-on-Year (YoY) Growth Rate</w:t>
      </w:r>
    </w:p>
    <w:p w14:paraId="77320B31" w14:textId="77777777" w:rsidR="00361027" w:rsidRPr="00361027" w:rsidRDefault="00361027" w:rsidP="00361027">
      <w:r w:rsidRPr="00361027">
        <w:rPr>
          <w:lang w:val="en-US"/>
        </w:rPr>
        <w:t>5.5 Market Attractiveness</w:t>
      </w:r>
    </w:p>
    <w:p w14:paraId="55E446F8" w14:textId="77777777" w:rsidR="00361027" w:rsidRPr="00361027" w:rsidRDefault="00361027" w:rsidP="00361027">
      <w:r w:rsidRPr="00361027">
        <w:rPr>
          <w:lang w:val="en-US"/>
        </w:rPr>
        <w:t>5.6 Global Investment &amp; Trade Risks</w:t>
      </w:r>
    </w:p>
    <w:p w14:paraId="31836EC9" w14:textId="1668ABC0" w:rsidR="00361027" w:rsidRPr="00361027" w:rsidRDefault="00361027" w:rsidP="00361027">
      <w:r w:rsidRPr="00361027">
        <w:rPr>
          <w:lang w:val="en-US"/>
        </w:rPr>
        <w:t xml:space="preserve">5.7 Pricing Analysis, </w:t>
      </w:r>
      <w:r w:rsidR="0080215D">
        <w:rPr>
          <w:lang w:val="en-US"/>
        </w:rPr>
        <w:t>2018-2035</w:t>
      </w:r>
      <w:r w:rsidRPr="00361027">
        <w:rPr>
          <w:lang w:val="en-US"/>
        </w:rPr>
        <w:t xml:space="preserve">                  </w:t>
      </w:r>
    </w:p>
    <w:p w14:paraId="5A0CEF1E" w14:textId="160AE96A" w:rsidR="00361027" w:rsidRDefault="00361027" w:rsidP="00361027">
      <w:pPr>
        <w:rPr>
          <w:lang w:val="en-US"/>
        </w:rPr>
      </w:pPr>
      <w:r w:rsidRPr="00361027">
        <w:rPr>
          <w:lang w:val="en-US"/>
        </w:rPr>
        <w:t xml:space="preserve">5.8 Operating Margin/Profits, </w:t>
      </w:r>
      <w:r w:rsidR="0080215D">
        <w:rPr>
          <w:lang w:val="en-US"/>
        </w:rPr>
        <w:t>2018-2035</w:t>
      </w:r>
    </w:p>
    <w:p w14:paraId="35447094" w14:textId="77777777" w:rsidR="00361027" w:rsidRDefault="00361027" w:rsidP="00361027">
      <w:pPr>
        <w:rPr>
          <w:lang w:val="en-US"/>
        </w:rPr>
      </w:pPr>
    </w:p>
    <w:p w14:paraId="326BD3AB" w14:textId="79290226" w:rsidR="00361027" w:rsidRPr="00361027" w:rsidRDefault="00361027" w:rsidP="00361027">
      <w:pPr>
        <w:rPr>
          <w:lang w:val="en-US"/>
        </w:rPr>
      </w:pPr>
      <w:r w:rsidRPr="00361027">
        <w:rPr>
          <w:b/>
          <w:bCs/>
          <w:lang w:val="en-US"/>
        </w:rPr>
        <w:t>Chapter 6 Global Energy Grid Market, By Component</w:t>
      </w:r>
    </w:p>
    <w:p w14:paraId="6DA4071B" w14:textId="4B45BE0C" w:rsidR="00361027" w:rsidRPr="00361027" w:rsidRDefault="00361027" w:rsidP="00361027">
      <w:r w:rsidRPr="00361027">
        <w:rPr>
          <w:lang w:val="en-US"/>
        </w:rPr>
        <w:t xml:space="preserve">6.1 Market Size, </w:t>
      </w:r>
      <w:r w:rsidR="0080215D">
        <w:rPr>
          <w:lang w:val="en-US"/>
        </w:rPr>
        <w:t>Value (USD Mn) &amp; Volume (Units)</w:t>
      </w:r>
    </w:p>
    <w:p w14:paraId="48B19BA8" w14:textId="77777777" w:rsidR="00361027" w:rsidRPr="00361027" w:rsidRDefault="00361027" w:rsidP="00361027">
      <w:r w:rsidRPr="00361027">
        <w:rPr>
          <w:b/>
          <w:bCs/>
          <w:lang w:val="en-US"/>
        </w:rPr>
        <w:t xml:space="preserve">   6.1.1 Power Lines &amp; Cables</w:t>
      </w:r>
    </w:p>
    <w:p w14:paraId="60AD57D1" w14:textId="77777777" w:rsidR="00361027" w:rsidRPr="00361027" w:rsidRDefault="00361027" w:rsidP="00361027">
      <w:r w:rsidRPr="00361027">
        <w:rPr>
          <w:lang w:val="en-US"/>
        </w:rPr>
        <w:t xml:space="preserve">        6.1.1.1 Conductors &amp; Insulators</w:t>
      </w:r>
    </w:p>
    <w:p w14:paraId="750EDA51" w14:textId="77777777" w:rsidR="00361027" w:rsidRPr="00361027" w:rsidRDefault="00361027" w:rsidP="00361027">
      <w:r w:rsidRPr="00361027">
        <w:rPr>
          <w:lang w:val="en-US"/>
        </w:rPr>
        <w:t xml:space="preserve">        6.1.1.2 Towers &amp; Poles</w:t>
      </w:r>
    </w:p>
    <w:p w14:paraId="55DA5D1F" w14:textId="77777777" w:rsidR="00361027" w:rsidRPr="00361027" w:rsidRDefault="00361027" w:rsidP="00361027">
      <w:r w:rsidRPr="00361027">
        <w:rPr>
          <w:b/>
          <w:bCs/>
          <w:lang w:val="en-US"/>
        </w:rPr>
        <w:t xml:space="preserve">    6.1.2 Transformers</w:t>
      </w:r>
    </w:p>
    <w:p w14:paraId="3533464E" w14:textId="77777777" w:rsidR="00361027" w:rsidRPr="00361027" w:rsidRDefault="00361027" w:rsidP="00361027">
      <w:r w:rsidRPr="00361027">
        <w:rPr>
          <w:lang w:val="en-US"/>
        </w:rPr>
        <w:t xml:space="preserve">        6.1.2.1 Power Transformers</w:t>
      </w:r>
    </w:p>
    <w:p w14:paraId="0B1CE239" w14:textId="77777777" w:rsidR="00361027" w:rsidRPr="00361027" w:rsidRDefault="00361027" w:rsidP="00361027">
      <w:r w:rsidRPr="00361027">
        <w:rPr>
          <w:lang w:val="en-US"/>
        </w:rPr>
        <w:t xml:space="preserve">        6.1.2.2 Distribution Transformers</w:t>
      </w:r>
    </w:p>
    <w:p w14:paraId="6E1F6DE9" w14:textId="77777777" w:rsidR="00361027" w:rsidRPr="00361027" w:rsidRDefault="00361027" w:rsidP="00361027">
      <w:r w:rsidRPr="00361027">
        <w:rPr>
          <w:lang w:val="en-US"/>
        </w:rPr>
        <w:lastRenderedPageBreak/>
        <w:t xml:space="preserve">        6.1.2.3 Instrument Transformers (Current/Potential)</w:t>
      </w:r>
    </w:p>
    <w:p w14:paraId="46C86F3E" w14:textId="77777777" w:rsidR="00361027" w:rsidRPr="00361027" w:rsidRDefault="00361027" w:rsidP="00361027">
      <w:r w:rsidRPr="00361027">
        <w:rPr>
          <w:b/>
          <w:bCs/>
          <w:lang w:val="en-US"/>
        </w:rPr>
        <w:t xml:space="preserve">   6.1.3 Switchgear &amp; Protection</w:t>
      </w:r>
    </w:p>
    <w:p w14:paraId="12607112" w14:textId="77777777" w:rsidR="00361027" w:rsidRPr="00361027" w:rsidRDefault="00361027" w:rsidP="00361027">
      <w:r w:rsidRPr="00361027">
        <w:rPr>
          <w:lang w:val="en-US"/>
        </w:rPr>
        <w:t xml:space="preserve">        6.1.3.1 Circuit Breakers (SF6, Vacuum, Air)</w:t>
      </w:r>
    </w:p>
    <w:p w14:paraId="18DE8753" w14:textId="77777777" w:rsidR="00361027" w:rsidRPr="00361027" w:rsidRDefault="00361027" w:rsidP="00361027">
      <w:r w:rsidRPr="00361027">
        <w:rPr>
          <w:lang w:val="en-US"/>
        </w:rPr>
        <w:t xml:space="preserve">        6.1.3.2 Relays &amp; Fuses</w:t>
      </w:r>
    </w:p>
    <w:p w14:paraId="2BFA2F14" w14:textId="77777777" w:rsidR="00361027" w:rsidRPr="00361027" w:rsidRDefault="00361027" w:rsidP="00361027">
      <w:r w:rsidRPr="00361027">
        <w:rPr>
          <w:lang w:val="en-US"/>
        </w:rPr>
        <w:t xml:space="preserve">        6.1.3.3 Disconnectors/Isolators</w:t>
      </w:r>
    </w:p>
    <w:p w14:paraId="37ECE763" w14:textId="77777777" w:rsidR="00361027" w:rsidRPr="00361027" w:rsidRDefault="00361027" w:rsidP="00361027">
      <w:r w:rsidRPr="00361027">
        <w:rPr>
          <w:b/>
          <w:bCs/>
          <w:lang w:val="en-US"/>
        </w:rPr>
        <w:t xml:space="preserve">   6.1.4 Control &amp; Monitoring Systems</w:t>
      </w:r>
    </w:p>
    <w:p w14:paraId="167581A1" w14:textId="77777777" w:rsidR="00361027" w:rsidRPr="00361027" w:rsidRDefault="00361027" w:rsidP="00361027">
      <w:r w:rsidRPr="00361027">
        <w:rPr>
          <w:lang w:val="en-US"/>
        </w:rPr>
        <w:t xml:space="preserve">        6.1.4.1 Variable Speed Drives (VSD)</w:t>
      </w:r>
    </w:p>
    <w:p w14:paraId="34FACDF6" w14:textId="77777777" w:rsidR="00361027" w:rsidRPr="00361027" w:rsidRDefault="00361027" w:rsidP="00361027">
      <w:r w:rsidRPr="00361027">
        <w:rPr>
          <w:lang w:val="en-US"/>
        </w:rPr>
        <w:t xml:space="preserve">        6.1.4.2 Synchronous Condensers</w:t>
      </w:r>
    </w:p>
    <w:p w14:paraId="14BC335B" w14:textId="77777777" w:rsidR="00361027" w:rsidRPr="00361027" w:rsidRDefault="00361027" w:rsidP="00361027">
      <w:r w:rsidRPr="00361027">
        <w:rPr>
          <w:lang w:val="en-US"/>
        </w:rPr>
        <w:t xml:space="preserve">        6.1.4.3 Capacitor Banks</w:t>
      </w:r>
    </w:p>
    <w:p w14:paraId="130AED7F" w14:textId="77777777" w:rsidR="00361027" w:rsidRPr="00361027" w:rsidRDefault="00361027" w:rsidP="00361027">
      <w:r w:rsidRPr="00361027">
        <w:rPr>
          <w:lang w:val="en-US"/>
        </w:rPr>
        <w:t>6.2 Key Market Trends &amp; Growth Opportunities</w:t>
      </w:r>
    </w:p>
    <w:p w14:paraId="2545E6E6" w14:textId="69B27FE7" w:rsidR="00361027" w:rsidRPr="00361027" w:rsidRDefault="00361027" w:rsidP="00361027">
      <w:r w:rsidRPr="00361027">
        <w:rPr>
          <w:lang w:val="en-US"/>
        </w:rPr>
        <w:t>6.3 Market Share (%) Analysis,</w:t>
      </w:r>
      <w:r w:rsidR="0080215D">
        <w:rPr>
          <w:lang w:val="en-US"/>
        </w:rPr>
        <w:t>2018-2035</w:t>
      </w:r>
    </w:p>
    <w:p w14:paraId="05B7BD28" w14:textId="77777777" w:rsidR="00361027" w:rsidRPr="00361027" w:rsidRDefault="00361027" w:rsidP="00361027">
      <w:r w:rsidRPr="00361027">
        <w:rPr>
          <w:lang w:val="en-US"/>
        </w:rPr>
        <w:t>6.4 Year-on-Year (YoY) Growth Rate</w:t>
      </w:r>
    </w:p>
    <w:p w14:paraId="74E05276" w14:textId="77777777" w:rsidR="00361027" w:rsidRDefault="00361027" w:rsidP="00361027">
      <w:pPr>
        <w:rPr>
          <w:lang w:val="en-US"/>
        </w:rPr>
      </w:pPr>
      <w:r w:rsidRPr="00361027">
        <w:rPr>
          <w:lang w:val="en-US"/>
        </w:rPr>
        <w:t>6.5 Market Attractiveness</w:t>
      </w:r>
    </w:p>
    <w:p w14:paraId="7CB00699" w14:textId="77777777" w:rsidR="00361027" w:rsidRPr="00361027" w:rsidRDefault="00361027" w:rsidP="00361027">
      <w:r w:rsidRPr="00361027">
        <w:rPr>
          <w:lang w:val="en-US"/>
        </w:rPr>
        <w:t>6.6 Global Investment &amp; Trade Risks</w:t>
      </w:r>
    </w:p>
    <w:p w14:paraId="07FA25E7" w14:textId="0EE3802B" w:rsidR="00361027" w:rsidRPr="00361027" w:rsidRDefault="00361027" w:rsidP="00361027">
      <w:r w:rsidRPr="00361027">
        <w:rPr>
          <w:lang w:val="en-US"/>
        </w:rPr>
        <w:t xml:space="preserve">6.7 Pricing Analysis, </w:t>
      </w:r>
      <w:r w:rsidR="0080215D">
        <w:rPr>
          <w:lang w:val="en-US"/>
        </w:rPr>
        <w:t>2018-2035</w:t>
      </w:r>
    </w:p>
    <w:p w14:paraId="228CCE62" w14:textId="6D1013DB" w:rsidR="00361027" w:rsidRPr="00361027" w:rsidRDefault="00361027" w:rsidP="00361027">
      <w:r w:rsidRPr="00361027">
        <w:rPr>
          <w:lang w:val="en-US"/>
        </w:rPr>
        <w:t xml:space="preserve">6.8 Operating Margin/Profits, </w:t>
      </w:r>
      <w:r w:rsidR="0080215D">
        <w:rPr>
          <w:lang w:val="en-US"/>
        </w:rPr>
        <w:t>2018-2035</w:t>
      </w:r>
    </w:p>
    <w:p w14:paraId="739E0907" w14:textId="77777777" w:rsidR="00361027" w:rsidRDefault="00361027" w:rsidP="00361027"/>
    <w:p w14:paraId="7C313CF4" w14:textId="77777777" w:rsidR="00361027" w:rsidRPr="00361027" w:rsidRDefault="00361027" w:rsidP="00361027">
      <w:r w:rsidRPr="00361027">
        <w:rPr>
          <w:b/>
          <w:bCs/>
          <w:lang w:val="en-US"/>
        </w:rPr>
        <w:t>Chapter 7 Global Energy Grid Market, By Grid Technology</w:t>
      </w:r>
    </w:p>
    <w:p w14:paraId="07FC4CBD" w14:textId="732D280D" w:rsidR="00361027" w:rsidRPr="00361027" w:rsidRDefault="00361027" w:rsidP="00361027">
      <w:r w:rsidRPr="00361027">
        <w:rPr>
          <w:lang w:val="en-US"/>
        </w:rPr>
        <w:t xml:space="preserve">7.1 Market Size, </w:t>
      </w:r>
      <w:r w:rsidR="0080215D">
        <w:rPr>
          <w:lang w:val="en-US"/>
        </w:rPr>
        <w:t>Value (USD Mn) &amp; Volume (Units)</w:t>
      </w:r>
    </w:p>
    <w:p w14:paraId="751897F1" w14:textId="77777777" w:rsidR="00361027" w:rsidRPr="00361027" w:rsidRDefault="00361027" w:rsidP="00361027">
      <w:r w:rsidRPr="00361027">
        <w:rPr>
          <w:b/>
          <w:bCs/>
          <w:lang w:val="en-US"/>
        </w:rPr>
        <w:t xml:space="preserve">    7.1.1 Conventional Grid Infrastructure</w:t>
      </w:r>
    </w:p>
    <w:p w14:paraId="4B89FBFA" w14:textId="77777777" w:rsidR="00361027" w:rsidRPr="00361027" w:rsidRDefault="00361027" w:rsidP="00361027">
      <w:r w:rsidRPr="00361027">
        <w:rPr>
          <w:b/>
          <w:bCs/>
          <w:lang w:val="en-US"/>
        </w:rPr>
        <w:t xml:space="preserve">    7.1.2 Smart Grid Infrastructure </w:t>
      </w:r>
      <w:r w:rsidRPr="00361027">
        <w:rPr>
          <w:lang w:val="en-US"/>
        </w:rPr>
        <w:t>(AMI/Smart Meters, Wide Area Measurement Systems)</w:t>
      </w:r>
    </w:p>
    <w:p w14:paraId="07947061" w14:textId="77777777" w:rsidR="00361027" w:rsidRPr="00361027" w:rsidRDefault="00361027" w:rsidP="00361027">
      <w:r w:rsidRPr="00361027">
        <w:rPr>
          <w:b/>
          <w:bCs/>
          <w:lang w:val="en-US"/>
        </w:rPr>
        <w:t xml:space="preserve">    7.1.3 Microgrids</w:t>
      </w:r>
    </w:p>
    <w:p w14:paraId="64A7E272" w14:textId="77777777" w:rsidR="00361027" w:rsidRPr="00361027" w:rsidRDefault="00361027" w:rsidP="00361027">
      <w:r w:rsidRPr="00361027">
        <w:rPr>
          <w:lang w:val="en-US"/>
        </w:rPr>
        <w:t xml:space="preserve">        7.1.3.1 On-grid Microgrids</w:t>
      </w:r>
    </w:p>
    <w:p w14:paraId="17A72BDF" w14:textId="77777777" w:rsidR="00361027" w:rsidRPr="00361027" w:rsidRDefault="00361027" w:rsidP="00361027">
      <w:r w:rsidRPr="00361027">
        <w:rPr>
          <w:lang w:val="en-US"/>
        </w:rPr>
        <w:t xml:space="preserve">        7.1.3.2 Off-grid/Remote Microgrids</w:t>
      </w:r>
    </w:p>
    <w:p w14:paraId="034AD88A" w14:textId="77777777" w:rsidR="00361027" w:rsidRPr="00361027" w:rsidRDefault="00361027" w:rsidP="00361027">
      <w:r w:rsidRPr="00361027">
        <w:rPr>
          <w:b/>
          <w:bCs/>
          <w:lang w:val="en-US"/>
        </w:rPr>
        <w:t xml:space="preserve">    7.1.4 Energy Storage Integration</w:t>
      </w:r>
    </w:p>
    <w:p w14:paraId="6961E765" w14:textId="77777777" w:rsidR="00361027" w:rsidRPr="00361027" w:rsidRDefault="00361027" w:rsidP="00361027">
      <w:r w:rsidRPr="00361027">
        <w:rPr>
          <w:lang w:val="en-US"/>
        </w:rPr>
        <w:t xml:space="preserve">        7.1.4.1 BESS (Battery Energy Storage Systems)</w:t>
      </w:r>
    </w:p>
    <w:p w14:paraId="6BF6EF8C" w14:textId="77777777" w:rsidR="00361027" w:rsidRPr="00361027" w:rsidRDefault="00361027" w:rsidP="00361027">
      <w:r w:rsidRPr="00361027">
        <w:rPr>
          <w:lang w:val="en-US"/>
        </w:rPr>
        <w:t xml:space="preserve">        7.1.4.2 Pumped Hydro Storage</w:t>
      </w:r>
    </w:p>
    <w:p w14:paraId="7B50C73D" w14:textId="77777777" w:rsidR="00361027" w:rsidRPr="00361027" w:rsidRDefault="00361027" w:rsidP="00361027">
      <w:r w:rsidRPr="00361027">
        <w:rPr>
          <w:lang w:val="en-US"/>
        </w:rPr>
        <w:lastRenderedPageBreak/>
        <w:t>7.2 Key Market Trends &amp; Growth Opportunities</w:t>
      </w:r>
    </w:p>
    <w:p w14:paraId="64F87940" w14:textId="74A320C6" w:rsidR="00361027" w:rsidRPr="00361027" w:rsidRDefault="00361027" w:rsidP="00361027">
      <w:r w:rsidRPr="00361027">
        <w:rPr>
          <w:lang w:val="en-US"/>
        </w:rPr>
        <w:t xml:space="preserve">7.3 Market Share (%) Analysis, </w:t>
      </w:r>
      <w:r w:rsidR="0080215D">
        <w:rPr>
          <w:lang w:val="en-US"/>
        </w:rPr>
        <w:t>2018-2035</w:t>
      </w:r>
    </w:p>
    <w:p w14:paraId="2B508376" w14:textId="77777777" w:rsidR="00361027" w:rsidRPr="00361027" w:rsidRDefault="00361027" w:rsidP="00361027">
      <w:r w:rsidRPr="00361027">
        <w:rPr>
          <w:lang w:val="en-US"/>
        </w:rPr>
        <w:t>7.4 Year-on-Year (YoY) Growth Rate</w:t>
      </w:r>
    </w:p>
    <w:p w14:paraId="4AD01F55" w14:textId="77777777" w:rsidR="00361027" w:rsidRPr="00361027" w:rsidRDefault="00361027" w:rsidP="00361027">
      <w:r w:rsidRPr="00361027">
        <w:rPr>
          <w:lang w:val="en-US"/>
        </w:rPr>
        <w:t>7.5 Market Attractiveness</w:t>
      </w:r>
    </w:p>
    <w:p w14:paraId="2D4ED513" w14:textId="77777777" w:rsidR="00361027" w:rsidRPr="00361027" w:rsidRDefault="00361027" w:rsidP="00361027">
      <w:r w:rsidRPr="00361027">
        <w:rPr>
          <w:lang w:val="en-US"/>
        </w:rPr>
        <w:t>7.6 Global Investment &amp; Trade Risks</w:t>
      </w:r>
    </w:p>
    <w:p w14:paraId="44510189" w14:textId="2FE2FC24" w:rsidR="00361027" w:rsidRPr="00361027" w:rsidRDefault="00361027" w:rsidP="00361027">
      <w:r w:rsidRPr="00361027">
        <w:rPr>
          <w:lang w:val="en-US"/>
        </w:rPr>
        <w:t xml:space="preserve">7.7 Pricing Analysis, </w:t>
      </w:r>
      <w:r w:rsidR="0080215D">
        <w:rPr>
          <w:lang w:val="en-US"/>
        </w:rPr>
        <w:t>2018-2035</w:t>
      </w:r>
    </w:p>
    <w:p w14:paraId="72B4B11E" w14:textId="5396B597" w:rsidR="00361027" w:rsidRPr="00361027" w:rsidRDefault="00361027" w:rsidP="00361027">
      <w:r w:rsidRPr="00361027">
        <w:rPr>
          <w:lang w:val="en-US"/>
        </w:rPr>
        <w:t xml:space="preserve">7.8 Operating Margin/Profits, </w:t>
      </w:r>
      <w:r w:rsidR="0080215D">
        <w:rPr>
          <w:lang w:val="en-US"/>
        </w:rPr>
        <w:t>2018-2035</w:t>
      </w:r>
    </w:p>
    <w:p w14:paraId="53BA1BBD" w14:textId="77777777" w:rsidR="00361027" w:rsidRDefault="00361027" w:rsidP="00361027"/>
    <w:p w14:paraId="208F55F5" w14:textId="77777777" w:rsidR="00361027" w:rsidRPr="00361027" w:rsidRDefault="00361027" w:rsidP="00361027">
      <w:r w:rsidRPr="00361027">
        <w:rPr>
          <w:b/>
          <w:bCs/>
          <w:lang w:val="en-US"/>
        </w:rPr>
        <w:t>Chapter 8 Global Energy Grid Market, By Industry Vertical</w:t>
      </w:r>
    </w:p>
    <w:p w14:paraId="35E15E4A" w14:textId="45587E54" w:rsidR="00361027" w:rsidRPr="00361027" w:rsidRDefault="00361027" w:rsidP="00361027">
      <w:r w:rsidRPr="00361027">
        <w:rPr>
          <w:lang w:val="en-US"/>
        </w:rPr>
        <w:t xml:space="preserve">8.1 Market Size, </w:t>
      </w:r>
      <w:r w:rsidR="0080215D">
        <w:rPr>
          <w:lang w:val="en-US"/>
        </w:rPr>
        <w:t>Value (USD Mn) &amp; Volume (Units)</w:t>
      </w:r>
    </w:p>
    <w:p w14:paraId="21EAFEE6" w14:textId="77777777" w:rsidR="00361027" w:rsidRPr="00361027" w:rsidRDefault="00361027" w:rsidP="00361027">
      <w:r w:rsidRPr="00361027">
        <w:rPr>
          <w:b/>
          <w:bCs/>
          <w:lang w:val="en-US"/>
        </w:rPr>
        <w:t xml:space="preserve">    8.1.1 Utilities (Public, Private, and State-owned DISCOMs)</w:t>
      </w:r>
    </w:p>
    <w:p w14:paraId="4F417201" w14:textId="77777777" w:rsidR="00361027" w:rsidRPr="00361027" w:rsidRDefault="00361027" w:rsidP="00361027">
      <w:r w:rsidRPr="00361027">
        <w:rPr>
          <w:b/>
          <w:bCs/>
          <w:lang w:val="en-US"/>
        </w:rPr>
        <w:t xml:space="preserve">    8.1.2 Industrial</w:t>
      </w:r>
    </w:p>
    <w:p w14:paraId="1CBF6FE6" w14:textId="77777777" w:rsidR="00361027" w:rsidRPr="00361027" w:rsidRDefault="00361027" w:rsidP="00361027">
      <w:r w:rsidRPr="00361027">
        <w:rPr>
          <w:lang w:val="en-US"/>
        </w:rPr>
        <w:t xml:space="preserve">        8.1.2.1 Oil &amp; Gas, Chemicals, and Mining</w:t>
      </w:r>
    </w:p>
    <w:p w14:paraId="773494BB" w14:textId="77777777" w:rsidR="00361027" w:rsidRPr="00361027" w:rsidRDefault="00361027" w:rsidP="00361027">
      <w:r w:rsidRPr="00361027">
        <w:rPr>
          <w:lang w:val="en-US"/>
        </w:rPr>
        <w:t xml:space="preserve">        8.1.2.2 Manufacturing &amp; Process Industries</w:t>
      </w:r>
    </w:p>
    <w:p w14:paraId="373AC365" w14:textId="77777777" w:rsidR="00361027" w:rsidRPr="00361027" w:rsidRDefault="00361027" w:rsidP="00361027">
      <w:r w:rsidRPr="00361027">
        <w:rPr>
          <w:b/>
          <w:bCs/>
          <w:lang w:val="en-US"/>
        </w:rPr>
        <w:t xml:space="preserve">    8.1.3 Commercial</w:t>
      </w:r>
    </w:p>
    <w:p w14:paraId="6466BE19" w14:textId="77777777" w:rsidR="00361027" w:rsidRPr="00361027" w:rsidRDefault="00361027" w:rsidP="00361027">
      <w:r w:rsidRPr="00361027">
        <w:rPr>
          <w:lang w:val="en-US"/>
        </w:rPr>
        <w:t xml:space="preserve">        7.1.3.1 Data Centers</w:t>
      </w:r>
    </w:p>
    <w:p w14:paraId="5497BF10" w14:textId="77777777" w:rsidR="00361027" w:rsidRPr="00361027" w:rsidRDefault="00361027" w:rsidP="00361027">
      <w:r w:rsidRPr="00361027">
        <w:rPr>
          <w:lang w:val="en-US"/>
        </w:rPr>
        <w:t xml:space="preserve">        7.1.3.2 Healthcare &amp; Educational Institutions</w:t>
      </w:r>
    </w:p>
    <w:p w14:paraId="5C89BDED" w14:textId="77777777" w:rsidR="00361027" w:rsidRPr="00361027" w:rsidRDefault="00361027" w:rsidP="00361027">
      <w:r w:rsidRPr="00361027">
        <w:rPr>
          <w:b/>
          <w:bCs/>
          <w:lang w:val="en-US"/>
        </w:rPr>
        <w:t xml:space="preserve">    8.1.4 Residential (Home Automation &amp; EV Charging)</w:t>
      </w:r>
    </w:p>
    <w:p w14:paraId="2B480344" w14:textId="77777777" w:rsidR="00361027" w:rsidRPr="00361027" w:rsidRDefault="00361027" w:rsidP="00361027">
      <w:r w:rsidRPr="00361027">
        <w:rPr>
          <w:lang w:val="en-US"/>
        </w:rPr>
        <w:t>8.2 Key Market Trends &amp; Growth Opportunities</w:t>
      </w:r>
    </w:p>
    <w:p w14:paraId="04B21D33" w14:textId="2D01B77B" w:rsidR="00361027" w:rsidRPr="00361027" w:rsidRDefault="00361027" w:rsidP="00361027">
      <w:r w:rsidRPr="00361027">
        <w:rPr>
          <w:lang w:val="en-US"/>
        </w:rPr>
        <w:t xml:space="preserve">8.3 Market Share (%) Analysis, </w:t>
      </w:r>
      <w:r w:rsidR="0080215D">
        <w:rPr>
          <w:lang w:val="en-US"/>
        </w:rPr>
        <w:t>2018-2035</w:t>
      </w:r>
    </w:p>
    <w:p w14:paraId="4016EAAB" w14:textId="77777777" w:rsidR="00361027" w:rsidRPr="00361027" w:rsidRDefault="00361027" w:rsidP="00361027">
      <w:r w:rsidRPr="00361027">
        <w:rPr>
          <w:lang w:val="en-US"/>
        </w:rPr>
        <w:t>8.4 Year-on-Year (YoY) Growth Rate</w:t>
      </w:r>
    </w:p>
    <w:p w14:paraId="4A35845A" w14:textId="77777777" w:rsidR="00361027" w:rsidRPr="00361027" w:rsidRDefault="00361027" w:rsidP="00361027">
      <w:r w:rsidRPr="00361027">
        <w:rPr>
          <w:lang w:val="en-US"/>
        </w:rPr>
        <w:t>8.5 Market Attractiveness</w:t>
      </w:r>
    </w:p>
    <w:p w14:paraId="02234F8F" w14:textId="77777777" w:rsidR="00361027" w:rsidRPr="00361027" w:rsidRDefault="00361027" w:rsidP="00361027">
      <w:r w:rsidRPr="00361027">
        <w:rPr>
          <w:lang w:val="en-US"/>
        </w:rPr>
        <w:t>8.6 Global Investment &amp; Trade Risks</w:t>
      </w:r>
    </w:p>
    <w:p w14:paraId="1FAFD2C7" w14:textId="3CAD6858" w:rsidR="00361027" w:rsidRPr="00361027" w:rsidRDefault="00361027" w:rsidP="00361027">
      <w:r w:rsidRPr="00361027">
        <w:rPr>
          <w:lang w:val="en-US"/>
        </w:rPr>
        <w:t xml:space="preserve">8.7 Pricing Analysis, </w:t>
      </w:r>
      <w:r w:rsidR="0080215D">
        <w:rPr>
          <w:lang w:val="en-US"/>
        </w:rPr>
        <w:t>2018-2035</w:t>
      </w:r>
    </w:p>
    <w:p w14:paraId="3735EE1E" w14:textId="13951BFC" w:rsidR="00361027" w:rsidRPr="00361027" w:rsidRDefault="00361027" w:rsidP="00361027">
      <w:r w:rsidRPr="00361027">
        <w:rPr>
          <w:lang w:val="en-US"/>
        </w:rPr>
        <w:t xml:space="preserve">8.8 Operating Margin/Profits, </w:t>
      </w:r>
      <w:r w:rsidR="0080215D">
        <w:rPr>
          <w:lang w:val="en-US"/>
        </w:rPr>
        <w:t>2018-2035</w:t>
      </w:r>
    </w:p>
    <w:p w14:paraId="2380668E" w14:textId="77777777" w:rsidR="00361027" w:rsidRDefault="00361027" w:rsidP="00361027"/>
    <w:p w14:paraId="7106750C" w14:textId="77777777" w:rsidR="00361027" w:rsidRPr="00361027" w:rsidRDefault="00361027" w:rsidP="00361027">
      <w:r w:rsidRPr="00361027">
        <w:rPr>
          <w:b/>
          <w:bCs/>
          <w:lang w:val="en-US"/>
        </w:rPr>
        <w:t>Chapter 9 Global Energy Grid Market, By Power Source</w:t>
      </w:r>
    </w:p>
    <w:p w14:paraId="1FC54566" w14:textId="0450A909" w:rsidR="00361027" w:rsidRPr="00361027" w:rsidRDefault="00361027" w:rsidP="00361027">
      <w:pPr>
        <w:pStyle w:val="ListParagraph"/>
        <w:numPr>
          <w:ilvl w:val="1"/>
          <w:numId w:val="6"/>
        </w:numPr>
      </w:pPr>
      <w:r w:rsidRPr="00361027">
        <w:rPr>
          <w:lang w:val="en-US"/>
        </w:rPr>
        <w:t xml:space="preserve">Market Size, </w:t>
      </w:r>
      <w:r w:rsidR="0080215D">
        <w:rPr>
          <w:lang w:val="en-US"/>
        </w:rPr>
        <w:t>Value (USD Mn) &amp; Volume (Units)</w:t>
      </w:r>
    </w:p>
    <w:p w14:paraId="6E040D3A" w14:textId="4516B0C7" w:rsidR="00361027" w:rsidRPr="00361027" w:rsidRDefault="00361027" w:rsidP="00361027">
      <w:r>
        <w:rPr>
          <w:b/>
          <w:bCs/>
          <w:lang w:val="en-US"/>
        </w:rPr>
        <w:lastRenderedPageBreak/>
        <w:t xml:space="preserve">    </w:t>
      </w:r>
      <w:r w:rsidRPr="00361027">
        <w:rPr>
          <w:b/>
          <w:bCs/>
          <w:lang w:val="en-US"/>
        </w:rPr>
        <w:t>9.1.1 Renewables (Solar, Wind, Hydro, Geothermal)</w:t>
      </w:r>
    </w:p>
    <w:p w14:paraId="2C7C6C99" w14:textId="77777777" w:rsidR="00361027" w:rsidRPr="00361027" w:rsidRDefault="00361027" w:rsidP="00361027">
      <w:r w:rsidRPr="00361027">
        <w:rPr>
          <w:b/>
          <w:bCs/>
          <w:lang w:val="en-US"/>
        </w:rPr>
        <w:t xml:space="preserve">    9.1.2 Non-Renewables (Natural Gas, Coal, Nuclear, Oil)</w:t>
      </w:r>
    </w:p>
    <w:p w14:paraId="3C5EED3E" w14:textId="77777777" w:rsidR="00361027" w:rsidRPr="00361027" w:rsidRDefault="00361027" w:rsidP="00361027">
      <w:r w:rsidRPr="00361027">
        <w:rPr>
          <w:lang w:val="en-US"/>
        </w:rPr>
        <w:t>9.2 Key Market Trends &amp; Growth Opportunities</w:t>
      </w:r>
    </w:p>
    <w:p w14:paraId="20C03E30" w14:textId="168F2904" w:rsidR="00361027" w:rsidRPr="00361027" w:rsidRDefault="00361027" w:rsidP="00361027">
      <w:r w:rsidRPr="00361027">
        <w:rPr>
          <w:lang w:val="en-US"/>
        </w:rPr>
        <w:t>9.3 Market Share (%) Analysis,</w:t>
      </w:r>
      <w:r w:rsidR="0080215D">
        <w:rPr>
          <w:lang w:val="en-US"/>
        </w:rPr>
        <w:t>2018-2035</w:t>
      </w:r>
    </w:p>
    <w:p w14:paraId="0A1E890A" w14:textId="77777777" w:rsidR="00361027" w:rsidRPr="00361027" w:rsidRDefault="00361027" w:rsidP="00361027">
      <w:r w:rsidRPr="00361027">
        <w:rPr>
          <w:lang w:val="en-US"/>
        </w:rPr>
        <w:t>9.4 Year-on-Year (YoY) Growth Rate</w:t>
      </w:r>
    </w:p>
    <w:p w14:paraId="507BF0B1" w14:textId="77777777" w:rsidR="00361027" w:rsidRPr="00361027" w:rsidRDefault="00361027" w:rsidP="00361027">
      <w:r w:rsidRPr="00361027">
        <w:rPr>
          <w:lang w:val="en-US"/>
        </w:rPr>
        <w:t>9.5 Market Attractiveness</w:t>
      </w:r>
    </w:p>
    <w:p w14:paraId="3DCD88A6" w14:textId="77777777" w:rsidR="00361027" w:rsidRPr="00361027" w:rsidRDefault="00361027" w:rsidP="00361027">
      <w:r w:rsidRPr="00361027">
        <w:rPr>
          <w:lang w:val="en-US"/>
        </w:rPr>
        <w:t>9.6 Global Investment &amp; Trade Risks</w:t>
      </w:r>
    </w:p>
    <w:p w14:paraId="110013B0" w14:textId="672A26EF" w:rsidR="00361027" w:rsidRPr="00361027" w:rsidRDefault="00361027" w:rsidP="00361027">
      <w:r w:rsidRPr="00361027">
        <w:rPr>
          <w:lang w:val="en-US"/>
        </w:rPr>
        <w:t xml:space="preserve">9.7 Pricing Analysis, </w:t>
      </w:r>
      <w:r w:rsidR="0080215D">
        <w:rPr>
          <w:lang w:val="en-US"/>
        </w:rPr>
        <w:t>2018-2035</w:t>
      </w:r>
    </w:p>
    <w:p w14:paraId="4AFFF013" w14:textId="2E2478B2" w:rsidR="00361027" w:rsidRDefault="00361027" w:rsidP="00361027">
      <w:pPr>
        <w:rPr>
          <w:lang w:val="en-US"/>
        </w:rPr>
      </w:pPr>
      <w:r w:rsidRPr="00361027">
        <w:rPr>
          <w:lang w:val="en-US"/>
        </w:rPr>
        <w:t xml:space="preserve">9.8 Operating Margin/Profits, </w:t>
      </w:r>
      <w:r w:rsidR="0080215D">
        <w:rPr>
          <w:lang w:val="en-US"/>
        </w:rPr>
        <w:t>2018-2035</w:t>
      </w:r>
    </w:p>
    <w:p w14:paraId="02793B1F" w14:textId="77777777" w:rsidR="00361027" w:rsidRDefault="00361027" w:rsidP="00361027">
      <w:pPr>
        <w:rPr>
          <w:lang w:val="en-US"/>
        </w:rPr>
      </w:pPr>
    </w:p>
    <w:p w14:paraId="59307B38" w14:textId="77777777" w:rsidR="00361027" w:rsidRPr="00361027" w:rsidRDefault="00361027" w:rsidP="00361027">
      <w:r w:rsidRPr="00361027">
        <w:rPr>
          <w:b/>
          <w:bCs/>
          <w:lang w:val="en-US"/>
        </w:rPr>
        <w:t>Chapter 10 Global Energy Grid Market, By Region</w:t>
      </w:r>
    </w:p>
    <w:p w14:paraId="33F403BD" w14:textId="0BC3C276" w:rsidR="00361027" w:rsidRPr="00361027" w:rsidRDefault="00361027" w:rsidP="00361027">
      <w:pPr>
        <w:pStyle w:val="ListParagraph"/>
        <w:numPr>
          <w:ilvl w:val="1"/>
          <w:numId w:val="9"/>
        </w:numPr>
      </w:pPr>
      <w:r w:rsidRPr="00361027">
        <w:rPr>
          <w:lang w:val="en-US"/>
        </w:rPr>
        <w:t xml:space="preserve">Market Size, </w:t>
      </w:r>
      <w:r w:rsidR="0080215D">
        <w:rPr>
          <w:lang w:val="en-US"/>
        </w:rPr>
        <w:t>Value (USD Mn) &amp; Volume (Units)</w:t>
      </w:r>
    </w:p>
    <w:p w14:paraId="33402ED2" w14:textId="0C414323" w:rsidR="00361027" w:rsidRPr="00361027" w:rsidRDefault="00361027" w:rsidP="00361027">
      <w:r>
        <w:rPr>
          <w:b/>
          <w:bCs/>
          <w:lang w:val="en-US"/>
        </w:rPr>
        <w:t xml:space="preserve">    10.1.1 </w:t>
      </w:r>
      <w:r w:rsidRPr="00361027">
        <w:rPr>
          <w:b/>
          <w:bCs/>
          <w:lang w:val="en-US"/>
        </w:rPr>
        <w:t>North America</w:t>
      </w:r>
    </w:p>
    <w:p w14:paraId="4050FADE" w14:textId="5B3FF11F" w:rsidR="00361027" w:rsidRPr="00361027" w:rsidRDefault="00361027" w:rsidP="00361027">
      <w:r>
        <w:rPr>
          <w:b/>
          <w:bCs/>
          <w:lang w:val="en-US"/>
        </w:rPr>
        <w:t xml:space="preserve">    </w:t>
      </w:r>
      <w:r w:rsidRPr="00361027">
        <w:rPr>
          <w:b/>
          <w:bCs/>
          <w:lang w:val="en-US"/>
        </w:rPr>
        <w:t>10.1.2 Europe</w:t>
      </w:r>
    </w:p>
    <w:p w14:paraId="7DB4E28C" w14:textId="77777777" w:rsidR="00361027" w:rsidRPr="00361027" w:rsidRDefault="00361027" w:rsidP="00361027">
      <w:r w:rsidRPr="00361027">
        <w:rPr>
          <w:b/>
          <w:bCs/>
          <w:lang w:val="en-US"/>
        </w:rPr>
        <w:t xml:space="preserve">    10.1.3 Asia Pacific</w:t>
      </w:r>
    </w:p>
    <w:p w14:paraId="1F641524" w14:textId="77777777" w:rsidR="00361027" w:rsidRPr="00361027" w:rsidRDefault="00361027" w:rsidP="00361027">
      <w:r w:rsidRPr="00361027">
        <w:rPr>
          <w:b/>
          <w:bCs/>
          <w:lang w:val="en-US"/>
        </w:rPr>
        <w:t xml:space="preserve">    10.1.4 Latin America</w:t>
      </w:r>
    </w:p>
    <w:p w14:paraId="5D8BB85B" w14:textId="77777777" w:rsidR="00361027" w:rsidRPr="00361027" w:rsidRDefault="00361027" w:rsidP="00361027">
      <w:r w:rsidRPr="00361027">
        <w:rPr>
          <w:b/>
          <w:bCs/>
          <w:lang w:val="en-US"/>
        </w:rPr>
        <w:t xml:space="preserve">    10.1.5 Middle East &amp; Africa</w:t>
      </w:r>
    </w:p>
    <w:p w14:paraId="542C5053" w14:textId="77777777" w:rsidR="00361027" w:rsidRPr="00361027" w:rsidRDefault="00361027" w:rsidP="00361027">
      <w:r w:rsidRPr="00361027">
        <w:rPr>
          <w:lang w:val="en-US"/>
        </w:rPr>
        <w:t>10.2 Key Market Trends &amp; Growth Opportunities</w:t>
      </w:r>
    </w:p>
    <w:p w14:paraId="4312751E" w14:textId="060467C1" w:rsidR="00361027" w:rsidRPr="00361027" w:rsidRDefault="00361027" w:rsidP="00361027">
      <w:r w:rsidRPr="00361027">
        <w:rPr>
          <w:lang w:val="en-US"/>
        </w:rPr>
        <w:t xml:space="preserve">10.3 Market Share (%) Analysis, </w:t>
      </w:r>
      <w:r w:rsidR="0080215D">
        <w:rPr>
          <w:lang w:val="en-US"/>
        </w:rPr>
        <w:t>2018-2035</w:t>
      </w:r>
    </w:p>
    <w:p w14:paraId="3623C821" w14:textId="77777777" w:rsidR="00361027" w:rsidRPr="00361027" w:rsidRDefault="00361027" w:rsidP="00361027">
      <w:r w:rsidRPr="00361027">
        <w:rPr>
          <w:lang w:val="en-US"/>
        </w:rPr>
        <w:t>10.4 Year-on-Year (YoY) Growth Rate</w:t>
      </w:r>
    </w:p>
    <w:p w14:paraId="15C177BA" w14:textId="77777777" w:rsidR="00361027" w:rsidRPr="00361027" w:rsidRDefault="00361027" w:rsidP="00361027">
      <w:r w:rsidRPr="00361027">
        <w:rPr>
          <w:lang w:val="en-US"/>
        </w:rPr>
        <w:t>10.5 Market Attractiveness</w:t>
      </w:r>
    </w:p>
    <w:p w14:paraId="3A1AD6F7" w14:textId="77777777" w:rsidR="00361027" w:rsidRPr="00361027" w:rsidRDefault="00361027" w:rsidP="00361027">
      <w:r w:rsidRPr="00361027">
        <w:rPr>
          <w:lang w:val="en-US"/>
        </w:rPr>
        <w:t>10.6 Global Investment &amp; Trade Risks</w:t>
      </w:r>
    </w:p>
    <w:p w14:paraId="32B584A4" w14:textId="7970339E" w:rsidR="00361027" w:rsidRPr="00361027" w:rsidRDefault="00361027" w:rsidP="00361027">
      <w:r w:rsidRPr="00361027">
        <w:rPr>
          <w:lang w:val="en-US"/>
        </w:rPr>
        <w:t xml:space="preserve">10.7 Pricing Analysis, </w:t>
      </w:r>
      <w:r w:rsidR="0080215D">
        <w:rPr>
          <w:lang w:val="en-US"/>
        </w:rPr>
        <w:t>2018-2035</w:t>
      </w:r>
    </w:p>
    <w:p w14:paraId="78AE6948" w14:textId="264279EB" w:rsidR="00361027" w:rsidRPr="00361027" w:rsidRDefault="00361027" w:rsidP="00361027">
      <w:r w:rsidRPr="00361027">
        <w:rPr>
          <w:lang w:val="en-US"/>
        </w:rPr>
        <w:t xml:space="preserve">10.8 Operating Margin/Profits, </w:t>
      </w:r>
      <w:r w:rsidR="0080215D">
        <w:rPr>
          <w:lang w:val="en-US"/>
        </w:rPr>
        <w:t>2018-2035</w:t>
      </w:r>
    </w:p>
    <w:p w14:paraId="3D0F79B6" w14:textId="77777777" w:rsidR="00361027" w:rsidRDefault="00361027" w:rsidP="00361027"/>
    <w:p w14:paraId="233D8537" w14:textId="77777777" w:rsidR="00361027" w:rsidRPr="00361027" w:rsidRDefault="00361027" w:rsidP="00361027">
      <w:r w:rsidRPr="00361027">
        <w:rPr>
          <w:b/>
          <w:bCs/>
          <w:lang w:val="en-US"/>
        </w:rPr>
        <w:t>Chapter 11 Global Energy Grid Market, By North America</w:t>
      </w:r>
    </w:p>
    <w:p w14:paraId="0A2C5544" w14:textId="768C056F" w:rsidR="00361027" w:rsidRPr="00361027" w:rsidRDefault="00361027" w:rsidP="00361027">
      <w:pPr>
        <w:pStyle w:val="ListParagraph"/>
        <w:numPr>
          <w:ilvl w:val="1"/>
          <w:numId w:val="11"/>
        </w:numPr>
      </w:pPr>
      <w:r w:rsidRPr="00361027">
        <w:rPr>
          <w:lang w:val="en-US"/>
        </w:rPr>
        <w:t xml:space="preserve">Market Size, </w:t>
      </w:r>
      <w:r w:rsidR="0080215D">
        <w:rPr>
          <w:lang w:val="en-US"/>
        </w:rPr>
        <w:t>Value (USD Mn) &amp; Volume (Units)</w:t>
      </w:r>
    </w:p>
    <w:p w14:paraId="61CFD3B7" w14:textId="764F76D8" w:rsidR="00361027" w:rsidRPr="00361027" w:rsidRDefault="00361027" w:rsidP="00361027">
      <w:r>
        <w:rPr>
          <w:b/>
          <w:bCs/>
          <w:lang w:val="en-US"/>
        </w:rPr>
        <w:t xml:space="preserve">     11.1.1 </w:t>
      </w:r>
      <w:r w:rsidRPr="00361027">
        <w:rPr>
          <w:b/>
          <w:bCs/>
          <w:lang w:val="en-US"/>
        </w:rPr>
        <w:t>US</w:t>
      </w:r>
    </w:p>
    <w:p w14:paraId="7CF9EE4A" w14:textId="2BDEFC06" w:rsidR="00361027" w:rsidRPr="00361027" w:rsidRDefault="00361027" w:rsidP="00361027">
      <w:r>
        <w:rPr>
          <w:b/>
          <w:bCs/>
          <w:lang w:val="en-US"/>
        </w:rPr>
        <w:lastRenderedPageBreak/>
        <w:t xml:space="preserve">      </w:t>
      </w:r>
      <w:r w:rsidRPr="00361027">
        <w:rPr>
          <w:b/>
          <w:bCs/>
          <w:lang w:val="en-US"/>
        </w:rPr>
        <w:t>11.1.2 Canada</w:t>
      </w:r>
    </w:p>
    <w:p w14:paraId="1B3792C8" w14:textId="77777777" w:rsidR="00361027" w:rsidRPr="00361027" w:rsidRDefault="00361027" w:rsidP="00361027">
      <w:r w:rsidRPr="00361027">
        <w:rPr>
          <w:lang w:val="en-US"/>
        </w:rPr>
        <w:t>11.2 Key Market Trends &amp; Growth Opportunities</w:t>
      </w:r>
    </w:p>
    <w:p w14:paraId="3E06CCE9" w14:textId="7D36353C" w:rsidR="00361027" w:rsidRPr="00361027" w:rsidRDefault="00361027" w:rsidP="00361027">
      <w:r w:rsidRPr="00361027">
        <w:rPr>
          <w:lang w:val="en-US"/>
        </w:rPr>
        <w:t xml:space="preserve">11.3 Market Share (%) Analysis, </w:t>
      </w:r>
      <w:r w:rsidR="0080215D">
        <w:rPr>
          <w:lang w:val="en-US"/>
        </w:rPr>
        <w:t>2018-2035</w:t>
      </w:r>
    </w:p>
    <w:p w14:paraId="25EFE0B6" w14:textId="77777777" w:rsidR="00361027" w:rsidRPr="00361027" w:rsidRDefault="00361027" w:rsidP="00361027">
      <w:r w:rsidRPr="00361027">
        <w:rPr>
          <w:lang w:val="en-US"/>
        </w:rPr>
        <w:t>11.4 Year-on-Year (YoY) Growth Rate</w:t>
      </w:r>
    </w:p>
    <w:p w14:paraId="7E8C6654" w14:textId="77777777" w:rsidR="00361027" w:rsidRPr="00361027" w:rsidRDefault="00361027" w:rsidP="00361027">
      <w:r w:rsidRPr="00361027">
        <w:rPr>
          <w:lang w:val="en-US"/>
        </w:rPr>
        <w:t>11.5 Market Attractiveness</w:t>
      </w:r>
    </w:p>
    <w:p w14:paraId="6B3E97E7" w14:textId="77777777" w:rsidR="00361027" w:rsidRPr="00361027" w:rsidRDefault="00361027" w:rsidP="00361027">
      <w:r w:rsidRPr="00361027">
        <w:rPr>
          <w:lang w:val="en-US"/>
        </w:rPr>
        <w:t>11.6 Global Investment &amp; Trade Risks</w:t>
      </w:r>
    </w:p>
    <w:p w14:paraId="5B566EA1" w14:textId="123B79AF" w:rsidR="00361027" w:rsidRPr="00361027" w:rsidRDefault="00361027" w:rsidP="00361027">
      <w:r w:rsidRPr="00361027">
        <w:rPr>
          <w:lang w:val="en-US"/>
        </w:rPr>
        <w:t xml:space="preserve">11.7 Pricing Analysis, </w:t>
      </w:r>
      <w:r w:rsidR="0080215D">
        <w:rPr>
          <w:lang w:val="en-US"/>
        </w:rPr>
        <w:t>2018-2035</w:t>
      </w:r>
    </w:p>
    <w:p w14:paraId="1DDEFE1E" w14:textId="3F370098" w:rsidR="00361027" w:rsidRDefault="00361027" w:rsidP="00361027">
      <w:pPr>
        <w:rPr>
          <w:lang w:val="en-US"/>
        </w:rPr>
      </w:pPr>
      <w:r w:rsidRPr="00361027">
        <w:rPr>
          <w:lang w:val="en-US"/>
        </w:rPr>
        <w:t xml:space="preserve">11.8 Operating Margin/Profits, </w:t>
      </w:r>
      <w:r w:rsidR="0080215D">
        <w:rPr>
          <w:lang w:val="en-US"/>
        </w:rPr>
        <w:t>2018-2035</w:t>
      </w:r>
    </w:p>
    <w:p w14:paraId="4F17643B" w14:textId="77777777" w:rsidR="00361027" w:rsidRDefault="00361027" w:rsidP="00361027">
      <w:pPr>
        <w:rPr>
          <w:lang w:val="en-US"/>
        </w:rPr>
      </w:pPr>
    </w:p>
    <w:p w14:paraId="2FCAC788" w14:textId="77777777" w:rsidR="00361027" w:rsidRPr="00361027" w:rsidRDefault="00361027" w:rsidP="00361027">
      <w:r w:rsidRPr="00361027">
        <w:rPr>
          <w:b/>
          <w:bCs/>
          <w:lang w:val="en-US"/>
        </w:rPr>
        <w:t>Chapter 12 Global Energy Grid Market, By Europe</w:t>
      </w:r>
    </w:p>
    <w:p w14:paraId="11556F9F" w14:textId="082D63D4" w:rsidR="00361027" w:rsidRPr="00361027" w:rsidRDefault="00361027" w:rsidP="00361027">
      <w:pPr>
        <w:pStyle w:val="ListParagraph"/>
        <w:numPr>
          <w:ilvl w:val="1"/>
          <w:numId w:val="13"/>
        </w:numPr>
      </w:pPr>
      <w:r w:rsidRPr="00361027">
        <w:rPr>
          <w:lang w:val="en-US"/>
        </w:rPr>
        <w:t xml:space="preserve">Market Size, </w:t>
      </w:r>
      <w:r w:rsidR="0080215D">
        <w:rPr>
          <w:lang w:val="en-US"/>
        </w:rPr>
        <w:t>Value (USD Mn) &amp; Volume (Units)</w:t>
      </w:r>
    </w:p>
    <w:p w14:paraId="15A7D79E" w14:textId="20FB5529" w:rsidR="00361027" w:rsidRPr="00361027" w:rsidRDefault="00361027" w:rsidP="00361027">
      <w:r>
        <w:rPr>
          <w:b/>
          <w:bCs/>
          <w:lang w:val="en-US"/>
        </w:rPr>
        <w:t xml:space="preserve">    </w:t>
      </w:r>
      <w:r w:rsidRPr="00361027">
        <w:rPr>
          <w:b/>
          <w:bCs/>
          <w:lang w:val="en-US"/>
        </w:rPr>
        <w:t>12.1.1 Germany</w:t>
      </w:r>
    </w:p>
    <w:p w14:paraId="63078C5B" w14:textId="43CEC6BA" w:rsidR="00361027" w:rsidRPr="00361027" w:rsidRDefault="00361027" w:rsidP="00361027">
      <w:r>
        <w:rPr>
          <w:b/>
          <w:bCs/>
          <w:lang w:val="en-US"/>
        </w:rPr>
        <w:t xml:space="preserve">    </w:t>
      </w:r>
      <w:r w:rsidRPr="00361027">
        <w:rPr>
          <w:b/>
          <w:bCs/>
          <w:lang w:val="en-US"/>
        </w:rPr>
        <w:t>12.1.2 France</w:t>
      </w:r>
    </w:p>
    <w:p w14:paraId="33A07599" w14:textId="77777777" w:rsidR="00361027" w:rsidRPr="00361027" w:rsidRDefault="00361027" w:rsidP="00361027">
      <w:r w:rsidRPr="00361027">
        <w:rPr>
          <w:b/>
          <w:bCs/>
          <w:lang w:val="en-US"/>
        </w:rPr>
        <w:t xml:space="preserve">    12.1.3 UK</w:t>
      </w:r>
    </w:p>
    <w:p w14:paraId="2DCC2FB2" w14:textId="77777777" w:rsidR="00361027" w:rsidRPr="00361027" w:rsidRDefault="00361027" w:rsidP="00361027">
      <w:r w:rsidRPr="00361027">
        <w:rPr>
          <w:b/>
          <w:bCs/>
          <w:lang w:val="en-US"/>
        </w:rPr>
        <w:t xml:space="preserve">    12.1.4 Spain</w:t>
      </w:r>
    </w:p>
    <w:p w14:paraId="0D4E9396" w14:textId="77777777" w:rsidR="00361027" w:rsidRPr="00361027" w:rsidRDefault="00361027" w:rsidP="00361027">
      <w:r w:rsidRPr="00361027">
        <w:rPr>
          <w:b/>
          <w:bCs/>
          <w:lang w:val="en-US"/>
        </w:rPr>
        <w:t xml:space="preserve">    12.1.5 Italy</w:t>
      </w:r>
    </w:p>
    <w:p w14:paraId="1A80A5C1" w14:textId="77777777" w:rsidR="00361027" w:rsidRPr="00361027" w:rsidRDefault="00361027" w:rsidP="00361027">
      <w:r w:rsidRPr="00361027">
        <w:rPr>
          <w:b/>
          <w:bCs/>
          <w:lang w:val="en-US"/>
        </w:rPr>
        <w:t xml:space="preserve">    12.1.6 Switzerland</w:t>
      </w:r>
    </w:p>
    <w:p w14:paraId="5463A2CC" w14:textId="77777777" w:rsidR="00361027" w:rsidRPr="00361027" w:rsidRDefault="00361027" w:rsidP="00361027">
      <w:r w:rsidRPr="00361027">
        <w:rPr>
          <w:b/>
          <w:bCs/>
          <w:lang w:val="en-US"/>
        </w:rPr>
        <w:t xml:space="preserve">    12.1.7 Russia</w:t>
      </w:r>
    </w:p>
    <w:p w14:paraId="0D69431B" w14:textId="77777777" w:rsidR="00361027" w:rsidRPr="00361027" w:rsidRDefault="00361027" w:rsidP="00361027">
      <w:r w:rsidRPr="00361027">
        <w:rPr>
          <w:b/>
          <w:bCs/>
          <w:lang w:val="en-US"/>
        </w:rPr>
        <w:t xml:space="preserve">    12.1.8 Poland</w:t>
      </w:r>
    </w:p>
    <w:p w14:paraId="1A4011DE" w14:textId="77777777" w:rsidR="00361027" w:rsidRPr="00361027" w:rsidRDefault="00361027" w:rsidP="00361027">
      <w:r w:rsidRPr="00361027">
        <w:rPr>
          <w:b/>
          <w:bCs/>
          <w:lang w:val="en-US"/>
        </w:rPr>
        <w:t xml:space="preserve">    12.1.9 Rest of Europe</w:t>
      </w:r>
    </w:p>
    <w:p w14:paraId="26FA27D3" w14:textId="77777777" w:rsidR="00361027" w:rsidRPr="00361027" w:rsidRDefault="00361027" w:rsidP="00361027">
      <w:r w:rsidRPr="00361027">
        <w:rPr>
          <w:lang w:val="en-US"/>
        </w:rPr>
        <w:t>12.2 Key Market Trends &amp; Growth Opportunities</w:t>
      </w:r>
    </w:p>
    <w:p w14:paraId="65D689A4" w14:textId="7D047A67" w:rsidR="00361027" w:rsidRPr="00361027" w:rsidRDefault="00361027" w:rsidP="00361027">
      <w:r w:rsidRPr="00361027">
        <w:rPr>
          <w:lang w:val="en-US"/>
        </w:rPr>
        <w:t xml:space="preserve">12.3 Market Share (%) Analysis, </w:t>
      </w:r>
      <w:r w:rsidR="0080215D">
        <w:rPr>
          <w:lang w:val="en-US"/>
        </w:rPr>
        <w:t>2018-2035</w:t>
      </w:r>
    </w:p>
    <w:p w14:paraId="726B370F" w14:textId="77777777" w:rsidR="00361027" w:rsidRPr="00361027" w:rsidRDefault="00361027" w:rsidP="00361027">
      <w:r w:rsidRPr="00361027">
        <w:rPr>
          <w:lang w:val="en-US"/>
        </w:rPr>
        <w:t>12.4 Year-on-Year (YoY) Growth Rate</w:t>
      </w:r>
    </w:p>
    <w:p w14:paraId="162C3C87" w14:textId="77777777" w:rsidR="00361027" w:rsidRPr="00361027" w:rsidRDefault="00361027" w:rsidP="00361027">
      <w:r w:rsidRPr="00361027">
        <w:rPr>
          <w:lang w:val="en-US"/>
        </w:rPr>
        <w:t>12.5 Market Attractiveness</w:t>
      </w:r>
    </w:p>
    <w:p w14:paraId="3A1AC71B" w14:textId="77777777" w:rsidR="00361027" w:rsidRPr="00361027" w:rsidRDefault="00361027" w:rsidP="00361027">
      <w:r w:rsidRPr="00361027">
        <w:rPr>
          <w:lang w:val="en-US"/>
        </w:rPr>
        <w:t>12.6 Global Investment &amp; Trade Risks</w:t>
      </w:r>
    </w:p>
    <w:p w14:paraId="30553C43" w14:textId="2AA555C8" w:rsidR="00361027" w:rsidRPr="00361027" w:rsidRDefault="00361027" w:rsidP="00361027">
      <w:r w:rsidRPr="00361027">
        <w:rPr>
          <w:lang w:val="en-US"/>
        </w:rPr>
        <w:t xml:space="preserve">12.7 Pricing Analysis, </w:t>
      </w:r>
      <w:r w:rsidR="0080215D">
        <w:rPr>
          <w:lang w:val="en-US"/>
        </w:rPr>
        <w:t>2018-2035</w:t>
      </w:r>
    </w:p>
    <w:p w14:paraId="50F5ADEE" w14:textId="49CA138F" w:rsidR="00361027" w:rsidRDefault="00361027" w:rsidP="00361027">
      <w:pPr>
        <w:rPr>
          <w:lang w:val="en-US"/>
        </w:rPr>
      </w:pPr>
      <w:r w:rsidRPr="00361027">
        <w:rPr>
          <w:lang w:val="en-US"/>
        </w:rPr>
        <w:t xml:space="preserve">12.8 Operating Margin/Profits, </w:t>
      </w:r>
      <w:r w:rsidR="0080215D">
        <w:rPr>
          <w:lang w:val="en-US"/>
        </w:rPr>
        <w:t>2018-2035</w:t>
      </w:r>
    </w:p>
    <w:p w14:paraId="1BC99B4C" w14:textId="77777777" w:rsidR="00361027" w:rsidRDefault="00361027" w:rsidP="00361027">
      <w:pPr>
        <w:rPr>
          <w:lang w:val="en-US"/>
        </w:rPr>
      </w:pPr>
    </w:p>
    <w:p w14:paraId="79D0EFF1" w14:textId="77777777" w:rsidR="00361027" w:rsidRPr="00361027" w:rsidRDefault="00361027" w:rsidP="00361027">
      <w:r w:rsidRPr="00361027">
        <w:rPr>
          <w:b/>
          <w:bCs/>
          <w:lang w:val="en-US"/>
        </w:rPr>
        <w:lastRenderedPageBreak/>
        <w:t>Chapter 13 Global Energy Grid Market, By Asia Pacific</w:t>
      </w:r>
    </w:p>
    <w:p w14:paraId="5F91F971" w14:textId="61A565DA" w:rsidR="00361027" w:rsidRPr="00361027" w:rsidRDefault="00361027" w:rsidP="00361027">
      <w:pPr>
        <w:pStyle w:val="ListParagraph"/>
        <w:numPr>
          <w:ilvl w:val="1"/>
          <w:numId w:val="15"/>
        </w:numPr>
      </w:pPr>
      <w:r w:rsidRPr="00361027">
        <w:rPr>
          <w:lang w:val="en-US"/>
        </w:rPr>
        <w:t xml:space="preserve">Market Size, </w:t>
      </w:r>
      <w:r w:rsidR="0080215D">
        <w:rPr>
          <w:lang w:val="en-US"/>
        </w:rPr>
        <w:t>Value (USD Mn) &amp; Volume (Units)</w:t>
      </w:r>
    </w:p>
    <w:p w14:paraId="7E1B5EDB" w14:textId="1FC80AB4" w:rsidR="00361027" w:rsidRPr="00361027" w:rsidRDefault="00361027" w:rsidP="00361027">
      <w:r>
        <w:rPr>
          <w:b/>
          <w:bCs/>
          <w:lang w:val="en-US"/>
        </w:rPr>
        <w:t xml:space="preserve">       </w:t>
      </w:r>
      <w:r w:rsidRPr="00361027">
        <w:rPr>
          <w:b/>
          <w:bCs/>
          <w:lang w:val="en-US"/>
        </w:rPr>
        <w:t>13.1.1 China</w:t>
      </w:r>
    </w:p>
    <w:p w14:paraId="7B12EC98" w14:textId="3D129B09" w:rsidR="00361027" w:rsidRPr="00361027" w:rsidRDefault="00361027" w:rsidP="00361027">
      <w:pPr>
        <w:ind w:left="360"/>
      </w:pPr>
      <w:r w:rsidRPr="00361027">
        <w:rPr>
          <w:b/>
          <w:bCs/>
          <w:lang w:val="en-US"/>
        </w:rPr>
        <w:t>13.1.2 Japan</w:t>
      </w:r>
    </w:p>
    <w:p w14:paraId="200B78EF" w14:textId="37D3BA85" w:rsidR="00361027" w:rsidRPr="00361027" w:rsidRDefault="00361027" w:rsidP="00361027">
      <w:pPr>
        <w:ind w:left="360"/>
      </w:pPr>
      <w:r w:rsidRPr="00361027">
        <w:rPr>
          <w:b/>
          <w:bCs/>
          <w:lang w:val="en-US"/>
        </w:rPr>
        <w:t>13.1.3 South Korea</w:t>
      </w:r>
    </w:p>
    <w:p w14:paraId="732B2A15" w14:textId="4FDD1A71" w:rsidR="00361027" w:rsidRPr="00361027" w:rsidRDefault="00361027" w:rsidP="00361027">
      <w:pPr>
        <w:ind w:left="360"/>
      </w:pPr>
      <w:r w:rsidRPr="00361027">
        <w:rPr>
          <w:b/>
          <w:bCs/>
          <w:lang w:val="en-US"/>
        </w:rPr>
        <w:t>13.1.4 India</w:t>
      </w:r>
    </w:p>
    <w:p w14:paraId="59FA6FD9" w14:textId="146996B6" w:rsidR="00361027" w:rsidRPr="00361027" w:rsidRDefault="00361027" w:rsidP="00361027">
      <w:pPr>
        <w:ind w:left="360"/>
      </w:pPr>
      <w:r w:rsidRPr="00361027">
        <w:rPr>
          <w:b/>
          <w:bCs/>
          <w:lang w:val="en-US"/>
        </w:rPr>
        <w:t>13.1.5 Australia</w:t>
      </w:r>
    </w:p>
    <w:p w14:paraId="77A1BA5C" w14:textId="190D42CB" w:rsidR="00361027" w:rsidRPr="00361027" w:rsidRDefault="00361027" w:rsidP="00361027">
      <w:pPr>
        <w:ind w:left="360"/>
      </w:pPr>
      <w:r w:rsidRPr="00361027">
        <w:rPr>
          <w:b/>
          <w:bCs/>
          <w:lang w:val="en-US"/>
        </w:rPr>
        <w:t>13.1.6 South East Asia</w:t>
      </w:r>
    </w:p>
    <w:p w14:paraId="12775628" w14:textId="00CC1E30" w:rsidR="00361027" w:rsidRPr="00361027" w:rsidRDefault="00361027" w:rsidP="00361027">
      <w:pPr>
        <w:ind w:left="360"/>
      </w:pPr>
      <w:r w:rsidRPr="00361027">
        <w:rPr>
          <w:b/>
          <w:bCs/>
          <w:lang w:val="en-US"/>
        </w:rPr>
        <w:t>13.1.7 Rest of APAC</w:t>
      </w:r>
    </w:p>
    <w:p w14:paraId="07310464" w14:textId="77777777" w:rsidR="00361027" w:rsidRPr="00361027" w:rsidRDefault="00361027" w:rsidP="00361027">
      <w:r w:rsidRPr="00361027">
        <w:rPr>
          <w:lang w:val="en-US"/>
        </w:rPr>
        <w:t>13.2 Key Market Trends &amp; Growth Opportunities</w:t>
      </w:r>
    </w:p>
    <w:p w14:paraId="7E822B38" w14:textId="5D1787AE" w:rsidR="00361027" w:rsidRPr="00361027" w:rsidRDefault="00361027" w:rsidP="00361027">
      <w:r w:rsidRPr="00361027">
        <w:rPr>
          <w:lang w:val="en-US"/>
        </w:rPr>
        <w:t>13.3 Market Share (%) Analysis,</w:t>
      </w:r>
      <w:r w:rsidR="0080215D">
        <w:rPr>
          <w:lang w:val="en-US"/>
        </w:rPr>
        <w:t>2018-2035</w:t>
      </w:r>
    </w:p>
    <w:p w14:paraId="62C0FAB4" w14:textId="77777777" w:rsidR="00361027" w:rsidRPr="00361027" w:rsidRDefault="00361027" w:rsidP="00361027">
      <w:r w:rsidRPr="00361027">
        <w:rPr>
          <w:lang w:val="en-US"/>
        </w:rPr>
        <w:t>13.4 Year-on-Year (YoY) Growth Rate</w:t>
      </w:r>
    </w:p>
    <w:p w14:paraId="205EB2DE" w14:textId="77777777" w:rsidR="00361027" w:rsidRPr="00361027" w:rsidRDefault="00361027" w:rsidP="00361027">
      <w:r w:rsidRPr="00361027">
        <w:rPr>
          <w:lang w:val="en-US"/>
        </w:rPr>
        <w:t>13.5 Market Attractiveness</w:t>
      </w:r>
    </w:p>
    <w:p w14:paraId="6C00C291" w14:textId="77777777" w:rsidR="00361027" w:rsidRPr="00361027" w:rsidRDefault="00361027" w:rsidP="00361027">
      <w:r w:rsidRPr="00361027">
        <w:rPr>
          <w:lang w:val="en-US"/>
        </w:rPr>
        <w:t>13.6 Global Investment &amp; Trade Risks</w:t>
      </w:r>
    </w:p>
    <w:p w14:paraId="74351F4C" w14:textId="6E318024" w:rsidR="00361027" w:rsidRPr="00361027" w:rsidRDefault="00361027" w:rsidP="00361027">
      <w:r w:rsidRPr="00361027">
        <w:rPr>
          <w:lang w:val="en-US"/>
        </w:rPr>
        <w:t xml:space="preserve">13.7 Pricing Analysis, </w:t>
      </w:r>
      <w:r w:rsidR="0080215D">
        <w:rPr>
          <w:lang w:val="en-US"/>
        </w:rPr>
        <w:t>2018-2035</w:t>
      </w:r>
    </w:p>
    <w:p w14:paraId="34FE92BB" w14:textId="3CBA25F9" w:rsidR="00361027" w:rsidRPr="00361027" w:rsidRDefault="00361027" w:rsidP="00361027">
      <w:r w:rsidRPr="00361027">
        <w:rPr>
          <w:lang w:val="en-US"/>
        </w:rPr>
        <w:t xml:space="preserve">13.8 Operating Margin/Profits, </w:t>
      </w:r>
      <w:r w:rsidR="0080215D">
        <w:rPr>
          <w:lang w:val="en-US"/>
        </w:rPr>
        <w:t>2018-2035</w:t>
      </w:r>
    </w:p>
    <w:p w14:paraId="56752ED3" w14:textId="77777777" w:rsidR="00361027" w:rsidRDefault="00361027" w:rsidP="00361027"/>
    <w:p w14:paraId="7EB9DDEE" w14:textId="77777777" w:rsidR="00361027" w:rsidRPr="00361027" w:rsidRDefault="00361027" w:rsidP="00361027">
      <w:r w:rsidRPr="00361027">
        <w:rPr>
          <w:b/>
          <w:bCs/>
          <w:lang w:val="en-US"/>
        </w:rPr>
        <w:t>Chapter 14 Global Energy Grid Market, By Latin America</w:t>
      </w:r>
    </w:p>
    <w:p w14:paraId="3B83F649" w14:textId="6309CC28" w:rsidR="00361027" w:rsidRPr="00361027" w:rsidRDefault="00361027" w:rsidP="00361027">
      <w:pPr>
        <w:pStyle w:val="ListParagraph"/>
        <w:numPr>
          <w:ilvl w:val="1"/>
          <w:numId w:val="17"/>
        </w:numPr>
      </w:pPr>
      <w:r w:rsidRPr="00361027">
        <w:rPr>
          <w:lang w:val="en-US"/>
        </w:rPr>
        <w:t xml:space="preserve">Market Size, </w:t>
      </w:r>
      <w:r w:rsidR="0080215D">
        <w:rPr>
          <w:lang w:val="en-US"/>
        </w:rPr>
        <w:t>Value (USD Mn) &amp; Volume (Units)</w:t>
      </w:r>
    </w:p>
    <w:p w14:paraId="508C2E0D" w14:textId="027229B1" w:rsidR="00361027" w:rsidRPr="00361027" w:rsidRDefault="00361027" w:rsidP="00361027">
      <w:r>
        <w:rPr>
          <w:b/>
          <w:bCs/>
          <w:lang w:val="en-US"/>
        </w:rPr>
        <w:t xml:space="preserve">    </w:t>
      </w:r>
      <w:r w:rsidRPr="00361027">
        <w:rPr>
          <w:b/>
          <w:bCs/>
          <w:lang w:val="en-US"/>
        </w:rPr>
        <w:t>14.1.1 Brazil</w:t>
      </w:r>
    </w:p>
    <w:p w14:paraId="2CCF9944" w14:textId="77A1FB34" w:rsidR="00361027" w:rsidRPr="00361027" w:rsidRDefault="00361027" w:rsidP="00361027">
      <w:r>
        <w:rPr>
          <w:b/>
          <w:bCs/>
          <w:lang w:val="en-US"/>
        </w:rPr>
        <w:t xml:space="preserve">    </w:t>
      </w:r>
      <w:r w:rsidRPr="00361027">
        <w:rPr>
          <w:b/>
          <w:bCs/>
          <w:lang w:val="en-US"/>
        </w:rPr>
        <w:t>14.1.2 Mexico</w:t>
      </w:r>
    </w:p>
    <w:p w14:paraId="333798CD" w14:textId="77777777" w:rsidR="00361027" w:rsidRPr="00361027" w:rsidRDefault="00361027" w:rsidP="00361027">
      <w:r w:rsidRPr="00361027">
        <w:rPr>
          <w:b/>
          <w:bCs/>
          <w:lang w:val="en-US"/>
        </w:rPr>
        <w:t xml:space="preserve">    14.1.3 Argentina</w:t>
      </w:r>
    </w:p>
    <w:p w14:paraId="76EDB4CE" w14:textId="77777777" w:rsidR="00361027" w:rsidRPr="00361027" w:rsidRDefault="00361027" w:rsidP="00361027">
      <w:r w:rsidRPr="00361027">
        <w:rPr>
          <w:b/>
          <w:bCs/>
          <w:lang w:val="en-US"/>
        </w:rPr>
        <w:t xml:space="preserve">    14.1.4 Rest of LATAM</w:t>
      </w:r>
    </w:p>
    <w:p w14:paraId="183E35DB" w14:textId="77777777" w:rsidR="00361027" w:rsidRPr="00361027" w:rsidRDefault="00361027" w:rsidP="00361027">
      <w:r w:rsidRPr="00361027">
        <w:rPr>
          <w:lang w:val="en-US"/>
        </w:rPr>
        <w:t>14.2 Key Market Trends &amp; Growth Opportunities</w:t>
      </w:r>
    </w:p>
    <w:p w14:paraId="25A4BF25" w14:textId="1E91447B" w:rsidR="00361027" w:rsidRPr="00361027" w:rsidRDefault="00361027" w:rsidP="00361027">
      <w:r w:rsidRPr="00361027">
        <w:rPr>
          <w:lang w:val="en-US"/>
        </w:rPr>
        <w:t xml:space="preserve">14.3 Market Share (%) Analysis, </w:t>
      </w:r>
      <w:r w:rsidR="0080215D">
        <w:rPr>
          <w:lang w:val="en-US"/>
        </w:rPr>
        <w:t>2018-2035</w:t>
      </w:r>
    </w:p>
    <w:p w14:paraId="3C45A4D7" w14:textId="77777777" w:rsidR="00361027" w:rsidRPr="00361027" w:rsidRDefault="00361027" w:rsidP="00361027">
      <w:r w:rsidRPr="00361027">
        <w:rPr>
          <w:lang w:val="en-US"/>
        </w:rPr>
        <w:t>14.4 Year-on-Year (YoY) Growth Rate</w:t>
      </w:r>
    </w:p>
    <w:p w14:paraId="56D1A100" w14:textId="77777777" w:rsidR="00361027" w:rsidRPr="00361027" w:rsidRDefault="00361027" w:rsidP="00361027">
      <w:r w:rsidRPr="00361027">
        <w:rPr>
          <w:lang w:val="en-US"/>
        </w:rPr>
        <w:t>14.5 Market Attractiveness</w:t>
      </w:r>
    </w:p>
    <w:p w14:paraId="431A4F1F" w14:textId="77777777" w:rsidR="00361027" w:rsidRPr="00361027" w:rsidRDefault="00361027" w:rsidP="00361027">
      <w:r w:rsidRPr="00361027">
        <w:rPr>
          <w:lang w:val="en-US"/>
        </w:rPr>
        <w:t>14.6 Global Investment &amp; Trade Risks</w:t>
      </w:r>
    </w:p>
    <w:p w14:paraId="635A3519" w14:textId="12965334" w:rsidR="00361027" w:rsidRPr="00361027" w:rsidRDefault="00361027" w:rsidP="00361027">
      <w:r w:rsidRPr="00361027">
        <w:rPr>
          <w:lang w:val="en-US"/>
        </w:rPr>
        <w:lastRenderedPageBreak/>
        <w:t xml:space="preserve">14.7 Pricing Analysis, </w:t>
      </w:r>
      <w:r w:rsidR="0080215D">
        <w:rPr>
          <w:lang w:val="en-US"/>
        </w:rPr>
        <w:t>2018-2035</w:t>
      </w:r>
    </w:p>
    <w:p w14:paraId="16B3DBF2" w14:textId="7E2146B6" w:rsidR="00361027" w:rsidRPr="00361027" w:rsidRDefault="00361027" w:rsidP="00361027">
      <w:r w:rsidRPr="00361027">
        <w:rPr>
          <w:lang w:val="en-US"/>
        </w:rPr>
        <w:t xml:space="preserve">14.8 Operating Margin/Profits, </w:t>
      </w:r>
      <w:r w:rsidR="0080215D">
        <w:rPr>
          <w:lang w:val="en-US"/>
        </w:rPr>
        <w:t>2018-2035</w:t>
      </w:r>
    </w:p>
    <w:p w14:paraId="35922515" w14:textId="61092F8E" w:rsidR="00361027" w:rsidRDefault="00361027" w:rsidP="00361027"/>
    <w:p w14:paraId="7EDE8E22" w14:textId="77777777" w:rsidR="00361027" w:rsidRPr="00361027" w:rsidRDefault="00361027" w:rsidP="00361027">
      <w:r w:rsidRPr="00361027">
        <w:rPr>
          <w:b/>
          <w:bCs/>
          <w:lang w:val="en-US"/>
        </w:rPr>
        <w:t>Chapter 15 Global Energy Grid Market, By Middle East &amp; Africa</w:t>
      </w:r>
    </w:p>
    <w:p w14:paraId="3AFFA2F1" w14:textId="72309113" w:rsidR="00361027" w:rsidRPr="00361027" w:rsidRDefault="00361027" w:rsidP="0080215D">
      <w:pPr>
        <w:pStyle w:val="ListParagraph"/>
        <w:numPr>
          <w:ilvl w:val="1"/>
          <w:numId w:val="19"/>
        </w:numPr>
      </w:pPr>
      <w:r w:rsidRPr="0080215D">
        <w:rPr>
          <w:lang w:val="en-US"/>
        </w:rPr>
        <w:t xml:space="preserve">Market Size, </w:t>
      </w:r>
      <w:r w:rsidR="0080215D">
        <w:rPr>
          <w:lang w:val="en-US"/>
        </w:rPr>
        <w:t>Value (USD Mn) &amp; Volume (Units)</w:t>
      </w:r>
    </w:p>
    <w:p w14:paraId="7C1AC34D" w14:textId="46D3430D" w:rsidR="00361027" w:rsidRPr="00361027" w:rsidRDefault="0080215D" w:rsidP="0080215D">
      <w:r>
        <w:rPr>
          <w:b/>
          <w:bCs/>
          <w:lang w:val="en-US"/>
        </w:rPr>
        <w:t xml:space="preserve">        </w:t>
      </w:r>
      <w:r w:rsidR="00361027" w:rsidRPr="00361027">
        <w:rPr>
          <w:b/>
          <w:bCs/>
          <w:lang w:val="en-US"/>
        </w:rPr>
        <w:t>15.1.1 Saudi Arabia</w:t>
      </w:r>
    </w:p>
    <w:p w14:paraId="29C35351" w14:textId="5AF5827E" w:rsidR="00361027" w:rsidRPr="00361027" w:rsidRDefault="00361027" w:rsidP="0080215D">
      <w:pPr>
        <w:ind w:left="360"/>
      </w:pPr>
      <w:r w:rsidRPr="00361027">
        <w:rPr>
          <w:b/>
          <w:bCs/>
          <w:lang w:val="en-US"/>
        </w:rPr>
        <w:t>15.1.2 UAE</w:t>
      </w:r>
    </w:p>
    <w:p w14:paraId="45600518" w14:textId="6E53E2ED" w:rsidR="00361027" w:rsidRPr="00361027" w:rsidRDefault="00361027" w:rsidP="0080215D">
      <w:pPr>
        <w:ind w:left="360"/>
      </w:pPr>
      <w:r w:rsidRPr="00361027">
        <w:rPr>
          <w:b/>
          <w:bCs/>
          <w:lang w:val="en-US"/>
        </w:rPr>
        <w:t>15.1.3 South Africa</w:t>
      </w:r>
    </w:p>
    <w:p w14:paraId="0FB04C2E" w14:textId="48E1EA6F" w:rsidR="00361027" w:rsidRPr="00361027" w:rsidRDefault="00361027" w:rsidP="0080215D">
      <w:pPr>
        <w:ind w:left="360"/>
      </w:pPr>
      <w:r w:rsidRPr="00361027">
        <w:rPr>
          <w:b/>
          <w:bCs/>
          <w:lang w:val="en-US"/>
        </w:rPr>
        <w:t>15.1.7 Rest of MEA</w:t>
      </w:r>
    </w:p>
    <w:p w14:paraId="796727BF" w14:textId="77777777" w:rsidR="00361027" w:rsidRPr="00361027" w:rsidRDefault="00361027" w:rsidP="00361027">
      <w:r w:rsidRPr="00361027">
        <w:rPr>
          <w:lang w:val="en-US"/>
        </w:rPr>
        <w:t>15.2 Key Market Trends &amp; Growth Opportunities</w:t>
      </w:r>
    </w:p>
    <w:p w14:paraId="056CBC95" w14:textId="4C4FA6AF" w:rsidR="00361027" w:rsidRPr="00361027" w:rsidRDefault="00361027" w:rsidP="00361027">
      <w:r w:rsidRPr="00361027">
        <w:rPr>
          <w:lang w:val="en-US"/>
        </w:rPr>
        <w:t>15.3 Market Share (%) Analysis,</w:t>
      </w:r>
      <w:r w:rsidR="0080215D">
        <w:rPr>
          <w:lang w:val="en-US"/>
        </w:rPr>
        <w:t xml:space="preserve"> 2018-2035</w:t>
      </w:r>
    </w:p>
    <w:p w14:paraId="378B4CB6" w14:textId="77777777" w:rsidR="00361027" w:rsidRPr="00361027" w:rsidRDefault="00361027" w:rsidP="00361027">
      <w:r w:rsidRPr="00361027">
        <w:rPr>
          <w:lang w:val="en-US"/>
        </w:rPr>
        <w:t>15.4 Year-on-Year (YoY) Growth Rate</w:t>
      </w:r>
    </w:p>
    <w:p w14:paraId="760ABEE0" w14:textId="77777777" w:rsidR="00361027" w:rsidRPr="00361027" w:rsidRDefault="00361027" w:rsidP="00361027">
      <w:r w:rsidRPr="00361027">
        <w:rPr>
          <w:lang w:val="en-US"/>
        </w:rPr>
        <w:t>15.5 Market Attractiveness</w:t>
      </w:r>
    </w:p>
    <w:p w14:paraId="154992A3" w14:textId="77777777" w:rsidR="00361027" w:rsidRPr="00361027" w:rsidRDefault="00361027" w:rsidP="00361027">
      <w:r w:rsidRPr="00361027">
        <w:rPr>
          <w:lang w:val="en-US"/>
        </w:rPr>
        <w:t>15.6 Global Investment &amp; Trade Risks</w:t>
      </w:r>
    </w:p>
    <w:p w14:paraId="428B230C" w14:textId="575715D2" w:rsidR="00361027" w:rsidRPr="00361027" w:rsidRDefault="00361027" w:rsidP="00361027">
      <w:r w:rsidRPr="00361027">
        <w:rPr>
          <w:lang w:val="en-US"/>
        </w:rPr>
        <w:t xml:space="preserve">15.7 Pricing Analysis, </w:t>
      </w:r>
      <w:r w:rsidR="0080215D">
        <w:rPr>
          <w:lang w:val="en-US"/>
        </w:rPr>
        <w:t>2018-2035</w:t>
      </w:r>
    </w:p>
    <w:p w14:paraId="6ECC6729" w14:textId="176328B9" w:rsidR="00361027" w:rsidRPr="00361027" w:rsidRDefault="00361027" w:rsidP="00361027">
      <w:r w:rsidRPr="00361027">
        <w:rPr>
          <w:lang w:val="en-US"/>
        </w:rPr>
        <w:t xml:space="preserve">15.8 Operating Margin/Profits, </w:t>
      </w:r>
      <w:r w:rsidR="0080215D">
        <w:rPr>
          <w:lang w:val="en-US"/>
        </w:rPr>
        <w:t>2018-2035</w:t>
      </w:r>
    </w:p>
    <w:p w14:paraId="13C76371" w14:textId="77777777" w:rsidR="00361027" w:rsidRDefault="00361027" w:rsidP="00361027"/>
    <w:p w14:paraId="444EC27B" w14:textId="77777777" w:rsidR="0080215D" w:rsidRPr="0080215D" w:rsidRDefault="0080215D" w:rsidP="0080215D">
      <w:r w:rsidRPr="0080215D">
        <w:rPr>
          <w:b/>
          <w:bCs/>
          <w:lang w:val="en-US"/>
        </w:rPr>
        <w:t>Chapter 16 Competitive Analysis</w:t>
      </w:r>
    </w:p>
    <w:p w14:paraId="1C87B843" w14:textId="77777777" w:rsidR="0080215D" w:rsidRPr="0080215D" w:rsidRDefault="0080215D" w:rsidP="0080215D">
      <w:r w:rsidRPr="0080215D">
        <w:rPr>
          <w:b/>
          <w:bCs/>
          <w:lang w:val="en-US"/>
        </w:rPr>
        <w:t>16.1 Competition Landscape, Key Players</w:t>
      </w:r>
    </w:p>
    <w:p w14:paraId="1DB49212" w14:textId="33AC28CB" w:rsidR="0080215D" w:rsidRPr="0080215D" w:rsidRDefault="0080215D" w:rsidP="0080215D">
      <w:r w:rsidRPr="0080215D">
        <w:rPr>
          <w:lang w:val="en-US"/>
        </w:rPr>
        <w:t xml:space="preserve">   16.1.1 Global Market Share (%) Analysis of Key Players in Energy Grid, in </w:t>
      </w:r>
      <w:r>
        <w:rPr>
          <w:lang w:val="en-US"/>
        </w:rPr>
        <w:t xml:space="preserve">Value (USD Mn) &amp; Volume (Units, </w:t>
      </w:r>
      <w:r w:rsidRPr="0080215D">
        <w:rPr>
          <w:lang w:val="en-US"/>
        </w:rPr>
        <w:t>202</w:t>
      </w:r>
      <w:r>
        <w:rPr>
          <w:lang w:val="en-US"/>
        </w:rPr>
        <w:t>5</w:t>
      </w:r>
    </w:p>
    <w:p w14:paraId="33548B11" w14:textId="77777777" w:rsidR="0080215D" w:rsidRPr="0080215D" w:rsidRDefault="0080215D" w:rsidP="0080215D">
      <w:r w:rsidRPr="0080215D">
        <w:rPr>
          <w:lang w:val="en-US"/>
        </w:rPr>
        <w:t xml:space="preserve">   16.1.2 Company Overview</w:t>
      </w:r>
    </w:p>
    <w:p w14:paraId="4D67CC70" w14:textId="77777777" w:rsidR="0080215D" w:rsidRPr="0080215D" w:rsidRDefault="0080215D" w:rsidP="0080215D">
      <w:r w:rsidRPr="0080215D">
        <w:rPr>
          <w:lang w:val="en-US"/>
        </w:rPr>
        <w:t xml:space="preserve">   16.1.2 Company Financials</w:t>
      </w:r>
    </w:p>
    <w:p w14:paraId="221AC68C" w14:textId="77777777" w:rsidR="0080215D" w:rsidRPr="0080215D" w:rsidRDefault="0080215D" w:rsidP="0080215D">
      <w:r w:rsidRPr="0080215D">
        <w:rPr>
          <w:lang w:val="en-US"/>
        </w:rPr>
        <w:t xml:space="preserve">   16.1.2 News &amp; Developments</w:t>
      </w:r>
    </w:p>
    <w:p w14:paraId="783FA4E0" w14:textId="77777777" w:rsidR="0080215D" w:rsidRPr="0080215D" w:rsidRDefault="0080215D" w:rsidP="0080215D">
      <w:r w:rsidRPr="0080215D">
        <w:rPr>
          <w:lang w:val="en-US"/>
        </w:rPr>
        <w:t xml:space="preserve">   16.1.2 Strategic Initiatives </w:t>
      </w:r>
    </w:p>
    <w:p w14:paraId="3CA5122C" w14:textId="77777777" w:rsidR="0080215D" w:rsidRPr="0080215D" w:rsidRDefault="0080215D" w:rsidP="0080215D">
      <w:r w:rsidRPr="0080215D">
        <w:rPr>
          <w:b/>
          <w:bCs/>
          <w:lang w:val="en-US"/>
        </w:rPr>
        <w:t>16.2 Company Profiles</w:t>
      </w:r>
    </w:p>
    <w:p w14:paraId="23B6F1EF" w14:textId="77777777" w:rsidR="0080215D" w:rsidRPr="0080215D" w:rsidRDefault="0080215D" w:rsidP="0080215D">
      <w:r w:rsidRPr="0080215D">
        <w:rPr>
          <w:lang w:val="en-US"/>
        </w:rPr>
        <w:t xml:space="preserve">   16.2.1 Siemens AG</w:t>
      </w:r>
    </w:p>
    <w:p w14:paraId="3C6C3065" w14:textId="77777777" w:rsidR="0080215D" w:rsidRPr="0080215D" w:rsidRDefault="0080215D" w:rsidP="0080215D">
      <w:r w:rsidRPr="0080215D">
        <w:rPr>
          <w:lang w:val="en-US"/>
        </w:rPr>
        <w:t xml:space="preserve">   16.2.2 ABB Ltd.</w:t>
      </w:r>
    </w:p>
    <w:p w14:paraId="1D8972FA" w14:textId="77777777" w:rsidR="0080215D" w:rsidRPr="0080215D" w:rsidRDefault="0080215D" w:rsidP="0080215D">
      <w:r w:rsidRPr="0080215D">
        <w:rPr>
          <w:lang w:val="en-US"/>
        </w:rPr>
        <w:lastRenderedPageBreak/>
        <w:t xml:space="preserve">   16.2.3 GE </w:t>
      </w:r>
      <w:proofErr w:type="spellStart"/>
      <w:r w:rsidRPr="0080215D">
        <w:rPr>
          <w:lang w:val="en-US"/>
        </w:rPr>
        <w:t>Vernova</w:t>
      </w:r>
      <w:proofErr w:type="spellEnd"/>
    </w:p>
    <w:p w14:paraId="3D0CA3F5" w14:textId="77777777" w:rsidR="0080215D" w:rsidRPr="0080215D" w:rsidRDefault="0080215D" w:rsidP="0080215D">
      <w:r w:rsidRPr="0080215D">
        <w:rPr>
          <w:lang w:val="en-US"/>
        </w:rPr>
        <w:t xml:space="preserve">   16.2.4 Honeywell International Inc. </w:t>
      </w:r>
    </w:p>
    <w:p w14:paraId="28FABE41" w14:textId="77777777" w:rsidR="0080215D" w:rsidRPr="0080215D" w:rsidRDefault="0080215D" w:rsidP="0080215D">
      <w:r w:rsidRPr="0080215D">
        <w:rPr>
          <w:lang w:val="en-US"/>
        </w:rPr>
        <w:t xml:space="preserve">   16.2.5 Schneider Electric SE </w:t>
      </w:r>
    </w:p>
    <w:p w14:paraId="36618BB2" w14:textId="77777777" w:rsidR="0080215D" w:rsidRPr="0080215D" w:rsidRDefault="0080215D" w:rsidP="0080215D">
      <w:r w:rsidRPr="0080215D">
        <w:rPr>
          <w:lang w:val="en-US"/>
        </w:rPr>
        <w:t xml:space="preserve">   16.2.6 Eaton Corporation PLC</w:t>
      </w:r>
    </w:p>
    <w:p w14:paraId="5738FB76" w14:textId="77777777" w:rsidR="0080215D" w:rsidRPr="0080215D" w:rsidRDefault="0080215D" w:rsidP="0080215D">
      <w:r w:rsidRPr="0080215D">
        <w:rPr>
          <w:lang w:val="en-US"/>
        </w:rPr>
        <w:t xml:space="preserve">   16.2.7 Larsen &amp; Toubro (L&amp;T)</w:t>
      </w:r>
    </w:p>
    <w:p w14:paraId="4013C8DD" w14:textId="77777777" w:rsidR="0080215D" w:rsidRPr="0080215D" w:rsidRDefault="0080215D" w:rsidP="0080215D">
      <w:r w:rsidRPr="0080215D">
        <w:rPr>
          <w:lang w:val="en-US"/>
        </w:rPr>
        <w:t xml:space="preserve">   16.2.8 Mitsubishi Electric Corporation</w:t>
      </w:r>
    </w:p>
    <w:p w14:paraId="520DAECF" w14:textId="77777777" w:rsidR="0080215D" w:rsidRPr="0080215D" w:rsidRDefault="0080215D" w:rsidP="0080215D">
      <w:r w:rsidRPr="0080215D">
        <w:rPr>
          <w:lang w:val="en-US"/>
        </w:rPr>
        <w:t xml:space="preserve">   16.2.9 Hitachi Energy</w:t>
      </w:r>
    </w:p>
    <w:p w14:paraId="71F823F2" w14:textId="77777777" w:rsidR="0080215D" w:rsidRPr="0080215D" w:rsidRDefault="0080215D" w:rsidP="0080215D">
      <w:r w:rsidRPr="0080215D">
        <w:rPr>
          <w:lang w:val="en-US"/>
        </w:rPr>
        <w:t xml:space="preserve">   16.2.10 </w:t>
      </w:r>
      <w:proofErr w:type="spellStart"/>
      <w:r w:rsidRPr="0080215D">
        <w:rPr>
          <w:lang w:val="en-US"/>
        </w:rPr>
        <w:t>Landis+Gyr</w:t>
      </w:r>
      <w:proofErr w:type="spellEnd"/>
    </w:p>
    <w:p w14:paraId="351B0639" w14:textId="2138899B" w:rsidR="0080215D" w:rsidRPr="00361027" w:rsidRDefault="0080215D" w:rsidP="00361027">
      <w:r w:rsidRPr="0080215D">
        <w:rPr>
          <w:lang w:val="en-US"/>
        </w:rPr>
        <w:t xml:space="preserve">   16.2.11 </w:t>
      </w:r>
      <w:r w:rsidRPr="0080215D">
        <w:rPr>
          <w:lang w:val="pl-PL"/>
        </w:rPr>
        <w:t>Transition Technologies MS (TTMS)</w:t>
      </w:r>
    </w:p>
    <w:p w14:paraId="256A34DA" w14:textId="77777777" w:rsidR="00361027" w:rsidRPr="00361027" w:rsidRDefault="00361027" w:rsidP="00361027"/>
    <w:p w14:paraId="40C2B10F" w14:textId="7018F29A" w:rsidR="0080215D" w:rsidRDefault="0080215D" w:rsidP="0080215D">
      <w:r>
        <w:t>-----------------------------------------------------------</w:t>
      </w:r>
      <w:r>
        <w:br/>
      </w:r>
      <w:r>
        <w:br/>
      </w:r>
      <w:r>
        <w:t>To provide you with a comprehensive understanding of how we quantify your market opportunity, we utilize a multi-phased methodology designed to minimize risk and maximize strategic clarity. We begin</w:t>
      </w:r>
      <w:r>
        <w:t xml:space="preserve"> the process</w:t>
      </w:r>
      <w:r>
        <w:t xml:space="preserve"> by establishing a clear conceptual framework, often referred to as the TAM-SAM-SOM model. By starting with the Total Addressable Market, we look at the absolute global demand for your category. We then refine this into the Serviceable Addressable Market to account for your specific geographic and technological reach, and finally, we pinpoint the Serviceable Obtainable Market. This ensures that the final figures we present are not just theoretical "vanity metrics," but represent a realistic, capture-able revenue target for your business.</w:t>
      </w:r>
    </w:p>
    <w:p w14:paraId="4F5B9301" w14:textId="081FF83B" w:rsidR="0080215D" w:rsidRDefault="0080215D" w:rsidP="0080215D">
      <w:r>
        <w:t>Our data collection process relies on a rigorous principle called triangulation, where we cross-reference multiple independent data streams to ensure accuracy. We initiate this with deep-dive secondary research, synthesizing high-value intelligence from audited financial filings, government trade databases, and specialized industry journals. This "desk research" phase provides a macro-economic baseline and identifies historical growth trajectories. However, because secondary data can sometimes lag behind real-time shifts, we supplement this with targeted primary research. This involves direct engagement with Key Opinion Leaders (KOLs) and structured quantitative surveys to capture the current pulse of the market and emerging buyer intent.</w:t>
      </w:r>
    </w:p>
    <w:p w14:paraId="77CD1E6F" w14:textId="632A438B" w:rsidR="0080215D" w:rsidRDefault="0080215D" w:rsidP="0080215D">
      <w:r>
        <w:t>To ensure the integrity of our estimates, we employ a dual-</w:t>
      </w:r>
      <w:proofErr w:type="spellStart"/>
      <w:r>
        <w:t>modeling</w:t>
      </w:r>
      <w:proofErr w:type="spellEnd"/>
      <w:r>
        <w:t xml:space="preserve"> approach, calculating the market size from both the "Top-Down" and "Bottom-Up." The Top-Down analysis provides a valuable sanity check against broader economic trends, but we place the most weight on our Bottom-Up </w:t>
      </w:r>
      <w:proofErr w:type="spellStart"/>
      <w:r>
        <w:t>modeling</w:t>
      </w:r>
      <w:proofErr w:type="spellEnd"/>
      <w:r>
        <w:t>. By taking granular data</w:t>
      </w:r>
      <w:r w:rsidR="00A74522">
        <w:t xml:space="preserve">, </w:t>
      </w:r>
      <w:r>
        <w:t>such as the average transaction value and the actual number of potential customer touchpoints</w:t>
      </w:r>
      <w:r w:rsidR="00A74522">
        <w:t xml:space="preserve">, </w:t>
      </w:r>
      <w:r>
        <w:lastRenderedPageBreak/>
        <w:t>and scaling them upward, we build a highly defensible model grounded in operational reality. This dual-verification method allows us to identify any discrepancies early, ensuring that the resulting data is robust enough to withstand the scrutiny of stakeholders or investors.</w:t>
      </w:r>
    </w:p>
    <w:p w14:paraId="416DD74D" w14:textId="31C084BB" w:rsidR="00361027" w:rsidRDefault="0080215D" w:rsidP="0080215D">
      <w:r>
        <w:t xml:space="preserve">Finally, we recognize that a static market size figure is only a snapshot in time. To provide you with a roadmap for the future, we integrate trend analysis and Compound Annual Growth Rate (CAGR) forecasting into our final reporting. We </w:t>
      </w:r>
      <w:proofErr w:type="spellStart"/>
      <w:r>
        <w:t>analyze</w:t>
      </w:r>
      <w:proofErr w:type="spellEnd"/>
      <w:r>
        <w:t xml:space="preserve"> the underlying drivers</w:t>
      </w:r>
      <w:r w:rsidR="00A74522">
        <w:t xml:space="preserve">, </w:t>
      </w:r>
      <w:r>
        <w:t xml:space="preserve">such as regulatory shifts, technological disruptions, or changing consumer </w:t>
      </w:r>
      <w:proofErr w:type="spellStart"/>
      <w:r>
        <w:t>behaviors</w:t>
      </w:r>
      <w:proofErr w:type="spellEnd"/>
      <w:r w:rsidR="00A74522">
        <w:t xml:space="preserve">, </w:t>
      </w:r>
      <w:r>
        <w:t>to predict how the market will evolve over the next three to five years. This ongoing tracking mechanism transforms a simple number into a dynamic strategic tool, allowing you to monitor your market share in real-time and pivot your resources as new opportunities emerge.</w:t>
      </w:r>
    </w:p>
    <w:sectPr w:rsidR="0036102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59B"/>
    <w:multiLevelType w:val="multilevel"/>
    <w:tmpl w:val="0BD2D8E0"/>
    <w:lvl w:ilvl="0">
      <w:start w:val="14"/>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804A46"/>
    <w:multiLevelType w:val="multilevel"/>
    <w:tmpl w:val="48C05692"/>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C721CF"/>
    <w:multiLevelType w:val="multilevel"/>
    <w:tmpl w:val="5742E9B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0041FA"/>
    <w:multiLevelType w:val="multilevel"/>
    <w:tmpl w:val="CF52212A"/>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FCF6D43"/>
    <w:multiLevelType w:val="hybridMultilevel"/>
    <w:tmpl w:val="C76AE6A0"/>
    <w:lvl w:ilvl="0" w:tplc="26666650">
      <w:start w:val="1"/>
      <w:numFmt w:val="bullet"/>
      <w:lvlText w:val="•"/>
      <w:lvlJc w:val="left"/>
      <w:pPr>
        <w:tabs>
          <w:tab w:val="num" w:pos="720"/>
        </w:tabs>
        <w:ind w:left="720" w:hanging="360"/>
      </w:pPr>
      <w:rPr>
        <w:rFonts w:ascii="Arial" w:hAnsi="Arial" w:hint="default"/>
      </w:rPr>
    </w:lvl>
    <w:lvl w:ilvl="1" w:tplc="A120DE8E" w:tentative="1">
      <w:start w:val="1"/>
      <w:numFmt w:val="bullet"/>
      <w:lvlText w:val="•"/>
      <w:lvlJc w:val="left"/>
      <w:pPr>
        <w:tabs>
          <w:tab w:val="num" w:pos="1440"/>
        </w:tabs>
        <w:ind w:left="1440" w:hanging="360"/>
      </w:pPr>
      <w:rPr>
        <w:rFonts w:ascii="Arial" w:hAnsi="Arial" w:hint="default"/>
      </w:rPr>
    </w:lvl>
    <w:lvl w:ilvl="2" w:tplc="7E561A0A" w:tentative="1">
      <w:start w:val="1"/>
      <w:numFmt w:val="bullet"/>
      <w:lvlText w:val="•"/>
      <w:lvlJc w:val="left"/>
      <w:pPr>
        <w:tabs>
          <w:tab w:val="num" w:pos="2160"/>
        </w:tabs>
        <w:ind w:left="2160" w:hanging="360"/>
      </w:pPr>
      <w:rPr>
        <w:rFonts w:ascii="Arial" w:hAnsi="Arial" w:hint="default"/>
      </w:rPr>
    </w:lvl>
    <w:lvl w:ilvl="3" w:tplc="49C8D5D2" w:tentative="1">
      <w:start w:val="1"/>
      <w:numFmt w:val="bullet"/>
      <w:lvlText w:val="•"/>
      <w:lvlJc w:val="left"/>
      <w:pPr>
        <w:tabs>
          <w:tab w:val="num" w:pos="2880"/>
        </w:tabs>
        <w:ind w:left="2880" w:hanging="360"/>
      </w:pPr>
      <w:rPr>
        <w:rFonts w:ascii="Arial" w:hAnsi="Arial" w:hint="default"/>
      </w:rPr>
    </w:lvl>
    <w:lvl w:ilvl="4" w:tplc="88E6789A" w:tentative="1">
      <w:start w:val="1"/>
      <w:numFmt w:val="bullet"/>
      <w:lvlText w:val="•"/>
      <w:lvlJc w:val="left"/>
      <w:pPr>
        <w:tabs>
          <w:tab w:val="num" w:pos="3600"/>
        </w:tabs>
        <w:ind w:left="3600" w:hanging="360"/>
      </w:pPr>
      <w:rPr>
        <w:rFonts w:ascii="Arial" w:hAnsi="Arial" w:hint="default"/>
      </w:rPr>
    </w:lvl>
    <w:lvl w:ilvl="5" w:tplc="4A22804A" w:tentative="1">
      <w:start w:val="1"/>
      <w:numFmt w:val="bullet"/>
      <w:lvlText w:val="•"/>
      <w:lvlJc w:val="left"/>
      <w:pPr>
        <w:tabs>
          <w:tab w:val="num" w:pos="4320"/>
        </w:tabs>
        <w:ind w:left="4320" w:hanging="360"/>
      </w:pPr>
      <w:rPr>
        <w:rFonts w:ascii="Arial" w:hAnsi="Arial" w:hint="default"/>
      </w:rPr>
    </w:lvl>
    <w:lvl w:ilvl="6" w:tplc="F3D24568" w:tentative="1">
      <w:start w:val="1"/>
      <w:numFmt w:val="bullet"/>
      <w:lvlText w:val="•"/>
      <w:lvlJc w:val="left"/>
      <w:pPr>
        <w:tabs>
          <w:tab w:val="num" w:pos="5040"/>
        </w:tabs>
        <w:ind w:left="5040" w:hanging="360"/>
      </w:pPr>
      <w:rPr>
        <w:rFonts w:ascii="Arial" w:hAnsi="Arial" w:hint="default"/>
      </w:rPr>
    </w:lvl>
    <w:lvl w:ilvl="7" w:tplc="1794F0A0" w:tentative="1">
      <w:start w:val="1"/>
      <w:numFmt w:val="bullet"/>
      <w:lvlText w:val="•"/>
      <w:lvlJc w:val="left"/>
      <w:pPr>
        <w:tabs>
          <w:tab w:val="num" w:pos="5760"/>
        </w:tabs>
        <w:ind w:left="5760" w:hanging="360"/>
      </w:pPr>
      <w:rPr>
        <w:rFonts w:ascii="Arial" w:hAnsi="Arial" w:hint="default"/>
      </w:rPr>
    </w:lvl>
    <w:lvl w:ilvl="8" w:tplc="DA4055F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0952C3D"/>
    <w:multiLevelType w:val="multilevel"/>
    <w:tmpl w:val="DC5097D0"/>
    <w:lvl w:ilvl="0">
      <w:start w:val="10"/>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72D221E"/>
    <w:multiLevelType w:val="hybridMultilevel"/>
    <w:tmpl w:val="141E1F08"/>
    <w:lvl w:ilvl="0" w:tplc="D2442C16">
      <w:start w:val="1"/>
      <w:numFmt w:val="bullet"/>
      <w:lvlText w:val="•"/>
      <w:lvlJc w:val="left"/>
      <w:pPr>
        <w:tabs>
          <w:tab w:val="num" w:pos="720"/>
        </w:tabs>
        <w:ind w:left="720" w:hanging="360"/>
      </w:pPr>
      <w:rPr>
        <w:rFonts w:ascii="Arial" w:hAnsi="Arial" w:hint="default"/>
      </w:rPr>
    </w:lvl>
    <w:lvl w:ilvl="1" w:tplc="9276248E" w:tentative="1">
      <w:start w:val="1"/>
      <w:numFmt w:val="bullet"/>
      <w:lvlText w:val="•"/>
      <w:lvlJc w:val="left"/>
      <w:pPr>
        <w:tabs>
          <w:tab w:val="num" w:pos="1440"/>
        </w:tabs>
        <w:ind w:left="1440" w:hanging="360"/>
      </w:pPr>
      <w:rPr>
        <w:rFonts w:ascii="Arial" w:hAnsi="Arial" w:hint="default"/>
      </w:rPr>
    </w:lvl>
    <w:lvl w:ilvl="2" w:tplc="E708CE10" w:tentative="1">
      <w:start w:val="1"/>
      <w:numFmt w:val="bullet"/>
      <w:lvlText w:val="•"/>
      <w:lvlJc w:val="left"/>
      <w:pPr>
        <w:tabs>
          <w:tab w:val="num" w:pos="2160"/>
        </w:tabs>
        <w:ind w:left="2160" w:hanging="360"/>
      </w:pPr>
      <w:rPr>
        <w:rFonts w:ascii="Arial" w:hAnsi="Arial" w:hint="default"/>
      </w:rPr>
    </w:lvl>
    <w:lvl w:ilvl="3" w:tplc="CF72F436" w:tentative="1">
      <w:start w:val="1"/>
      <w:numFmt w:val="bullet"/>
      <w:lvlText w:val="•"/>
      <w:lvlJc w:val="left"/>
      <w:pPr>
        <w:tabs>
          <w:tab w:val="num" w:pos="2880"/>
        </w:tabs>
        <w:ind w:left="2880" w:hanging="360"/>
      </w:pPr>
      <w:rPr>
        <w:rFonts w:ascii="Arial" w:hAnsi="Arial" w:hint="default"/>
      </w:rPr>
    </w:lvl>
    <w:lvl w:ilvl="4" w:tplc="460CBAFA" w:tentative="1">
      <w:start w:val="1"/>
      <w:numFmt w:val="bullet"/>
      <w:lvlText w:val="•"/>
      <w:lvlJc w:val="left"/>
      <w:pPr>
        <w:tabs>
          <w:tab w:val="num" w:pos="3600"/>
        </w:tabs>
        <w:ind w:left="3600" w:hanging="360"/>
      </w:pPr>
      <w:rPr>
        <w:rFonts w:ascii="Arial" w:hAnsi="Arial" w:hint="default"/>
      </w:rPr>
    </w:lvl>
    <w:lvl w:ilvl="5" w:tplc="8EF60AD2" w:tentative="1">
      <w:start w:val="1"/>
      <w:numFmt w:val="bullet"/>
      <w:lvlText w:val="•"/>
      <w:lvlJc w:val="left"/>
      <w:pPr>
        <w:tabs>
          <w:tab w:val="num" w:pos="4320"/>
        </w:tabs>
        <w:ind w:left="4320" w:hanging="360"/>
      </w:pPr>
      <w:rPr>
        <w:rFonts w:ascii="Arial" w:hAnsi="Arial" w:hint="default"/>
      </w:rPr>
    </w:lvl>
    <w:lvl w:ilvl="6" w:tplc="61B62072" w:tentative="1">
      <w:start w:val="1"/>
      <w:numFmt w:val="bullet"/>
      <w:lvlText w:val="•"/>
      <w:lvlJc w:val="left"/>
      <w:pPr>
        <w:tabs>
          <w:tab w:val="num" w:pos="5040"/>
        </w:tabs>
        <w:ind w:left="5040" w:hanging="360"/>
      </w:pPr>
      <w:rPr>
        <w:rFonts w:ascii="Arial" w:hAnsi="Arial" w:hint="default"/>
      </w:rPr>
    </w:lvl>
    <w:lvl w:ilvl="7" w:tplc="F5CC2D5A" w:tentative="1">
      <w:start w:val="1"/>
      <w:numFmt w:val="bullet"/>
      <w:lvlText w:val="•"/>
      <w:lvlJc w:val="left"/>
      <w:pPr>
        <w:tabs>
          <w:tab w:val="num" w:pos="5760"/>
        </w:tabs>
        <w:ind w:left="5760" w:hanging="360"/>
      </w:pPr>
      <w:rPr>
        <w:rFonts w:ascii="Arial" w:hAnsi="Arial" w:hint="default"/>
      </w:rPr>
    </w:lvl>
    <w:lvl w:ilvl="8" w:tplc="5E48824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DF12DBA"/>
    <w:multiLevelType w:val="hybridMultilevel"/>
    <w:tmpl w:val="FBDA86AE"/>
    <w:lvl w:ilvl="0" w:tplc="4784F362">
      <w:start w:val="1"/>
      <w:numFmt w:val="bullet"/>
      <w:lvlText w:val="•"/>
      <w:lvlJc w:val="left"/>
      <w:pPr>
        <w:tabs>
          <w:tab w:val="num" w:pos="720"/>
        </w:tabs>
        <w:ind w:left="720" w:hanging="360"/>
      </w:pPr>
      <w:rPr>
        <w:rFonts w:ascii="Arial" w:hAnsi="Arial" w:hint="default"/>
      </w:rPr>
    </w:lvl>
    <w:lvl w:ilvl="1" w:tplc="BA10704A" w:tentative="1">
      <w:start w:val="1"/>
      <w:numFmt w:val="bullet"/>
      <w:lvlText w:val="•"/>
      <w:lvlJc w:val="left"/>
      <w:pPr>
        <w:tabs>
          <w:tab w:val="num" w:pos="1440"/>
        </w:tabs>
        <w:ind w:left="1440" w:hanging="360"/>
      </w:pPr>
      <w:rPr>
        <w:rFonts w:ascii="Arial" w:hAnsi="Arial" w:hint="default"/>
      </w:rPr>
    </w:lvl>
    <w:lvl w:ilvl="2" w:tplc="46B0229E" w:tentative="1">
      <w:start w:val="1"/>
      <w:numFmt w:val="bullet"/>
      <w:lvlText w:val="•"/>
      <w:lvlJc w:val="left"/>
      <w:pPr>
        <w:tabs>
          <w:tab w:val="num" w:pos="2160"/>
        </w:tabs>
        <w:ind w:left="2160" w:hanging="360"/>
      </w:pPr>
      <w:rPr>
        <w:rFonts w:ascii="Arial" w:hAnsi="Arial" w:hint="default"/>
      </w:rPr>
    </w:lvl>
    <w:lvl w:ilvl="3" w:tplc="8AFE9466" w:tentative="1">
      <w:start w:val="1"/>
      <w:numFmt w:val="bullet"/>
      <w:lvlText w:val="•"/>
      <w:lvlJc w:val="left"/>
      <w:pPr>
        <w:tabs>
          <w:tab w:val="num" w:pos="2880"/>
        </w:tabs>
        <w:ind w:left="2880" w:hanging="360"/>
      </w:pPr>
      <w:rPr>
        <w:rFonts w:ascii="Arial" w:hAnsi="Arial" w:hint="default"/>
      </w:rPr>
    </w:lvl>
    <w:lvl w:ilvl="4" w:tplc="AAB6A1EC" w:tentative="1">
      <w:start w:val="1"/>
      <w:numFmt w:val="bullet"/>
      <w:lvlText w:val="•"/>
      <w:lvlJc w:val="left"/>
      <w:pPr>
        <w:tabs>
          <w:tab w:val="num" w:pos="3600"/>
        </w:tabs>
        <w:ind w:left="3600" w:hanging="360"/>
      </w:pPr>
      <w:rPr>
        <w:rFonts w:ascii="Arial" w:hAnsi="Arial" w:hint="default"/>
      </w:rPr>
    </w:lvl>
    <w:lvl w:ilvl="5" w:tplc="57F49098" w:tentative="1">
      <w:start w:val="1"/>
      <w:numFmt w:val="bullet"/>
      <w:lvlText w:val="•"/>
      <w:lvlJc w:val="left"/>
      <w:pPr>
        <w:tabs>
          <w:tab w:val="num" w:pos="4320"/>
        </w:tabs>
        <w:ind w:left="4320" w:hanging="360"/>
      </w:pPr>
      <w:rPr>
        <w:rFonts w:ascii="Arial" w:hAnsi="Arial" w:hint="default"/>
      </w:rPr>
    </w:lvl>
    <w:lvl w:ilvl="6" w:tplc="A942DF06" w:tentative="1">
      <w:start w:val="1"/>
      <w:numFmt w:val="bullet"/>
      <w:lvlText w:val="•"/>
      <w:lvlJc w:val="left"/>
      <w:pPr>
        <w:tabs>
          <w:tab w:val="num" w:pos="5040"/>
        </w:tabs>
        <w:ind w:left="5040" w:hanging="360"/>
      </w:pPr>
      <w:rPr>
        <w:rFonts w:ascii="Arial" w:hAnsi="Arial" w:hint="default"/>
      </w:rPr>
    </w:lvl>
    <w:lvl w:ilvl="7" w:tplc="711A7AEA" w:tentative="1">
      <w:start w:val="1"/>
      <w:numFmt w:val="bullet"/>
      <w:lvlText w:val="•"/>
      <w:lvlJc w:val="left"/>
      <w:pPr>
        <w:tabs>
          <w:tab w:val="num" w:pos="5760"/>
        </w:tabs>
        <w:ind w:left="5760" w:hanging="360"/>
      </w:pPr>
      <w:rPr>
        <w:rFonts w:ascii="Arial" w:hAnsi="Arial" w:hint="default"/>
      </w:rPr>
    </w:lvl>
    <w:lvl w:ilvl="8" w:tplc="FBC2D58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EBF092A"/>
    <w:multiLevelType w:val="multilevel"/>
    <w:tmpl w:val="6F487A32"/>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AE3499E"/>
    <w:multiLevelType w:val="hybridMultilevel"/>
    <w:tmpl w:val="F00EF68E"/>
    <w:lvl w:ilvl="0" w:tplc="4B346FB6">
      <w:start w:val="1"/>
      <w:numFmt w:val="bullet"/>
      <w:lvlText w:val="•"/>
      <w:lvlJc w:val="left"/>
      <w:pPr>
        <w:tabs>
          <w:tab w:val="num" w:pos="720"/>
        </w:tabs>
        <w:ind w:left="720" w:hanging="360"/>
      </w:pPr>
      <w:rPr>
        <w:rFonts w:ascii="Arial" w:hAnsi="Arial" w:hint="default"/>
      </w:rPr>
    </w:lvl>
    <w:lvl w:ilvl="1" w:tplc="29F02112" w:tentative="1">
      <w:start w:val="1"/>
      <w:numFmt w:val="bullet"/>
      <w:lvlText w:val="•"/>
      <w:lvlJc w:val="left"/>
      <w:pPr>
        <w:tabs>
          <w:tab w:val="num" w:pos="1440"/>
        </w:tabs>
        <w:ind w:left="1440" w:hanging="360"/>
      </w:pPr>
      <w:rPr>
        <w:rFonts w:ascii="Arial" w:hAnsi="Arial" w:hint="default"/>
      </w:rPr>
    </w:lvl>
    <w:lvl w:ilvl="2" w:tplc="17545A66" w:tentative="1">
      <w:start w:val="1"/>
      <w:numFmt w:val="bullet"/>
      <w:lvlText w:val="•"/>
      <w:lvlJc w:val="left"/>
      <w:pPr>
        <w:tabs>
          <w:tab w:val="num" w:pos="2160"/>
        </w:tabs>
        <w:ind w:left="2160" w:hanging="360"/>
      </w:pPr>
      <w:rPr>
        <w:rFonts w:ascii="Arial" w:hAnsi="Arial" w:hint="default"/>
      </w:rPr>
    </w:lvl>
    <w:lvl w:ilvl="3" w:tplc="58AEA186" w:tentative="1">
      <w:start w:val="1"/>
      <w:numFmt w:val="bullet"/>
      <w:lvlText w:val="•"/>
      <w:lvlJc w:val="left"/>
      <w:pPr>
        <w:tabs>
          <w:tab w:val="num" w:pos="2880"/>
        </w:tabs>
        <w:ind w:left="2880" w:hanging="360"/>
      </w:pPr>
      <w:rPr>
        <w:rFonts w:ascii="Arial" w:hAnsi="Arial" w:hint="default"/>
      </w:rPr>
    </w:lvl>
    <w:lvl w:ilvl="4" w:tplc="0254CCB0" w:tentative="1">
      <w:start w:val="1"/>
      <w:numFmt w:val="bullet"/>
      <w:lvlText w:val="•"/>
      <w:lvlJc w:val="left"/>
      <w:pPr>
        <w:tabs>
          <w:tab w:val="num" w:pos="3600"/>
        </w:tabs>
        <w:ind w:left="3600" w:hanging="360"/>
      </w:pPr>
      <w:rPr>
        <w:rFonts w:ascii="Arial" w:hAnsi="Arial" w:hint="default"/>
      </w:rPr>
    </w:lvl>
    <w:lvl w:ilvl="5" w:tplc="15F8473A" w:tentative="1">
      <w:start w:val="1"/>
      <w:numFmt w:val="bullet"/>
      <w:lvlText w:val="•"/>
      <w:lvlJc w:val="left"/>
      <w:pPr>
        <w:tabs>
          <w:tab w:val="num" w:pos="4320"/>
        </w:tabs>
        <w:ind w:left="4320" w:hanging="360"/>
      </w:pPr>
      <w:rPr>
        <w:rFonts w:ascii="Arial" w:hAnsi="Arial" w:hint="default"/>
      </w:rPr>
    </w:lvl>
    <w:lvl w:ilvl="6" w:tplc="D89C85C4" w:tentative="1">
      <w:start w:val="1"/>
      <w:numFmt w:val="bullet"/>
      <w:lvlText w:val="•"/>
      <w:lvlJc w:val="left"/>
      <w:pPr>
        <w:tabs>
          <w:tab w:val="num" w:pos="5040"/>
        </w:tabs>
        <w:ind w:left="5040" w:hanging="360"/>
      </w:pPr>
      <w:rPr>
        <w:rFonts w:ascii="Arial" w:hAnsi="Arial" w:hint="default"/>
      </w:rPr>
    </w:lvl>
    <w:lvl w:ilvl="7" w:tplc="22D6EDE6" w:tentative="1">
      <w:start w:val="1"/>
      <w:numFmt w:val="bullet"/>
      <w:lvlText w:val="•"/>
      <w:lvlJc w:val="left"/>
      <w:pPr>
        <w:tabs>
          <w:tab w:val="num" w:pos="5760"/>
        </w:tabs>
        <w:ind w:left="5760" w:hanging="360"/>
      </w:pPr>
      <w:rPr>
        <w:rFonts w:ascii="Arial" w:hAnsi="Arial" w:hint="default"/>
      </w:rPr>
    </w:lvl>
    <w:lvl w:ilvl="8" w:tplc="314EEED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82908CB"/>
    <w:multiLevelType w:val="hybridMultilevel"/>
    <w:tmpl w:val="27E27C58"/>
    <w:lvl w:ilvl="0" w:tplc="C8366B86">
      <w:start w:val="1"/>
      <w:numFmt w:val="bullet"/>
      <w:lvlText w:val="•"/>
      <w:lvlJc w:val="left"/>
      <w:pPr>
        <w:tabs>
          <w:tab w:val="num" w:pos="720"/>
        </w:tabs>
        <w:ind w:left="720" w:hanging="360"/>
      </w:pPr>
      <w:rPr>
        <w:rFonts w:ascii="Arial" w:hAnsi="Arial" w:hint="default"/>
      </w:rPr>
    </w:lvl>
    <w:lvl w:ilvl="1" w:tplc="8AB2701C" w:tentative="1">
      <w:start w:val="1"/>
      <w:numFmt w:val="bullet"/>
      <w:lvlText w:val="•"/>
      <w:lvlJc w:val="left"/>
      <w:pPr>
        <w:tabs>
          <w:tab w:val="num" w:pos="1440"/>
        </w:tabs>
        <w:ind w:left="1440" w:hanging="360"/>
      </w:pPr>
      <w:rPr>
        <w:rFonts w:ascii="Arial" w:hAnsi="Arial" w:hint="default"/>
      </w:rPr>
    </w:lvl>
    <w:lvl w:ilvl="2" w:tplc="6CC06108" w:tentative="1">
      <w:start w:val="1"/>
      <w:numFmt w:val="bullet"/>
      <w:lvlText w:val="•"/>
      <w:lvlJc w:val="left"/>
      <w:pPr>
        <w:tabs>
          <w:tab w:val="num" w:pos="2160"/>
        </w:tabs>
        <w:ind w:left="2160" w:hanging="360"/>
      </w:pPr>
      <w:rPr>
        <w:rFonts w:ascii="Arial" w:hAnsi="Arial" w:hint="default"/>
      </w:rPr>
    </w:lvl>
    <w:lvl w:ilvl="3" w:tplc="FC3C4272" w:tentative="1">
      <w:start w:val="1"/>
      <w:numFmt w:val="bullet"/>
      <w:lvlText w:val="•"/>
      <w:lvlJc w:val="left"/>
      <w:pPr>
        <w:tabs>
          <w:tab w:val="num" w:pos="2880"/>
        </w:tabs>
        <w:ind w:left="2880" w:hanging="360"/>
      </w:pPr>
      <w:rPr>
        <w:rFonts w:ascii="Arial" w:hAnsi="Arial" w:hint="default"/>
      </w:rPr>
    </w:lvl>
    <w:lvl w:ilvl="4" w:tplc="A4B2F0C2" w:tentative="1">
      <w:start w:val="1"/>
      <w:numFmt w:val="bullet"/>
      <w:lvlText w:val="•"/>
      <w:lvlJc w:val="left"/>
      <w:pPr>
        <w:tabs>
          <w:tab w:val="num" w:pos="3600"/>
        </w:tabs>
        <w:ind w:left="3600" w:hanging="360"/>
      </w:pPr>
      <w:rPr>
        <w:rFonts w:ascii="Arial" w:hAnsi="Arial" w:hint="default"/>
      </w:rPr>
    </w:lvl>
    <w:lvl w:ilvl="5" w:tplc="CA7A2B7E" w:tentative="1">
      <w:start w:val="1"/>
      <w:numFmt w:val="bullet"/>
      <w:lvlText w:val="•"/>
      <w:lvlJc w:val="left"/>
      <w:pPr>
        <w:tabs>
          <w:tab w:val="num" w:pos="4320"/>
        </w:tabs>
        <w:ind w:left="4320" w:hanging="360"/>
      </w:pPr>
      <w:rPr>
        <w:rFonts w:ascii="Arial" w:hAnsi="Arial" w:hint="default"/>
      </w:rPr>
    </w:lvl>
    <w:lvl w:ilvl="6" w:tplc="089CC682" w:tentative="1">
      <w:start w:val="1"/>
      <w:numFmt w:val="bullet"/>
      <w:lvlText w:val="•"/>
      <w:lvlJc w:val="left"/>
      <w:pPr>
        <w:tabs>
          <w:tab w:val="num" w:pos="5040"/>
        </w:tabs>
        <w:ind w:left="5040" w:hanging="360"/>
      </w:pPr>
      <w:rPr>
        <w:rFonts w:ascii="Arial" w:hAnsi="Arial" w:hint="default"/>
      </w:rPr>
    </w:lvl>
    <w:lvl w:ilvl="7" w:tplc="1340FAA0" w:tentative="1">
      <w:start w:val="1"/>
      <w:numFmt w:val="bullet"/>
      <w:lvlText w:val="•"/>
      <w:lvlJc w:val="left"/>
      <w:pPr>
        <w:tabs>
          <w:tab w:val="num" w:pos="5760"/>
        </w:tabs>
        <w:ind w:left="5760" w:hanging="360"/>
      </w:pPr>
      <w:rPr>
        <w:rFonts w:ascii="Arial" w:hAnsi="Arial" w:hint="default"/>
      </w:rPr>
    </w:lvl>
    <w:lvl w:ilvl="8" w:tplc="68E8FA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9726127"/>
    <w:multiLevelType w:val="hybridMultilevel"/>
    <w:tmpl w:val="B04CC5E8"/>
    <w:lvl w:ilvl="0" w:tplc="EC008382">
      <w:start w:val="1"/>
      <w:numFmt w:val="bullet"/>
      <w:lvlText w:val="•"/>
      <w:lvlJc w:val="left"/>
      <w:pPr>
        <w:tabs>
          <w:tab w:val="num" w:pos="720"/>
        </w:tabs>
        <w:ind w:left="720" w:hanging="360"/>
      </w:pPr>
      <w:rPr>
        <w:rFonts w:ascii="Arial" w:hAnsi="Arial" w:hint="default"/>
      </w:rPr>
    </w:lvl>
    <w:lvl w:ilvl="1" w:tplc="8836FEB0" w:tentative="1">
      <w:start w:val="1"/>
      <w:numFmt w:val="bullet"/>
      <w:lvlText w:val="•"/>
      <w:lvlJc w:val="left"/>
      <w:pPr>
        <w:tabs>
          <w:tab w:val="num" w:pos="1440"/>
        </w:tabs>
        <w:ind w:left="1440" w:hanging="360"/>
      </w:pPr>
      <w:rPr>
        <w:rFonts w:ascii="Arial" w:hAnsi="Arial" w:hint="default"/>
      </w:rPr>
    </w:lvl>
    <w:lvl w:ilvl="2" w:tplc="29585A9C" w:tentative="1">
      <w:start w:val="1"/>
      <w:numFmt w:val="bullet"/>
      <w:lvlText w:val="•"/>
      <w:lvlJc w:val="left"/>
      <w:pPr>
        <w:tabs>
          <w:tab w:val="num" w:pos="2160"/>
        </w:tabs>
        <w:ind w:left="2160" w:hanging="360"/>
      </w:pPr>
      <w:rPr>
        <w:rFonts w:ascii="Arial" w:hAnsi="Arial" w:hint="default"/>
      </w:rPr>
    </w:lvl>
    <w:lvl w:ilvl="3" w:tplc="855EE994" w:tentative="1">
      <w:start w:val="1"/>
      <w:numFmt w:val="bullet"/>
      <w:lvlText w:val="•"/>
      <w:lvlJc w:val="left"/>
      <w:pPr>
        <w:tabs>
          <w:tab w:val="num" w:pos="2880"/>
        </w:tabs>
        <w:ind w:left="2880" w:hanging="360"/>
      </w:pPr>
      <w:rPr>
        <w:rFonts w:ascii="Arial" w:hAnsi="Arial" w:hint="default"/>
      </w:rPr>
    </w:lvl>
    <w:lvl w:ilvl="4" w:tplc="78303034" w:tentative="1">
      <w:start w:val="1"/>
      <w:numFmt w:val="bullet"/>
      <w:lvlText w:val="•"/>
      <w:lvlJc w:val="left"/>
      <w:pPr>
        <w:tabs>
          <w:tab w:val="num" w:pos="3600"/>
        </w:tabs>
        <w:ind w:left="3600" w:hanging="360"/>
      </w:pPr>
      <w:rPr>
        <w:rFonts w:ascii="Arial" w:hAnsi="Arial" w:hint="default"/>
      </w:rPr>
    </w:lvl>
    <w:lvl w:ilvl="5" w:tplc="B8D40E58" w:tentative="1">
      <w:start w:val="1"/>
      <w:numFmt w:val="bullet"/>
      <w:lvlText w:val="•"/>
      <w:lvlJc w:val="left"/>
      <w:pPr>
        <w:tabs>
          <w:tab w:val="num" w:pos="4320"/>
        </w:tabs>
        <w:ind w:left="4320" w:hanging="360"/>
      </w:pPr>
      <w:rPr>
        <w:rFonts w:ascii="Arial" w:hAnsi="Arial" w:hint="default"/>
      </w:rPr>
    </w:lvl>
    <w:lvl w:ilvl="6" w:tplc="991C4550" w:tentative="1">
      <w:start w:val="1"/>
      <w:numFmt w:val="bullet"/>
      <w:lvlText w:val="•"/>
      <w:lvlJc w:val="left"/>
      <w:pPr>
        <w:tabs>
          <w:tab w:val="num" w:pos="5040"/>
        </w:tabs>
        <w:ind w:left="5040" w:hanging="360"/>
      </w:pPr>
      <w:rPr>
        <w:rFonts w:ascii="Arial" w:hAnsi="Arial" w:hint="default"/>
      </w:rPr>
    </w:lvl>
    <w:lvl w:ilvl="7" w:tplc="84CE6948" w:tentative="1">
      <w:start w:val="1"/>
      <w:numFmt w:val="bullet"/>
      <w:lvlText w:val="•"/>
      <w:lvlJc w:val="left"/>
      <w:pPr>
        <w:tabs>
          <w:tab w:val="num" w:pos="5760"/>
        </w:tabs>
        <w:ind w:left="5760" w:hanging="360"/>
      </w:pPr>
      <w:rPr>
        <w:rFonts w:ascii="Arial" w:hAnsi="Arial" w:hint="default"/>
      </w:rPr>
    </w:lvl>
    <w:lvl w:ilvl="8" w:tplc="59D4864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C1F01E8"/>
    <w:multiLevelType w:val="hybridMultilevel"/>
    <w:tmpl w:val="B8B822D2"/>
    <w:lvl w:ilvl="0" w:tplc="25988924">
      <w:start w:val="1"/>
      <w:numFmt w:val="bullet"/>
      <w:lvlText w:val="•"/>
      <w:lvlJc w:val="left"/>
      <w:pPr>
        <w:tabs>
          <w:tab w:val="num" w:pos="720"/>
        </w:tabs>
        <w:ind w:left="720" w:hanging="360"/>
      </w:pPr>
      <w:rPr>
        <w:rFonts w:ascii="Arial" w:hAnsi="Arial" w:hint="default"/>
      </w:rPr>
    </w:lvl>
    <w:lvl w:ilvl="1" w:tplc="98DE08BA" w:tentative="1">
      <w:start w:val="1"/>
      <w:numFmt w:val="bullet"/>
      <w:lvlText w:val="•"/>
      <w:lvlJc w:val="left"/>
      <w:pPr>
        <w:tabs>
          <w:tab w:val="num" w:pos="1440"/>
        </w:tabs>
        <w:ind w:left="1440" w:hanging="360"/>
      </w:pPr>
      <w:rPr>
        <w:rFonts w:ascii="Arial" w:hAnsi="Arial" w:hint="default"/>
      </w:rPr>
    </w:lvl>
    <w:lvl w:ilvl="2" w:tplc="05DC36A8" w:tentative="1">
      <w:start w:val="1"/>
      <w:numFmt w:val="bullet"/>
      <w:lvlText w:val="•"/>
      <w:lvlJc w:val="left"/>
      <w:pPr>
        <w:tabs>
          <w:tab w:val="num" w:pos="2160"/>
        </w:tabs>
        <w:ind w:left="2160" w:hanging="360"/>
      </w:pPr>
      <w:rPr>
        <w:rFonts w:ascii="Arial" w:hAnsi="Arial" w:hint="default"/>
      </w:rPr>
    </w:lvl>
    <w:lvl w:ilvl="3" w:tplc="28E411A6" w:tentative="1">
      <w:start w:val="1"/>
      <w:numFmt w:val="bullet"/>
      <w:lvlText w:val="•"/>
      <w:lvlJc w:val="left"/>
      <w:pPr>
        <w:tabs>
          <w:tab w:val="num" w:pos="2880"/>
        </w:tabs>
        <w:ind w:left="2880" w:hanging="360"/>
      </w:pPr>
      <w:rPr>
        <w:rFonts w:ascii="Arial" w:hAnsi="Arial" w:hint="default"/>
      </w:rPr>
    </w:lvl>
    <w:lvl w:ilvl="4" w:tplc="8C04FF4E" w:tentative="1">
      <w:start w:val="1"/>
      <w:numFmt w:val="bullet"/>
      <w:lvlText w:val="•"/>
      <w:lvlJc w:val="left"/>
      <w:pPr>
        <w:tabs>
          <w:tab w:val="num" w:pos="3600"/>
        </w:tabs>
        <w:ind w:left="3600" w:hanging="360"/>
      </w:pPr>
      <w:rPr>
        <w:rFonts w:ascii="Arial" w:hAnsi="Arial" w:hint="default"/>
      </w:rPr>
    </w:lvl>
    <w:lvl w:ilvl="5" w:tplc="1F4AA8B0" w:tentative="1">
      <w:start w:val="1"/>
      <w:numFmt w:val="bullet"/>
      <w:lvlText w:val="•"/>
      <w:lvlJc w:val="left"/>
      <w:pPr>
        <w:tabs>
          <w:tab w:val="num" w:pos="4320"/>
        </w:tabs>
        <w:ind w:left="4320" w:hanging="360"/>
      </w:pPr>
      <w:rPr>
        <w:rFonts w:ascii="Arial" w:hAnsi="Arial" w:hint="default"/>
      </w:rPr>
    </w:lvl>
    <w:lvl w:ilvl="6" w:tplc="F3A48AA6" w:tentative="1">
      <w:start w:val="1"/>
      <w:numFmt w:val="bullet"/>
      <w:lvlText w:val="•"/>
      <w:lvlJc w:val="left"/>
      <w:pPr>
        <w:tabs>
          <w:tab w:val="num" w:pos="5040"/>
        </w:tabs>
        <w:ind w:left="5040" w:hanging="360"/>
      </w:pPr>
      <w:rPr>
        <w:rFonts w:ascii="Arial" w:hAnsi="Arial" w:hint="default"/>
      </w:rPr>
    </w:lvl>
    <w:lvl w:ilvl="7" w:tplc="995283AC" w:tentative="1">
      <w:start w:val="1"/>
      <w:numFmt w:val="bullet"/>
      <w:lvlText w:val="•"/>
      <w:lvlJc w:val="left"/>
      <w:pPr>
        <w:tabs>
          <w:tab w:val="num" w:pos="5760"/>
        </w:tabs>
        <w:ind w:left="5760" w:hanging="360"/>
      </w:pPr>
      <w:rPr>
        <w:rFonts w:ascii="Arial" w:hAnsi="Arial" w:hint="default"/>
      </w:rPr>
    </w:lvl>
    <w:lvl w:ilvl="8" w:tplc="D8889B6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02B5742"/>
    <w:multiLevelType w:val="hybridMultilevel"/>
    <w:tmpl w:val="A2F4F838"/>
    <w:lvl w:ilvl="0" w:tplc="139A6756">
      <w:start w:val="1"/>
      <w:numFmt w:val="bullet"/>
      <w:lvlText w:val="•"/>
      <w:lvlJc w:val="left"/>
      <w:pPr>
        <w:tabs>
          <w:tab w:val="num" w:pos="720"/>
        </w:tabs>
        <w:ind w:left="720" w:hanging="360"/>
      </w:pPr>
      <w:rPr>
        <w:rFonts w:ascii="Arial" w:hAnsi="Arial" w:hint="default"/>
      </w:rPr>
    </w:lvl>
    <w:lvl w:ilvl="1" w:tplc="C0DA05D0" w:tentative="1">
      <w:start w:val="1"/>
      <w:numFmt w:val="bullet"/>
      <w:lvlText w:val="•"/>
      <w:lvlJc w:val="left"/>
      <w:pPr>
        <w:tabs>
          <w:tab w:val="num" w:pos="1440"/>
        </w:tabs>
        <w:ind w:left="1440" w:hanging="360"/>
      </w:pPr>
      <w:rPr>
        <w:rFonts w:ascii="Arial" w:hAnsi="Arial" w:hint="default"/>
      </w:rPr>
    </w:lvl>
    <w:lvl w:ilvl="2" w:tplc="3DA2C944" w:tentative="1">
      <w:start w:val="1"/>
      <w:numFmt w:val="bullet"/>
      <w:lvlText w:val="•"/>
      <w:lvlJc w:val="left"/>
      <w:pPr>
        <w:tabs>
          <w:tab w:val="num" w:pos="2160"/>
        </w:tabs>
        <w:ind w:left="2160" w:hanging="360"/>
      </w:pPr>
      <w:rPr>
        <w:rFonts w:ascii="Arial" w:hAnsi="Arial" w:hint="default"/>
      </w:rPr>
    </w:lvl>
    <w:lvl w:ilvl="3" w:tplc="B08A2D0A" w:tentative="1">
      <w:start w:val="1"/>
      <w:numFmt w:val="bullet"/>
      <w:lvlText w:val="•"/>
      <w:lvlJc w:val="left"/>
      <w:pPr>
        <w:tabs>
          <w:tab w:val="num" w:pos="2880"/>
        </w:tabs>
        <w:ind w:left="2880" w:hanging="360"/>
      </w:pPr>
      <w:rPr>
        <w:rFonts w:ascii="Arial" w:hAnsi="Arial" w:hint="default"/>
      </w:rPr>
    </w:lvl>
    <w:lvl w:ilvl="4" w:tplc="5FEC521C" w:tentative="1">
      <w:start w:val="1"/>
      <w:numFmt w:val="bullet"/>
      <w:lvlText w:val="•"/>
      <w:lvlJc w:val="left"/>
      <w:pPr>
        <w:tabs>
          <w:tab w:val="num" w:pos="3600"/>
        </w:tabs>
        <w:ind w:left="3600" w:hanging="360"/>
      </w:pPr>
      <w:rPr>
        <w:rFonts w:ascii="Arial" w:hAnsi="Arial" w:hint="default"/>
      </w:rPr>
    </w:lvl>
    <w:lvl w:ilvl="5" w:tplc="9118ED38" w:tentative="1">
      <w:start w:val="1"/>
      <w:numFmt w:val="bullet"/>
      <w:lvlText w:val="•"/>
      <w:lvlJc w:val="left"/>
      <w:pPr>
        <w:tabs>
          <w:tab w:val="num" w:pos="4320"/>
        </w:tabs>
        <w:ind w:left="4320" w:hanging="360"/>
      </w:pPr>
      <w:rPr>
        <w:rFonts w:ascii="Arial" w:hAnsi="Arial" w:hint="default"/>
      </w:rPr>
    </w:lvl>
    <w:lvl w:ilvl="6" w:tplc="45B8F6BC" w:tentative="1">
      <w:start w:val="1"/>
      <w:numFmt w:val="bullet"/>
      <w:lvlText w:val="•"/>
      <w:lvlJc w:val="left"/>
      <w:pPr>
        <w:tabs>
          <w:tab w:val="num" w:pos="5040"/>
        </w:tabs>
        <w:ind w:left="5040" w:hanging="360"/>
      </w:pPr>
      <w:rPr>
        <w:rFonts w:ascii="Arial" w:hAnsi="Arial" w:hint="default"/>
      </w:rPr>
    </w:lvl>
    <w:lvl w:ilvl="7" w:tplc="190423F8" w:tentative="1">
      <w:start w:val="1"/>
      <w:numFmt w:val="bullet"/>
      <w:lvlText w:val="•"/>
      <w:lvlJc w:val="left"/>
      <w:pPr>
        <w:tabs>
          <w:tab w:val="num" w:pos="5760"/>
        </w:tabs>
        <w:ind w:left="5760" w:hanging="360"/>
      </w:pPr>
      <w:rPr>
        <w:rFonts w:ascii="Arial" w:hAnsi="Arial" w:hint="default"/>
      </w:rPr>
    </w:lvl>
    <w:lvl w:ilvl="8" w:tplc="31D083D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E79173F"/>
    <w:multiLevelType w:val="hybridMultilevel"/>
    <w:tmpl w:val="E8DCFDD6"/>
    <w:lvl w:ilvl="0" w:tplc="84D450A4">
      <w:start w:val="1"/>
      <w:numFmt w:val="bullet"/>
      <w:lvlText w:val="•"/>
      <w:lvlJc w:val="left"/>
      <w:pPr>
        <w:tabs>
          <w:tab w:val="num" w:pos="720"/>
        </w:tabs>
        <w:ind w:left="720" w:hanging="360"/>
      </w:pPr>
      <w:rPr>
        <w:rFonts w:ascii="Arial" w:hAnsi="Arial" w:hint="default"/>
      </w:rPr>
    </w:lvl>
    <w:lvl w:ilvl="1" w:tplc="10E23290" w:tentative="1">
      <w:start w:val="1"/>
      <w:numFmt w:val="bullet"/>
      <w:lvlText w:val="•"/>
      <w:lvlJc w:val="left"/>
      <w:pPr>
        <w:tabs>
          <w:tab w:val="num" w:pos="1440"/>
        </w:tabs>
        <w:ind w:left="1440" w:hanging="360"/>
      </w:pPr>
      <w:rPr>
        <w:rFonts w:ascii="Arial" w:hAnsi="Arial" w:hint="default"/>
      </w:rPr>
    </w:lvl>
    <w:lvl w:ilvl="2" w:tplc="35067DFE" w:tentative="1">
      <w:start w:val="1"/>
      <w:numFmt w:val="bullet"/>
      <w:lvlText w:val="•"/>
      <w:lvlJc w:val="left"/>
      <w:pPr>
        <w:tabs>
          <w:tab w:val="num" w:pos="2160"/>
        </w:tabs>
        <w:ind w:left="2160" w:hanging="360"/>
      </w:pPr>
      <w:rPr>
        <w:rFonts w:ascii="Arial" w:hAnsi="Arial" w:hint="default"/>
      </w:rPr>
    </w:lvl>
    <w:lvl w:ilvl="3" w:tplc="D750D242" w:tentative="1">
      <w:start w:val="1"/>
      <w:numFmt w:val="bullet"/>
      <w:lvlText w:val="•"/>
      <w:lvlJc w:val="left"/>
      <w:pPr>
        <w:tabs>
          <w:tab w:val="num" w:pos="2880"/>
        </w:tabs>
        <w:ind w:left="2880" w:hanging="360"/>
      </w:pPr>
      <w:rPr>
        <w:rFonts w:ascii="Arial" w:hAnsi="Arial" w:hint="default"/>
      </w:rPr>
    </w:lvl>
    <w:lvl w:ilvl="4" w:tplc="E8A8F7FC" w:tentative="1">
      <w:start w:val="1"/>
      <w:numFmt w:val="bullet"/>
      <w:lvlText w:val="•"/>
      <w:lvlJc w:val="left"/>
      <w:pPr>
        <w:tabs>
          <w:tab w:val="num" w:pos="3600"/>
        </w:tabs>
        <w:ind w:left="3600" w:hanging="360"/>
      </w:pPr>
      <w:rPr>
        <w:rFonts w:ascii="Arial" w:hAnsi="Arial" w:hint="default"/>
      </w:rPr>
    </w:lvl>
    <w:lvl w:ilvl="5" w:tplc="3A66C03C" w:tentative="1">
      <w:start w:val="1"/>
      <w:numFmt w:val="bullet"/>
      <w:lvlText w:val="•"/>
      <w:lvlJc w:val="left"/>
      <w:pPr>
        <w:tabs>
          <w:tab w:val="num" w:pos="4320"/>
        </w:tabs>
        <w:ind w:left="4320" w:hanging="360"/>
      </w:pPr>
      <w:rPr>
        <w:rFonts w:ascii="Arial" w:hAnsi="Arial" w:hint="default"/>
      </w:rPr>
    </w:lvl>
    <w:lvl w:ilvl="6" w:tplc="41B41A58" w:tentative="1">
      <w:start w:val="1"/>
      <w:numFmt w:val="bullet"/>
      <w:lvlText w:val="•"/>
      <w:lvlJc w:val="left"/>
      <w:pPr>
        <w:tabs>
          <w:tab w:val="num" w:pos="5040"/>
        </w:tabs>
        <w:ind w:left="5040" w:hanging="360"/>
      </w:pPr>
      <w:rPr>
        <w:rFonts w:ascii="Arial" w:hAnsi="Arial" w:hint="default"/>
      </w:rPr>
    </w:lvl>
    <w:lvl w:ilvl="7" w:tplc="EF04068A" w:tentative="1">
      <w:start w:val="1"/>
      <w:numFmt w:val="bullet"/>
      <w:lvlText w:val="•"/>
      <w:lvlJc w:val="left"/>
      <w:pPr>
        <w:tabs>
          <w:tab w:val="num" w:pos="5760"/>
        </w:tabs>
        <w:ind w:left="5760" w:hanging="360"/>
      </w:pPr>
      <w:rPr>
        <w:rFonts w:ascii="Arial" w:hAnsi="Arial" w:hint="default"/>
      </w:rPr>
    </w:lvl>
    <w:lvl w:ilvl="8" w:tplc="37DA276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B697C23"/>
    <w:multiLevelType w:val="multilevel"/>
    <w:tmpl w:val="4580A93E"/>
    <w:lvl w:ilvl="0">
      <w:start w:val="10"/>
      <w:numFmt w:val="decimal"/>
      <w:lvlText w:val="%1"/>
      <w:lvlJc w:val="left"/>
      <w:pPr>
        <w:ind w:left="672" w:hanging="672"/>
      </w:pPr>
      <w:rPr>
        <w:rFonts w:hint="default"/>
        <w:b/>
      </w:rPr>
    </w:lvl>
    <w:lvl w:ilvl="1">
      <w:start w:val="1"/>
      <w:numFmt w:val="decimal"/>
      <w:lvlText w:val="%1.%2"/>
      <w:lvlJc w:val="left"/>
      <w:pPr>
        <w:ind w:left="840" w:hanging="672"/>
      </w:pPr>
      <w:rPr>
        <w:rFonts w:hint="default"/>
        <w:b/>
      </w:rPr>
    </w:lvl>
    <w:lvl w:ilvl="2">
      <w:start w:val="1"/>
      <w:numFmt w:val="decimal"/>
      <w:lvlText w:val="%1.%2.%3"/>
      <w:lvlJc w:val="left"/>
      <w:pPr>
        <w:ind w:left="1056" w:hanging="720"/>
      </w:pPr>
      <w:rPr>
        <w:rFonts w:hint="default"/>
        <w:b/>
      </w:rPr>
    </w:lvl>
    <w:lvl w:ilvl="3">
      <w:start w:val="1"/>
      <w:numFmt w:val="decimal"/>
      <w:lvlText w:val="%1.%2.%3.%4"/>
      <w:lvlJc w:val="left"/>
      <w:pPr>
        <w:ind w:left="1584" w:hanging="1080"/>
      </w:pPr>
      <w:rPr>
        <w:rFonts w:hint="default"/>
        <w:b/>
      </w:rPr>
    </w:lvl>
    <w:lvl w:ilvl="4">
      <w:start w:val="1"/>
      <w:numFmt w:val="decimal"/>
      <w:lvlText w:val="%1.%2.%3.%4.%5"/>
      <w:lvlJc w:val="left"/>
      <w:pPr>
        <w:ind w:left="1752" w:hanging="1080"/>
      </w:pPr>
      <w:rPr>
        <w:rFonts w:hint="default"/>
        <w:b/>
      </w:rPr>
    </w:lvl>
    <w:lvl w:ilvl="5">
      <w:start w:val="1"/>
      <w:numFmt w:val="decimal"/>
      <w:lvlText w:val="%1.%2.%3.%4.%5.%6"/>
      <w:lvlJc w:val="left"/>
      <w:pPr>
        <w:ind w:left="2280" w:hanging="1440"/>
      </w:pPr>
      <w:rPr>
        <w:rFonts w:hint="default"/>
        <w:b/>
      </w:rPr>
    </w:lvl>
    <w:lvl w:ilvl="6">
      <w:start w:val="1"/>
      <w:numFmt w:val="decimal"/>
      <w:lvlText w:val="%1.%2.%3.%4.%5.%6.%7"/>
      <w:lvlJc w:val="left"/>
      <w:pPr>
        <w:ind w:left="2448" w:hanging="1440"/>
      </w:pPr>
      <w:rPr>
        <w:rFonts w:hint="default"/>
        <w:b/>
      </w:rPr>
    </w:lvl>
    <w:lvl w:ilvl="7">
      <w:start w:val="1"/>
      <w:numFmt w:val="decimal"/>
      <w:lvlText w:val="%1.%2.%3.%4.%5.%6.%7.%8"/>
      <w:lvlJc w:val="left"/>
      <w:pPr>
        <w:ind w:left="2976" w:hanging="1800"/>
      </w:pPr>
      <w:rPr>
        <w:rFonts w:hint="default"/>
        <w:b/>
      </w:rPr>
    </w:lvl>
    <w:lvl w:ilvl="8">
      <w:start w:val="1"/>
      <w:numFmt w:val="decimal"/>
      <w:lvlText w:val="%1.%2.%3.%4.%5.%6.%7.%8.%9"/>
      <w:lvlJc w:val="left"/>
      <w:pPr>
        <w:ind w:left="3144" w:hanging="1800"/>
      </w:pPr>
      <w:rPr>
        <w:rFonts w:hint="default"/>
        <w:b/>
      </w:rPr>
    </w:lvl>
  </w:abstractNum>
  <w:abstractNum w:abstractNumId="16" w15:restartNumberingAfterBreak="0">
    <w:nsid w:val="745C4E31"/>
    <w:multiLevelType w:val="hybridMultilevel"/>
    <w:tmpl w:val="C8C6E4E6"/>
    <w:lvl w:ilvl="0" w:tplc="F6DA8FD6">
      <w:start w:val="1"/>
      <w:numFmt w:val="bullet"/>
      <w:lvlText w:val="•"/>
      <w:lvlJc w:val="left"/>
      <w:pPr>
        <w:tabs>
          <w:tab w:val="num" w:pos="720"/>
        </w:tabs>
        <w:ind w:left="720" w:hanging="360"/>
      </w:pPr>
      <w:rPr>
        <w:rFonts w:ascii="Arial" w:hAnsi="Arial" w:hint="default"/>
      </w:rPr>
    </w:lvl>
    <w:lvl w:ilvl="1" w:tplc="A5E81EB4" w:tentative="1">
      <w:start w:val="1"/>
      <w:numFmt w:val="bullet"/>
      <w:lvlText w:val="•"/>
      <w:lvlJc w:val="left"/>
      <w:pPr>
        <w:tabs>
          <w:tab w:val="num" w:pos="1440"/>
        </w:tabs>
        <w:ind w:left="1440" w:hanging="360"/>
      </w:pPr>
      <w:rPr>
        <w:rFonts w:ascii="Arial" w:hAnsi="Arial" w:hint="default"/>
      </w:rPr>
    </w:lvl>
    <w:lvl w:ilvl="2" w:tplc="48C66B88" w:tentative="1">
      <w:start w:val="1"/>
      <w:numFmt w:val="bullet"/>
      <w:lvlText w:val="•"/>
      <w:lvlJc w:val="left"/>
      <w:pPr>
        <w:tabs>
          <w:tab w:val="num" w:pos="2160"/>
        </w:tabs>
        <w:ind w:left="2160" w:hanging="360"/>
      </w:pPr>
      <w:rPr>
        <w:rFonts w:ascii="Arial" w:hAnsi="Arial" w:hint="default"/>
      </w:rPr>
    </w:lvl>
    <w:lvl w:ilvl="3" w:tplc="C22A50D8" w:tentative="1">
      <w:start w:val="1"/>
      <w:numFmt w:val="bullet"/>
      <w:lvlText w:val="•"/>
      <w:lvlJc w:val="left"/>
      <w:pPr>
        <w:tabs>
          <w:tab w:val="num" w:pos="2880"/>
        </w:tabs>
        <w:ind w:left="2880" w:hanging="360"/>
      </w:pPr>
      <w:rPr>
        <w:rFonts w:ascii="Arial" w:hAnsi="Arial" w:hint="default"/>
      </w:rPr>
    </w:lvl>
    <w:lvl w:ilvl="4" w:tplc="E9B201E6" w:tentative="1">
      <w:start w:val="1"/>
      <w:numFmt w:val="bullet"/>
      <w:lvlText w:val="•"/>
      <w:lvlJc w:val="left"/>
      <w:pPr>
        <w:tabs>
          <w:tab w:val="num" w:pos="3600"/>
        </w:tabs>
        <w:ind w:left="3600" w:hanging="360"/>
      </w:pPr>
      <w:rPr>
        <w:rFonts w:ascii="Arial" w:hAnsi="Arial" w:hint="default"/>
      </w:rPr>
    </w:lvl>
    <w:lvl w:ilvl="5" w:tplc="44DE772E" w:tentative="1">
      <w:start w:val="1"/>
      <w:numFmt w:val="bullet"/>
      <w:lvlText w:val="•"/>
      <w:lvlJc w:val="left"/>
      <w:pPr>
        <w:tabs>
          <w:tab w:val="num" w:pos="4320"/>
        </w:tabs>
        <w:ind w:left="4320" w:hanging="360"/>
      </w:pPr>
      <w:rPr>
        <w:rFonts w:ascii="Arial" w:hAnsi="Arial" w:hint="default"/>
      </w:rPr>
    </w:lvl>
    <w:lvl w:ilvl="6" w:tplc="8342DBDE" w:tentative="1">
      <w:start w:val="1"/>
      <w:numFmt w:val="bullet"/>
      <w:lvlText w:val="•"/>
      <w:lvlJc w:val="left"/>
      <w:pPr>
        <w:tabs>
          <w:tab w:val="num" w:pos="5040"/>
        </w:tabs>
        <w:ind w:left="5040" w:hanging="360"/>
      </w:pPr>
      <w:rPr>
        <w:rFonts w:ascii="Arial" w:hAnsi="Arial" w:hint="default"/>
      </w:rPr>
    </w:lvl>
    <w:lvl w:ilvl="7" w:tplc="8458C994" w:tentative="1">
      <w:start w:val="1"/>
      <w:numFmt w:val="bullet"/>
      <w:lvlText w:val="•"/>
      <w:lvlJc w:val="left"/>
      <w:pPr>
        <w:tabs>
          <w:tab w:val="num" w:pos="5760"/>
        </w:tabs>
        <w:ind w:left="5760" w:hanging="360"/>
      </w:pPr>
      <w:rPr>
        <w:rFonts w:ascii="Arial" w:hAnsi="Arial" w:hint="default"/>
      </w:rPr>
    </w:lvl>
    <w:lvl w:ilvl="8" w:tplc="F1E232E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4C7584B"/>
    <w:multiLevelType w:val="hybridMultilevel"/>
    <w:tmpl w:val="D9400272"/>
    <w:lvl w:ilvl="0" w:tplc="1B48F61A">
      <w:start w:val="1"/>
      <w:numFmt w:val="bullet"/>
      <w:lvlText w:val="•"/>
      <w:lvlJc w:val="left"/>
      <w:pPr>
        <w:tabs>
          <w:tab w:val="num" w:pos="720"/>
        </w:tabs>
        <w:ind w:left="720" w:hanging="360"/>
      </w:pPr>
      <w:rPr>
        <w:rFonts w:ascii="Arial" w:hAnsi="Arial" w:hint="default"/>
      </w:rPr>
    </w:lvl>
    <w:lvl w:ilvl="1" w:tplc="CF28EAAC" w:tentative="1">
      <w:start w:val="1"/>
      <w:numFmt w:val="bullet"/>
      <w:lvlText w:val="•"/>
      <w:lvlJc w:val="left"/>
      <w:pPr>
        <w:tabs>
          <w:tab w:val="num" w:pos="1440"/>
        </w:tabs>
        <w:ind w:left="1440" w:hanging="360"/>
      </w:pPr>
      <w:rPr>
        <w:rFonts w:ascii="Arial" w:hAnsi="Arial" w:hint="default"/>
      </w:rPr>
    </w:lvl>
    <w:lvl w:ilvl="2" w:tplc="601C98C8" w:tentative="1">
      <w:start w:val="1"/>
      <w:numFmt w:val="bullet"/>
      <w:lvlText w:val="•"/>
      <w:lvlJc w:val="left"/>
      <w:pPr>
        <w:tabs>
          <w:tab w:val="num" w:pos="2160"/>
        </w:tabs>
        <w:ind w:left="2160" w:hanging="360"/>
      </w:pPr>
      <w:rPr>
        <w:rFonts w:ascii="Arial" w:hAnsi="Arial" w:hint="default"/>
      </w:rPr>
    </w:lvl>
    <w:lvl w:ilvl="3" w:tplc="DFC04C48" w:tentative="1">
      <w:start w:val="1"/>
      <w:numFmt w:val="bullet"/>
      <w:lvlText w:val="•"/>
      <w:lvlJc w:val="left"/>
      <w:pPr>
        <w:tabs>
          <w:tab w:val="num" w:pos="2880"/>
        </w:tabs>
        <w:ind w:left="2880" w:hanging="360"/>
      </w:pPr>
      <w:rPr>
        <w:rFonts w:ascii="Arial" w:hAnsi="Arial" w:hint="default"/>
      </w:rPr>
    </w:lvl>
    <w:lvl w:ilvl="4" w:tplc="C31CBDD0" w:tentative="1">
      <w:start w:val="1"/>
      <w:numFmt w:val="bullet"/>
      <w:lvlText w:val="•"/>
      <w:lvlJc w:val="left"/>
      <w:pPr>
        <w:tabs>
          <w:tab w:val="num" w:pos="3600"/>
        </w:tabs>
        <w:ind w:left="3600" w:hanging="360"/>
      </w:pPr>
      <w:rPr>
        <w:rFonts w:ascii="Arial" w:hAnsi="Arial" w:hint="default"/>
      </w:rPr>
    </w:lvl>
    <w:lvl w:ilvl="5" w:tplc="623C201E" w:tentative="1">
      <w:start w:val="1"/>
      <w:numFmt w:val="bullet"/>
      <w:lvlText w:val="•"/>
      <w:lvlJc w:val="left"/>
      <w:pPr>
        <w:tabs>
          <w:tab w:val="num" w:pos="4320"/>
        </w:tabs>
        <w:ind w:left="4320" w:hanging="360"/>
      </w:pPr>
      <w:rPr>
        <w:rFonts w:ascii="Arial" w:hAnsi="Arial" w:hint="default"/>
      </w:rPr>
    </w:lvl>
    <w:lvl w:ilvl="6" w:tplc="81A07580" w:tentative="1">
      <w:start w:val="1"/>
      <w:numFmt w:val="bullet"/>
      <w:lvlText w:val="•"/>
      <w:lvlJc w:val="left"/>
      <w:pPr>
        <w:tabs>
          <w:tab w:val="num" w:pos="5040"/>
        </w:tabs>
        <w:ind w:left="5040" w:hanging="360"/>
      </w:pPr>
      <w:rPr>
        <w:rFonts w:ascii="Arial" w:hAnsi="Arial" w:hint="default"/>
      </w:rPr>
    </w:lvl>
    <w:lvl w:ilvl="7" w:tplc="16145CA0" w:tentative="1">
      <w:start w:val="1"/>
      <w:numFmt w:val="bullet"/>
      <w:lvlText w:val="•"/>
      <w:lvlJc w:val="left"/>
      <w:pPr>
        <w:tabs>
          <w:tab w:val="num" w:pos="5760"/>
        </w:tabs>
        <w:ind w:left="5760" w:hanging="360"/>
      </w:pPr>
      <w:rPr>
        <w:rFonts w:ascii="Arial" w:hAnsi="Arial" w:hint="default"/>
      </w:rPr>
    </w:lvl>
    <w:lvl w:ilvl="8" w:tplc="E004B46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CEB1504"/>
    <w:multiLevelType w:val="multilevel"/>
    <w:tmpl w:val="D64CD4A8"/>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49560565">
    <w:abstractNumId w:val="17"/>
  </w:num>
  <w:num w:numId="2" w16cid:durableId="351806194">
    <w:abstractNumId w:val="7"/>
  </w:num>
  <w:num w:numId="3" w16cid:durableId="65929513">
    <w:abstractNumId w:val="9"/>
  </w:num>
  <w:num w:numId="4" w16cid:durableId="948582634">
    <w:abstractNumId w:val="14"/>
  </w:num>
  <w:num w:numId="5" w16cid:durableId="1562793528">
    <w:abstractNumId w:val="16"/>
  </w:num>
  <w:num w:numId="6" w16cid:durableId="384912282">
    <w:abstractNumId w:val="2"/>
  </w:num>
  <w:num w:numId="7" w16cid:durableId="479226733">
    <w:abstractNumId w:val="12"/>
  </w:num>
  <w:num w:numId="8" w16cid:durableId="719941230">
    <w:abstractNumId w:val="15"/>
  </w:num>
  <w:num w:numId="9" w16cid:durableId="1453476962">
    <w:abstractNumId w:val="5"/>
  </w:num>
  <w:num w:numId="10" w16cid:durableId="1342243999">
    <w:abstractNumId w:val="10"/>
  </w:num>
  <w:num w:numId="11" w16cid:durableId="1775709606">
    <w:abstractNumId w:val="3"/>
  </w:num>
  <w:num w:numId="12" w16cid:durableId="1491944812">
    <w:abstractNumId w:val="11"/>
  </w:num>
  <w:num w:numId="13" w16cid:durableId="950086240">
    <w:abstractNumId w:val="8"/>
  </w:num>
  <w:num w:numId="14" w16cid:durableId="502403931">
    <w:abstractNumId w:val="4"/>
  </w:num>
  <w:num w:numId="15" w16cid:durableId="1548569846">
    <w:abstractNumId w:val="18"/>
  </w:num>
  <w:num w:numId="16" w16cid:durableId="1133055589">
    <w:abstractNumId w:val="13"/>
  </w:num>
  <w:num w:numId="17" w16cid:durableId="1199926929">
    <w:abstractNumId w:val="0"/>
  </w:num>
  <w:num w:numId="18" w16cid:durableId="1282883691">
    <w:abstractNumId w:val="6"/>
  </w:num>
  <w:num w:numId="19" w16cid:durableId="1548880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027"/>
    <w:rsid w:val="00361027"/>
    <w:rsid w:val="0080215D"/>
    <w:rsid w:val="00A74522"/>
    <w:rsid w:val="00BF5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FE95"/>
  <w15:chartTrackingRefBased/>
  <w15:docId w15:val="{B52AC0F1-724D-49F6-87CE-5B51E6432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027"/>
    <w:rPr>
      <w:rFonts w:eastAsiaTheme="majorEastAsia" w:cstheme="majorBidi"/>
      <w:color w:val="272727" w:themeColor="text1" w:themeTint="D8"/>
    </w:rPr>
  </w:style>
  <w:style w:type="paragraph" w:styleId="Title">
    <w:name w:val="Title"/>
    <w:basedOn w:val="Normal"/>
    <w:next w:val="Normal"/>
    <w:link w:val="TitleChar"/>
    <w:uiPriority w:val="10"/>
    <w:qFormat/>
    <w:rsid w:val="00361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027"/>
    <w:pPr>
      <w:spacing w:before="160"/>
      <w:jc w:val="center"/>
    </w:pPr>
    <w:rPr>
      <w:i/>
      <w:iCs/>
      <w:color w:val="404040" w:themeColor="text1" w:themeTint="BF"/>
    </w:rPr>
  </w:style>
  <w:style w:type="character" w:customStyle="1" w:styleId="QuoteChar">
    <w:name w:val="Quote Char"/>
    <w:basedOn w:val="DefaultParagraphFont"/>
    <w:link w:val="Quote"/>
    <w:uiPriority w:val="29"/>
    <w:rsid w:val="00361027"/>
    <w:rPr>
      <w:i/>
      <w:iCs/>
      <w:color w:val="404040" w:themeColor="text1" w:themeTint="BF"/>
    </w:rPr>
  </w:style>
  <w:style w:type="paragraph" w:styleId="ListParagraph">
    <w:name w:val="List Paragraph"/>
    <w:basedOn w:val="Normal"/>
    <w:uiPriority w:val="34"/>
    <w:qFormat/>
    <w:rsid w:val="00361027"/>
    <w:pPr>
      <w:ind w:left="720"/>
      <w:contextualSpacing/>
    </w:pPr>
  </w:style>
  <w:style w:type="character" w:styleId="IntenseEmphasis">
    <w:name w:val="Intense Emphasis"/>
    <w:basedOn w:val="DefaultParagraphFont"/>
    <w:uiPriority w:val="21"/>
    <w:qFormat/>
    <w:rsid w:val="00361027"/>
    <w:rPr>
      <w:i/>
      <w:iCs/>
      <w:color w:val="0F4761" w:themeColor="accent1" w:themeShade="BF"/>
    </w:rPr>
  </w:style>
  <w:style w:type="paragraph" w:styleId="IntenseQuote">
    <w:name w:val="Intense Quote"/>
    <w:basedOn w:val="Normal"/>
    <w:next w:val="Normal"/>
    <w:link w:val="IntenseQuoteChar"/>
    <w:uiPriority w:val="30"/>
    <w:qFormat/>
    <w:rsid w:val="00361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027"/>
    <w:rPr>
      <w:i/>
      <w:iCs/>
      <w:color w:val="0F4761" w:themeColor="accent1" w:themeShade="BF"/>
    </w:rPr>
  </w:style>
  <w:style w:type="character" w:styleId="IntenseReference">
    <w:name w:val="Intense Reference"/>
    <w:basedOn w:val="DefaultParagraphFont"/>
    <w:uiPriority w:val="32"/>
    <w:qFormat/>
    <w:rsid w:val="00361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1626</Words>
  <Characters>9272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Lunawat</dc:creator>
  <cp:keywords/>
  <dc:description/>
  <cp:lastModifiedBy>Sanket Lunawat</cp:lastModifiedBy>
  <cp:revision>1</cp:revision>
  <dcterms:created xsi:type="dcterms:W3CDTF">2026-05-13T10:43:00Z</dcterms:created>
  <dcterms:modified xsi:type="dcterms:W3CDTF">2026-05-13T11:04:00Z</dcterms:modified>
</cp:coreProperties>
</file>