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jc w:val="center"/>
      </w:pPr>
      <w:r>
        <w:rPr>
          <w:rFonts w:ascii="Arial" w:hAnsi="Arial"/>
          <w:b/>
          <w:color w:val="1A1A5E"/>
          <w:sz w:val="52"/>
        </w:rPr>
        <w:t>Shot Value Over Expected (SVOE)</w:t>
      </w:r>
    </w:p>
    <w:p>
      <w:pPr>
        <w:spacing w:after="80"/>
        <w:jc w:val="center"/>
      </w:pPr>
      <w:r>
        <w:rPr>
          <w:rFonts w:ascii="Arial" w:hAnsi="Arial"/>
          <w:color w:val="2196F3"/>
          <w:sz w:val="28"/>
        </w:rPr>
        <w:t>Methodology &amp; Technical Documentation</w:t>
      </w:r>
    </w:p>
    <w:p>
      <w:pPr>
        <w:pBdr>
          <w:bottom w:val="single" w:sz="16" w:space="1" w:color="2196F3"/>
        </w:pBdr>
        <w:spacing w:before="40" w:after="200"/>
      </w:pPr>
    </w:p>
    <w:p>
      <w:pPr>
        <w:spacing w:after="40"/>
        <w:jc w:val="center"/>
      </w:pPr>
      <w:r>
        <w:rPr>
          <w:rFonts w:ascii="Arial" w:hAnsi="Arial"/>
          <w:i/>
          <w:color w:val="555555"/>
          <w:sz w:val="20"/>
        </w:rPr>
        <w:t>NBA Analytics  |  2022-23 through 2025-26 Seasons  |  XGBoost Model</w:t>
      </w:r>
    </w:p>
    <w:p/>
    <w:p>
      <w:pPr>
        <w:spacing w:before="360" w:after="120"/>
      </w:pPr>
      <w:r>
        <w:rPr>
          <w:rFonts w:ascii="Arial" w:hAnsi="Arial"/>
          <w:b/>
          <w:color w:val="1A1A5E"/>
          <w:sz w:val="32"/>
        </w:rPr>
        <w:t>1. Executive Summary</w:t>
      </w:r>
    </w:p>
    <w:p>
      <w:pPr>
        <w:pBdr>
          <w:bottom w:val="single" w:sz="8" w:space="1" w:color="2196F3"/>
        </w:pBdr>
        <w:spacing w:before="40" w:after="200"/>
      </w:pPr>
    </w:p>
    <w:p>
      <w:pPr>
        <w:spacing w:after="120"/>
      </w:pPr>
      <w:r>
        <w:rPr>
          <w:rFonts w:ascii="Arial" w:hAnsi="Arial"/>
          <w:i w:val="0"/>
          <w:sz w:val="22"/>
        </w:rPr>
        <w:t>Shot Value Over Expected (SVOE) is a shot-level NBA metric that estimates how many points a player or team should score on a given shot — based purely on information available before the shot is taken — and compares that expectation to what actually happened. A positive SVOE indicates that the player converted shots at a higher rate than expected given the shot's context; a negative SVOE indicates underperformance.</w:t>
      </w:r>
    </w:p>
    <w:p>
      <w:pPr>
        <w:spacing w:after="120"/>
      </w:pPr>
      <w:r>
        <w:rPr>
          <w:rFonts w:ascii="Arial" w:hAnsi="Arial"/>
          <w:i w:val="0"/>
          <w:sz w:val="22"/>
        </w:rPr>
        <w:t>Unlike raw field goal percentage, SVOE adjusts for shot quality. A player who only takes corner threes and restricted-area layups is expected to score more per shot than one who takes contested mid-range jumpers. SVOE isolates shot-making ability from shot selection.</w:t>
      </w:r>
    </w:p>
    <w:tbl>
      <w:tblPr>
        <w:tblW w:type="auto" w:w="0"/>
        <w:jc w:val="center"/>
        <w:tblLook w:firstColumn="1" w:firstRow="1" w:lastColumn="0" w:lastRow="0" w:noHBand="0" w:noVBand="1" w:val="04A0"/>
      </w:tblPr>
      <w:tblGrid>
        <w:gridCol w:w="9360"/>
      </w:tblGrid>
      <w:tr>
        <w:tc>
          <w:tcPr>
            <w:tcW w:type="dxa" w:w="9360"/>
            <w:shd w:val="clear" w:color="auto" w:fill="FFF3CD"/>
            <w:tcBorders>
              <w:top w:val="single" w:sz="12" w:color="E65100"/>
              <w:bottom w:val="single" w:sz="12" w:color="E65100"/>
              <w:left w:val="single" w:sz="12" w:color="E65100"/>
              <w:right w:val="single" w:sz="12" w:color="E65100"/>
            </w:tcBorders>
          </w:tcPr>
          <w:p>
            <w:pPr>
              <w:spacing w:before="200" w:after="80"/>
              <w:ind w:left="144" w:right="144"/>
            </w:pPr>
            <w:r>
              <w:rPr>
                <w:rFonts w:ascii="Arial" w:hAnsi="Arial"/>
                <w:b/>
                <w:color w:val="BF3600"/>
                <w:sz w:val="24"/>
              </w:rPr>
              <w:t>IMPORTANT — What This Model Does NOT Know</w:t>
            </w:r>
          </w:p>
          <w:p>
            <w:pPr>
              <w:spacing w:before="80" w:after="200"/>
              <w:ind w:left="144" w:right="144"/>
            </w:pPr>
            <w:r>
              <w:rPr>
                <w:rFonts w:ascii="Arial" w:hAnsi="Arial"/>
                <w:color w:val="333333"/>
                <w:sz w:val="22"/>
              </w:rPr>
              <w:t>This model does NOT know where the defender is. It cannot see whether a shot is open, lightly contested, or tightly guarded. Two shots taken from the exact same spot in the exact same game situation — one wide open, one with a hand in the face — receive identical Expected Points from this model.</w:t>
              <w:br/>
              <w:br/>
              <w:t>As a result, SVOE will naturally reward players who get open looks more often, and will understate the difficulty of shots taken against elite defenders or under heavy pressure. Any SVOE number should be read with this limitation in mind: it measures shot-making above a location- and context-based baseline, not above a fully contest-adjusted baseline.</w:t>
            </w:r>
          </w:p>
        </w:tc>
      </w:tr>
    </w:tbl>
    <w:p>
      <w:pPr>
        <w:spacing w:after="120"/>
      </w:pPr>
    </w:p>
    <w:p>
      <w:pPr>
        <w:spacing w:before="360" w:after="120"/>
      </w:pPr>
      <w:r>
        <w:rPr>
          <w:rFonts w:ascii="Arial" w:hAnsi="Arial"/>
          <w:b/>
          <w:color w:val="1A1A5E"/>
          <w:sz w:val="32"/>
        </w:rPr>
        <w:t>2. Core Formula</w:t>
      </w:r>
    </w:p>
    <w:p>
      <w:pPr>
        <w:pBdr>
          <w:bottom w:val="single" w:sz="8" w:space="1" w:color="2196F3"/>
        </w:pBdr>
        <w:spacing w:before="40" w:after="200"/>
      </w:pPr>
    </w:p>
    <w:tbl>
      <w:tblPr>
        <w:tblW w:type="auto" w:w="0"/>
        <w:jc w:val="center"/>
        <w:tblLook w:firstColumn="1" w:firstRow="1" w:lastColumn="0" w:lastRow="0" w:noHBand="0" w:noVBand="1" w:val="04A0"/>
      </w:tblPr>
      <w:tblGrid>
        <w:gridCol w:w="9360"/>
      </w:tblGrid>
      <w:tr>
        <w:tc>
          <w:tcPr>
            <w:tcW w:type="dxa" w:w="9360"/>
            <w:shd w:val="clear" w:color="auto" w:fill="EFF8FF"/>
            <w:tcBorders>
              <w:top w:val="single" w:sz="6" w:color="2196F3"/>
              <w:bottom w:val="single" w:sz="6" w:color="2196F3"/>
              <w:left w:val="single" w:sz="6" w:color="2196F3"/>
              <w:right w:val="single" w:sz="6" w:color="2196F3"/>
            </w:tcBorders>
          </w:tcPr>
          <w:p>
            <w:pPr>
              <w:spacing w:before="160" w:after="160"/>
              <w:jc w:val="center"/>
            </w:pPr>
            <w:r>
              <w:rPr>
                <w:rFonts w:ascii="Courier New" w:hAnsi="Courier New"/>
                <w:b/>
                <w:color w:val="1A1A5E"/>
                <w:sz w:val="24"/>
              </w:rPr>
              <w:t>SVOE  =  Actual Points  −  Expected Points</w:t>
            </w:r>
          </w:p>
        </w:tc>
      </w:tr>
    </w:tbl>
    <w:p>
      <w:pPr>
        <w:spacing w:after="200"/>
      </w:pPr>
    </w:p>
    <w:p>
      <w:pPr>
        <w:spacing w:after="120"/>
      </w:pPr>
      <w:r>
        <w:rPr>
          <w:rFonts w:ascii="Arial" w:hAnsi="Arial"/>
          <w:i w:val="0"/>
          <w:sz w:val="22"/>
        </w:rPr>
        <w:t>Where each term is defined as:</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A1A5E"/>
          </w:tcPr>
          <w:p>
            <w:pPr>
              <w:spacing w:before="80" w:after="80"/>
              <w:jc w:val="center"/>
            </w:pPr>
            <w:r>
              <w:rPr>
                <w:rFonts w:ascii="Arial" w:hAnsi="Arial"/>
                <w:b/>
                <w:color w:val="FFFFFF"/>
                <w:sz w:val="20"/>
              </w:rPr>
              <w:t>Term</w:t>
            </w:r>
          </w:p>
        </w:tc>
        <w:tc>
          <w:tcPr>
            <w:tcW w:type="dxa" w:w="3168"/>
            <w:shd w:val="clear" w:color="auto" w:fill="1A1A5E"/>
          </w:tcPr>
          <w:p>
            <w:pPr>
              <w:spacing w:before="80" w:after="80"/>
              <w:jc w:val="center"/>
            </w:pPr>
            <w:r>
              <w:rPr>
                <w:rFonts w:ascii="Arial" w:hAnsi="Arial"/>
                <w:b/>
                <w:color w:val="FFFFFF"/>
                <w:sz w:val="20"/>
              </w:rPr>
              <w:t>Formula</w:t>
            </w:r>
          </w:p>
        </w:tc>
        <w:tc>
          <w:tcPr>
            <w:tcW w:type="dxa" w:w="4464"/>
            <w:shd w:val="clear" w:color="auto" w:fill="1A1A5E"/>
          </w:tcPr>
          <w:p>
            <w:pPr>
              <w:spacing w:before="80" w:after="80"/>
              <w:jc w:val="center"/>
            </w:pPr>
            <w:r>
              <w:rPr>
                <w:rFonts w:ascii="Arial" w:hAnsi="Arial"/>
                <w:b/>
                <w:color w:val="FFFFFF"/>
                <w:sz w:val="20"/>
              </w:rPr>
              <w:t>Description</w:t>
            </w:r>
          </w:p>
        </w:tc>
      </w:tr>
      <w:tr>
        <w:tc>
          <w:tcPr>
            <w:tcW w:type="dxa" w:w="2160"/>
            <w:shd w:val="clear" w:color="auto" w:fill="F0F4F8"/>
          </w:tcPr>
          <w:p>
            <w:pPr>
              <w:spacing w:before="60" w:after="60"/>
              <w:jc w:val="center"/>
            </w:pPr>
            <w:r>
              <w:rPr>
                <w:rFonts w:ascii="Arial" w:hAnsi="Arial"/>
                <w:sz w:val="20"/>
              </w:rPr>
              <w:t>Shot Value</w:t>
            </w:r>
          </w:p>
        </w:tc>
        <w:tc>
          <w:tcPr>
            <w:tcW w:type="dxa" w:w="3168"/>
            <w:shd w:val="clear" w:color="auto" w:fill="F0F4F8"/>
          </w:tcPr>
          <w:p>
            <w:pPr>
              <w:spacing w:before="60" w:after="60"/>
              <w:jc w:val="center"/>
            </w:pPr>
            <w:r>
              <w:rPr>
                <w:rFonts w:ascii="Arial" w:hAnsi="Arial"/>
                <w:sz w:val="20"/>
              </w:rPr>
              <w:t>2 or 3</w:t>
            </w:r>
          </w:p>
        </w:tc>
        <w:tc>
          <w:tcPr>
            <w:tcW w:type="dxa" w:w="4464"/>
            <w:shd w:val="clear" w:color="auto" w:fill="F0F4F8"/>
          </w:tcPr>
          <w:p>
            <w:pPr>
              <w:spacing w:before="60" w:after="60"/>
              <w:jc w:val="center"/>
            </w:pPr>
            <w:r>
              <w:rPr>
                <w:rFonts w:ascii="Arial" w:hAnsi="Arial"/>
                <w:sz w:val="20"/>
              </w:rPr>
              <w:t>2 for two-point attempts; 3 for three-point attempts</w:t>
            </w:r>
          </w:p>
        </w:tc>
      </w:tr>
      <w:tr>
        <w:tc>
          <w:tcPr>
            <w:tcW w:type="dxa" w:w="2160"/>
            <w:shd w:val="clear" w:color="auto" w:fill="FFFFFF"/>
          </w:tcPr>
          <w:p>
            <w:pPr>
              <w:spacing w:before="60" w:after="60"/>
              <w:jc w:val="center"/>
            </w:pPr>
            <w:r>
              <w:rPr>
                <w:rFonts w:ascii="Arial" w:hAnsi="Arial"/>
                <w:sz w:val="20"/>
              </w:rPr>
              <w:t>Expected Points</w:t>
            </w:r>
          </w:p>
        </w:tc>
        <w:tc>
          <w:tcPr>
            <w:tcW w:type="dxa" w:w="3168"/>
            <w:shd w:val="clear" w:color="auto" w:fill="FFFFFF"/>
          </w:tcPr>
          <w:p>
            <w:pPr>
              <w:spacing w:before="60" w:after="60"/>
              <w:jc w:val="center"/>
            </w:pPr>
            <w:r>
              <w:rPr>
                <w:rFonts w:ascii="Arial" w:hAnsi="Arial"/>
                <w:sz w:val="20"/>
              </w:rPr>
              <w:t>P(make) × Shot Value</w:t>
            </w:r>
          </w:p>
        </w:tc>
        <w:tc>
          <w:tcPr>
            <w:tcW w:type="dxa" w:w="4464"/>
            <w:shd w:val="clear" w:color="auto" w:fill="FFFFFF"/>
          </w:tcPr>
          <w:p>
            <w:pPr>
              <w:spacing w:before="60" w:after="60"/>
              <w:jc w:val="center"/>
            </w:pPr>
            <w:r>
              <w:rPr>
                <w:rFonts w:ascii="Arial" w:hAnsi="Arial"/>
                <w:sz w:val="20"/>
              </w:rPr>
              <w:t>Model-predicted make probability multiplied by shot value</w:t>
            </w:r>
          </w:p>
        </w:tc>
      </w:tr>
      <w:tr>
        <w:tc>
          <w:tcPr>
            <w:tcW w:type="dxa" w:w="2160"/>
            <w:shd w:val="clear" w:color="auto" w:fill="F0F4F8"/>
          </w:tcPr>
          <w:p>
            <w:pPr>
              <w:spacing w:before="60" w:after="60"/>
              <w:jc w:val="center"/>
            </w:pPr>
            <w:r>
              <w:rPr>
                <w:rFonts w:ascii="Arial" w:hAnsi="Arial"/>
                <w:sz w:val="20"/>
              </w:rPr>
              <w:t>Actual Points</w:t>
            </w:r>
          </w:p>
        </w:tc>
        <w:tc>
          <w:tcPr>
            <w:tcW w:type="dxa" w:w="3168"/>
            <w:shd w:val="clear" w:color="auto" w:fill="F0F4F8"/>
          </w:tcPr>
          <w:p>
            <w:pPr>
              <w:spacing w:before="60" w:after="60"/>
              <w:jc w:val="center"/>
            </w:pPr>
            <w:r>
              <w:rPr>
                <w:rFonts w:ascii="Arial" w:hAnsi="Arial"/>
                <w:sz w:val="20"/>
              </w:rPr>
              <w:t>SHOT_MADE_FLAG × Shot Value</w:t>
            </w:r>
          </w:p>
        </w:tc>
        <w:tc>
          <w:tcPr>
            <w:tcW w:type="dxa" w:w="4464"/>
            <w:shd w:val="clear" w:color="auto" w:fill="F0F4F8"/>
          </w:tcPr>
          <w:p>
            <w:pPr>
              <w:spacing w:before="60" w:after="60"/>
              <w:jc w:val="center"/>
            </w:pPr>
            <w:r>
              <w:rPr>
                <w:rFonts w:ascii="Arial" w:hAnsi="Arial"/>
                <w:sz w:val="20"/>
              </w:rPr>
              <w:t>1 × shot value if made; 0 × shot value if missed</w:t>
            </w:r>
          </w:p>
        </w:tc>
      </w:tr>
      <w:tr>
        <w:tc>
          <w:tcPr>
            <w:tcW w:type="dxa" w:w="2160"/>
            <w:shd w:val="clear" w:color="auto" w:fill="FFFFFF"/>
          </w:tcPr>
          <w:p>
            <w:pPr>
              <w:spacing w:before="60" w:after="60"/>
              <w:jc w:val="center"/>
            </w:pPr>
            <w:r>
              <w:rPr>
                <w:rFonts w:ascii="Arial" w:hAnsi="Arial"/>
                <w:sz w:val="20"/>
              </w:rPr>
              <w:t>SVOE</w:t>
            </w:r>
          </w:p>
        </w:tc>
        <w:tc>
          <w:tcPr>
            <w:tcW w:type="dxa" w:w="3168"/>
            <w:shd w:val="clear" w:color="auto" w:fill="FFFFFF"/>
          </w:tcPr>
          <w:p>
            <w:pPr>
              <w:spacing w:before="60" w:after="60"/>
              <w:jc w:val="center"/>
            </w:pPr>
            <w:r>
              <w:rPr>
                <w:rFonts w:ascii="Arial" w:hAnsi="Arial"/>
                <w:sz w:val="20"/>
              </w:rPr>
              <w:t>Actual Points − Expected Points</w:t>
            </w:r>
          </w:p>
        </w:tc>
        <w:tc>
          <w:tcPr>
            <w:tcW w:type="dxa" w:w="4464"/>
            <w:shd w:val="clear" w:color="auto" w:fill="FFFFFF"/>
          </w:tcPr>
          <w:p>
            <w:pPr>
              <w:spacing w:before="60" w:after="60"/>
              <w:jc w:val="center"/>
            </w:pPr>
            <w:r>
              <w:rPr>
                <w:rFonts w:ascii="Arial" w:hAnsi="Arial"/>
                <w:sz w:val="20"/>
              </w:rPr>
              <w:t>Positive = over-performed; Negative = under-performed</w:t>
            </w:r>
          </w:p>
        </w:tc>
      </w:tr>
    </w:tbl>
    <w:p>
      <w:pPr>
        <w:spacing w:after="120"/>
      </w:pPr>
    </w:p>
    <w:p>
      <w:pPr>
        <w:spacing w:after="120"/>
      </w:pPr>
      <w:r>
        <w:rPr>
          <w:rFonts w:ascii="Arial" w:hAnsi="Arial"/>
          <w:i w:val="0"/>
          <w:sz w:val="22"/>
        </w:rPr>
        <w:t>SVOE is computed at the individual shot level and then aggregated across any desired grouping — player, team, season, shot zone, or action type. The most useful summary statistic is SVOE per 100 shots, which normalises for volume and allows fair comparison across players with different usage levels.</w:t>
      </w:r>
    </w:p>
    <w:tbl>
      <w:tblPr>
        <w:tblW w:type="auto" w:w="0"/>
        <w:jc w:val="center"/>
        <w:tblLook w:firstColumn="1" w:firstRow="1" w:lastColumn="0" w:lastRow="0" w:noHBand="0" w:noVBand="1" w:val="04A0"/>
      </w:tblPr>
      <w:tblGrid>
        <w:gridCol w:w="9360"/>
      </w:tblGrid>
      <w:tr>
        <w:tc>
          <w:tcPr>
            <w:tcW w:type="dxa" w:w="9360"/>
            <w:shd w:val="clear" w:color="auto" w:fill="EFF8FF"/>
            <w:tcBorders>
              <w:top w:val="single" w:sz="6" w:color="2196F3"/>
              <w:bottom w:val="single" w:sz="6" w:color="2196F3"/>
              <w:left w:val="single" w:sz="6" w:color="2196F3"/>
              <w:right w:val="single" w:sz="6" w:color="2196F3"/>
            </w:tcBorders>
          </w:tcPr>
          <w:p>
            <w:pPr>
              <w:spacing w:before="160" w:after="160"/>
              <w:jc w:val="center"/>
            </w:pPr>
            <w:r>
              <w:rPr>
                <w:rFonts w:ascii="Courier New" w:hAnsi="Courier New"/>
                <w:b/>
                <w:color w:val="1A1A5E"/>
                <w:sz w:val="24"/>
              </w:rPr>
              <w:t>SVOE / 100  =  (Total SVOE  /  Attempts)  ×  100</w:t>
            </w:r>
          </w:p>
        </w:tc>
      </w:tr>
    </w:tbl>
    <w:p/>
    <w:p>
      <w:pPr>
        <w:spacing w:before="40" w:after="200"/>
        <w:jc w:val="center"/>
      </w:pPr>
      <w:r>
        <w:rPr>
          <w:rFonts w:ascii="Arial" w:hAnsi="Arial"/>
          <w:i/>
          <w:color w:val="555555"/>
          <w:sz w:val="18"/>
        </w:rPr>
        <w:t>Rate metric that adjusts for shot volume.</w:t>
      </w:r>
    </w:p>
    <w:p>
      <w:pPr>
        <w:spacing w:before="360" w:after="120"/>
      </w:pPr>
      <w:r>
        <w:rPr>
          <w:rFonts w:ascii="Arial" w:hAnsi="Arial"/>
          <w:b/>
          <w:color w:val="1A1A5E"/>
          <w:sz w:val="32"/>
        </w:rPr>
        <w:t>3. Data Collection</w:t>
      </w:r>
    </w:p>
    <w:p>
      <w:pPr>
        <w:pBdr>
          <w:bottom w:val="single" w:sz="8" w:space="1" w:color="2196F3"/>
        </w:pBdr>
        <w:spacing w:before="40" w:after="200"/>
      </w:pPr>
    </w:p>
    <w:p>
      <w:pPr>
        <w:spacing w:before="240" w:after="120"/>
      </w:pPr>
      <w:r>
        <w:rPr>
          <w:rFonts w:ascii="Arial" w:hAnsi="Arial"/>
          <w:b/>
          <w:color w:val="1A1A2E"/>
          <w:sz w:val="26"/>
        </w:rPr>
        <w:t>3.1  Source</w:t>
      </w:r>
    </w:p>
    <w:p>
      <w:pPr>
        <w:spacing w:after="120"/>
      </w:pPr>
      <w:r>
        <w:rPr>
          <w:rFonts w:ascii="Arial" w:hAnsi="Arial"/>
          <w:i w:val="0"/>
          <w:sz w:val="22"/>
        </w:rPr>
        <w:t>Shot data is sourced from the NBA Stats API via the open-source nba_api Python library. The ShotChartDetail endpoint returns one row per field goal attempt, including spatial coordinates, shot context, and the result.</w:t>
      </w:r>
    </w:p>
    <w:p>
      <w:pPr>
        <w:pStyle w:val="ListBullet"/>
        <w:spacing w:after="60"/>
        <w:ind w:left="360"/>
      </w:pPr>
      <w:r>
        <w:rPr>
          <w:rFonts w:ascii="Arial" w:hAnsi="Arial"/>
          <w:sz w:val="22"/>
        </w:rPr>
        <w:t>Endpoint: ShotChartDetail (context_measure_simple = 'FGA')</w:t>
      </w:r>
    </w:p>
    <w:p>
      <w:pPr>
        <w:pStyle w:val="ListBullet"/>
        <w:spacing w:after="60"/>
        <w:ind w:left="360"/>
      </w:pPr>
      <w:r>
        <w:rPr>
          <w:rFonts w:ascii="Arial" w:hAnsi="Arial"/>
          <w:sz w:val="22"/>
        </w:rPr>
        <w:t>Seasons: 2022-23, 2023-24, 2024-25, 2025-26</w:t>
      </w:r>
    </w:p>
    <w:p>
      <w:pPr>
        <w:pStyle w:val="ListBullet"/>
        <w:spacing w:after="60"/>
        <w:ind w:left="360"/>
      </w:pPr>
      <w:r>
        <w:rPr>
          <w:rFonts w:ascii="Arial" w:hAnsi="Arial"/>
          <w:sz w:val="22"/>
        </w:rPr>
        <w:t>Season types: Regular Season and Playoffs</w:t>
      </w:r>
    </w:p>
    <w:p>
      <w:pPr>
        <w:pStyle w:val="ListBullet"/>
        <w:spacing w:after="60"/>
        <w:ind w:left="360"/>
      </w:pPr>
      <w:r>
        <w:rPr>
          <w:rFonts w:ascii="Arial" w:hAnsi="Arial"/>
          <w:sz w:val="22"/>
        </w:rPr>
        <w:t>Scope: all 30 NBA teams (queried per team to manage API rate limits)</w:t>
      </w:r>
    </w:p>
    <w:p>
      <w:pPr>
        <w:spacing w:before="240" w:after="120"/>
      </w:pPr>
      <w:r>
        <w:rPr>
          <w:rFonts w:ascii="Arial" w:hAnsi="Arial"/>
          <w:b/>
          <w:color w:val="1A1A2E"/>
          <w:sz w:val="26"/>
        </w:rPr>
        <w:t>3.2  Caching</w:t>
      </w:r>
    </w:p>
    <w:p>
      <w:pPr>
        <w:spacing w:after="120"/>
      </w:pPr>
      <w:r>
        <w:rPr>
          <w:rFonts w:ascii="Arial" w:hAnsi="Arial"/>
          <w:i w:val="0"/>
          <w:sz w:val="22"/>
        </w:rPr>
        <w:t>To avoid repeated API calls, data is cached at two levels:</w:t>
      </w:r>
    </w:p>
    <w:p>
      <w:pPr>
        <w:pStyle w:val="ListBullet"/>
        <w:spacing w:after="60"/>
        <w:ind w:left="360"/>
      </w:pPr>
      <w:r>
        <w:rPr>
          <w:rFonts w:ascii="Arial" w:hAnsi="Arial"/>
          <w:sz w:val="22"/>
        </w:rPr>
        <w:t>Per-team CSV files in data/raw/ (one file per team × season × season type)</w:t>
      </w:r>
    </w:p>
    <w:p>
      <w:pPr>
        <w:pStyle w:val="ListBullet"/>
        <w:spacing w:after="60"/>
        <w:ind w:left="360"/>
      </w:pPr>
      <w:r>
        <w:rPr>
          <w:rFonts w:ascii="Arial" w:hAnsi="Arial"/>
          <w:sz w:val="22"/>
        </w:rPr>
        <w:t>Merged Parquet files in data/processed/ (one file per season × season type)</w:t>
      </w:r>
    </w:p>
    <w:p>
      <w:pPr>
        <w:spacing w:after="120"/>
      </w:pPr>
      <w:r>
        <w:rPr>
          <w:rFonts w:ascii="Arial" w:hAnsi="Arial"/>
          <w:i/>
          <w:color w:val="555555"/>
          <w:sz w:val="22"/>
        </w:rPr>
        <w:t>On subsequent runs, cached files are loaded directly and the API is not contacted. A --refresh-data flag exists to force a fresh download.</w:t>
      </w:r>
    </w:p>
    <w:p>
      <w:pPr>
        <w:spacing w:before="240" w:after="120"/>
      </w:pPr>
      <w:r>
        <w:rPr>
          <w:rFonts w:ascii="Arial" w:hAnsi="Arial"/>
          <w:b/>
          <w:color w:val="1A1A2E"/>
          <w:sz w:val="26"/>
        </w:rPr>
        <w:t>3.3  Raw Columns Used</w:t>
      </w:r>
    </w:p>
    <w:p>
      <w:pPr>
        <w:spacing w:after="120"/>
      </w:pPr>
      <w:r>
        <w:rPr>
          <w:rFonts w:ascii="Arial" w:hAnsi="Arial"/>
          <w:i w:val="0"/>
          <w:sz w:val="22"/>
        </w:rPr>
        <w:t>The following columns are retained from the ShotChartDetail response:</w:t>
      </w:r>
    </w:p>
    <w:tbl>
      <w:tblPr>
        <w:tblStyle w:val="TableGrid"/>
        <w:tblW w:type="auto" w:w="0"/>
        <w:jc w:val="center"/>
        <w:tblLook w:firstColumn="1" w:firstRow="1" w:lastColumn="0" w:lastRow="0" w:noHBand="0" w:noVBand="1" w:val="04A0"/>
      </w:tblPr>
      <w:tblGrid>
        <w:gridCol w:w="4680"/>
        <w:gridCol w:w="4680"/>
      </w:tblGrid>
      <w:tr>
        <w:tc>
          <w:tcPr>
            <w:tcW w:type="dxa" w:w="4032"/>
            <w:shd w:val="clear" w:color="auto" w:fill="1A1A5E"/>
          </w:tcPr>
          <w:p>
            <w:pPr>
              <w:spacing w:before="80" w:after="80"/>
              <w:jc w:val="center"/>
            </w:pPr>
            <w:r>
              <w:rPr>
                <w:rFonts w:ascii="Arial" w:hAnsi="Arial"/>
                <w:b/>
                <w:color w:val="FFFFFF"/>
                <w:sz w:val="20"/>
              </w:rPr>
              <w:t>Column</w:t>
            </w:r>
          </w:p>
        </w:tc>
        <w:tc>
          <w:tcPr>
            <w:tcW w:type="dxa" w:w="6480"/>
            <w:shd w:val="clear" w:color="auto" w:fill="1A1A5E"/>
          </w:tcPr>
          <w:p>
            <w:pPr>
              <w:spacing w:before="80" w:after="80"/>
              <w:jc w:val="center"/>
            </w:pPr>
            <w:r>
              <w:rPr>
                <w:rFonts w:ascii="Arial" w:hAnsi="Arial"/>
                <w:b/>
                <w:color w:val="FFFFFF"/>
                <w:sz w:val="20"/>
              </w:rPr>
              <w:t>Description</w:t>
            </w:r>
          </w:p>
        </w:tc>
      </w:tr>
      <w:tr>
        <w:tc>
          <w:tcPr>
            <w:tcW w:type="dxa" w:w="4032"/>
            <w:shd w:val="clear" w:color="auto" w:fill="F0F4F8"/>
          </w:tcPr>
          <w:p>
            <w:pPr>
              <w:spacing w:before="60" w:after="60"/>
              <w:jc w:val="center"/>
            </w:pPr>
            <w:r>
              <w:rPr>
                <w:rFonts w:ascii="Arial" w:hAnsi="Arial"/>
                <w:sz w:val="20"/>
              </w:rPr>
              <w:t>GAME_ID / GAME_DATE</w:t>
            </w:r>
          </w:p>
        </w:tc>
        <w:tc>
          <w:tcPr>
            <w:tcW w:type="dxa" w:w="6480"/>
            <w:shd w:val="clear" w:color="auto" w:fill="F0F4F8"/>
          </w:tcPr>
          <w:p>
            <w:pPr>
              <w:spacing w:before="60" w:after="60"/>
              <w:jc w:val="center"/>
            </w:pPr>
            <w:r>
              <w:rPr>
                <w:rFonts w:ascii="Arial" w:hAnsi="Arial"/>
                <w:sz w:val="20"/>
              </w:rPr>
              <w:t>Game identifier and date</w:t>
            </w:r>
          </w:p>
        </w:tc>
      </w:tr>
      <w:tr>
        <w:tc>
          <w:tcPr>
            <w:tcW w:type="dxa" w:w="4032"/>
            <w:shd w:val="clear" w:color="auto" w:fill="FFFFFF"/>
          </w:tcPr>
          <w:p>
            <w:pPr>
              <w:spacing w:before="60" w:after="60"/>
              <w:jc w:val="center"/>
            </w:pPr>
            <w:r>
              <w:rPr>
                <w:rFonts w:ascii="Arial" w:hAnsi="Arial"/>
                <w:sz w:val="20"/>
              </w:rPr>
              <w:t>PLAYER_ID / PLAYER_NAME</w:t>
            </w:r>
          </w:p>
        </w:tc>
        <w:tc>
          <w:tcPr>
            <w:tcW w:type="dxa" w:w="6480"/>
            <w:shd w:val="clear" w:color="auto" w:fill="FFFFFF"/>
          </w:tcPr>
          <w:p>
            <w:pPr>
              <w:spacing w:before="60" w:after="60"/>
              <w:jc w:val="center"/>
            </w:pPr>
            <w:r>
              <w:rPr>
                <w:rFonts w:ascii="Arial" w:hAnsi="Arial"/>
                <w:sz w:val="20"/>
              </w:rPr>
              <w:t>Shooter identity</w:t>
            </w:r>
          </w:p>
        </w:tc>
      </w:tr>
      <w:tr>
        <w:tc>
          <w:tcPr>
            <w:tcW w:type="dxa" w:w="4032"/>
            <w:shd w:val="clear" w:color="auto" w:fill="F0F4F8"/>
          </w:tcPr>
          <w:p>
            <w:pPr>
              <w:spacing w:before="60" w:after="60"/>
              <w:jc w:val="center"/>
            </w:pPr>
            <w:r>
              <w:rPr>
                <w:rFonts w:ascii="Arial" w:hAnsi="Arial"/>
                <w:sz w:val="20"/>
              </w:rPr>
              <w:t>TEAM_ID / TEAM_NAME</w:t>
            </w:r>
          </w:p>
        </w:tc>
        <w:tc>
          <w:tcPr>
            <w:tcW w:type="dxa" w:w="6480"/>
            <w:shd w:val="clear" w:color="auto" w:fill="F0F4F8"/>
          </w:tcPr>
          <w:p>
            <w:pPr>
              <w:spacing w:before="60" w:after="60"/>
              <w:jc w:val="center"/>
            </w:pPr>
            <w:r>
              <w:rPr>
                <w:rFonts w:ascii="Arial" w:hAnsi="Arial"/>
                <w:sz w:val="20"/>
              </w:rPr>
              <w:t>Shooting team</w:t>
            </w:r>
          </w:p>
        </w:tc>
      </w:tr>
      <w:tr>
        <w:tc>
          <w:tcPr>
            <w:tcW w:type="dxa" w:w="4032"/>
            <w:shd w:val="clear" w:color="auto" w:fill="FFFFFF"/>
          </w:tcPr>
          <w:p>
            <w:pPr>
              <w:spacing w:before="60" w:after="60"/>
              <w:jc w:val="center"/>
            </w:pPr>
            <w:r>
              <w:rPr>
                <w:rFonts w:ascii="Arial" w:hAnsi="Arial"/>
                <w:sz w:val="20"/>
              </w:rPr>
              <w:t>HTM / VTM</w:t>
            </w:r>
          </w:p>
        </w:tc>
        <w:tc>
          <w:tcPr>
            <w:tcW w:type="dxa" w:w="6480"/>
            <w:shd w:val="clear" w:color="auto" w:fill="FFFFFF"/>
          </w:tcPr>
          <w:p>
            <w:pPr>
              <w:spacing w:before="60" w:after="60"/>
              <w:jc w:val="center"/>
            </w:pPr>
            <w:r>
              <w:rPr>
                <w:rFonts w:ascii="Arial" w:hAnsi="Arial"/>
                <w:sz w:val="20"/>
              </w:rPr>
              <w:t>Home and visitor team abbreviations</w:t>
            </w:r>
          </w:p>
        </w:tc>
      </w:tr>
      <w:tr>
        <w:tc>
          <w:tcPr>
            <w:tcW w:type="dxa" w:w="4032"/>
            <w:shd w:val="clear" w:color="auto" w:fill="F0F4F8"/>
          </w:tcPr>
          <w:p>
            <w:pPr>
              <w:spacing w:before="60" w:after="60"/>
              <w:jc w:val="center"/>
            </w:pPr>
            <w:r>
              <w:rPr>
                <w:rFonts w:ascii="Arial" w:hAnsi="Arial"/>
                <w:sz w:val="20"/>
              </w:rPr>
              <w:t>PERIOD</w:t>
            </w:r>
          </w:p>
        </w:tc>
        <w:tc>
          <w:tcPr>
            <w:tcW w:type="dxa" w:w="6480"/>
            <w:shd w:val="clear" w:color="auto" w:fill="F0F4F8"/>
          </w:tcPr>
          <w:p>
            <w:pPr>
              <w:spacing w:before="60" w:after="60"/>
              <w:jc w:val="center"/>
            </w:pPr>
            <w:r>
              <w:rPr>
                <w:rFonts w:ascii="Arial" w:hAnsi="Arial"/>
                <w:sz w:val="20"/>
              </w:rPr>
              <w:t>Quarter or overtime period (1–4+)</w:t>
            </w:r>
          </w:p>
        </w:tc>
      </w:tr>
      <w:tr>
        <w:tc>
          <w:tcPr>
            <w:tcW w:type="dxa" w:w="4032"/>
            <w:shd w:val="clear" w:color="auto" w:fill="FFFFFF"/>
          </w:tcPr>
          <w:p>
            <w:pPr>
              <w:spacing w:before="60" w:after="60"/>
              <w:jc w:val="center"/>
            </w:pPr>
            <w:r>
              <w:rPr>
                <w:rFonts w:ascii="Arial" w:hAnsi="Arial"/>
                <w:sz w:val="20"/>
              </w:rPr>
              <w:t>MINUTES_REMAINING / SECONDS_REMAINING</w:t>
            </w:r>
          </w:p>
        </w:tc>
        <w:tc>
          <w:tcPr>
            <w:tcW w:type="dxa" w:w="6480"/>
            <w:shd w:val="clear" w:color="auto" w:fill="FFFFFF"/>
          </w:tcPr>
          <w:p>
            <w:pPr>
              <w:spacing w:before="60" w:after="60"/>
              <w:jc w:val="center"/>
            </w:pPr>
            <w:r>
              <w:rPr>
                <w:rFonts w:ascii="Arial" w:hAnsi="Arial"/>
                <w:sz w:val="20"/>
              </w:rPr>
              <w:t>Game clock at time of shot</w:t>
            </w:r>
          </w:p>
        </w:tc>
      </w:tr>
      <w:tr>
        <w:tc>
          <w:tcPr>
            <w:tcW w:type="dxa" w:w="4032"/>
            <w:shd w:val="clear" w:color="auto" w:fill="F0F4F8"/>
          </w:tcPr>
          <w:p>
            <w:pPr>
              <w:spacing w:before="60" w:after="60"/>
              <w:jc w:val="center"/>
            </w:pPr>
            <w:r>
              <w:rPr>
                <w:rFonts w:ascii="Arial" w:hAnsi="Arial"/>
                <w:sz w:val="20"/>
              </w:rPr>
              <w:t>SHOT_TYPE</w:t>
            </w:r>
          </w:p>
        </w:tc>
        <w:tc>
          <w:tcPr>
            <w:tcW w:type="dxa" w:w="6480"/>
            <w:shd w:val="clear" w:color="auto" w:fill="F0F4F8"/>
          </w:tcPr>
          <w:p>
            <w:pPr>
              <w:spacing w:before="60" w:after="60"/>
              <w:jc w:val="center"/>
            </w:pPr>
            <w:r>
              <w:rPr>
                <w:rFonts w:ascii="Arial" w:hAnsi="Arial"/>
                <w:sz w:val="20"/>
              </w:rPr>
              <w:t>'2PT Field Goal' or '3PT Field Goal'</w:t>
            </w:r>
          </w:p>
        </w:tc>
      </w:tr>
      <w:tr>
        <w:tc>
          <w:tcPr>
            <w:tcW w:type="dxa" w:w="4032"/>
            <w:shd w:val="clear" w:color="auto" w:fill="FFFFFF"/>
          </w:tcPr>
          <w:p>
            <w:pPr>
              <w:spacing w:before="60" w:after="60"/>
              <w:jc w:val="center"/>
            </w:pPr>
            <w:r>
              <w:rPr>
                <w:rFonts w:ascii="Arial" w:hAnsi="Arial"/>
                <w:sz w:val="20"/>
              </w:rPr>
              <w:t>ACTION_TYPE</w:t>
            </w:r>
          </w:p>
        </w:tc>
        <w:tc>
          <w:tcPr>
            <w:tcW w:type="dxa" w:w="6480"/>
            <w:shd w:val="clear" w:color="auto" w:fill="FFFFFF"/>
          </w:tcPr>
          <w:p>
            <w:pPr>
              <w:spacing w:before="60" w:after="60"/>
              <w:jc w:val="center"/>
            </w:pPr>
            <w:r>
              <w:rPr>
                <w:rFonts w:ascii="Arial" w:hAnsi="Arial"/>
                <w:sz w:val="20"/>
              </w:rPr>
              <w:t>Shot action: Jump Shot, Layup, Dunk, Hook Shot, etc.</w:t>
            </w:r>
          </w:p>
        </w:tc>
      </w:tr>
      <w:tr>
        <w:tc>
          <w:tcPr>
            <w:tcW w:type="dxa" w:w="4032"/>
            <w:shd w:val="clear" w:color="auto" w:fill="F0F4F8"/>
          </w:tcPr>
          <w:p>
            <w:pPr>
              <w:spacing w:before="60" w:after="60"/>
              <w:jc w:val="center"/>
            </w:pPr>
            <w:r>
              <w:rPr>
                <w:rFonts w:ascii="Arial" w:hAnsi="Arial"/>
                <w:sz w:val="20"/>
              </w:rPr>
              <w:t>SHOT_ZONE_BASIC / AREA / RANGE</w:t>
            </w:r>
          </w:p>
        </w:tc>
        <w:tc>
          <w:tcPr>
            <w:tcW w:type="dxa" w:w="6480"/>
            <w:shd w:val="clear" w:color="auto" w:fill="F0F4F8"/>
          </w:tcPr>
          <w:p>
            <w:pPr>
              <w:spacing w:before="60" w:after="60"/>
              <w:jc w:val="center"/>
            </w:pPr>
            <w:r>
              <w:rPr>
                <w:rFonts w:ascii="Arial" w:hAnsi="Arial"/>
                <w:sz w:val="20"/>
              </w:rPr>
              <w:t>Zone classification at three levels of granularity</w:t>
            </w:r>
          </w:p>
        </w:tc>
      </w:tr>
      <w:tr>
        <w:tc>
          <w:tcPr>
            <w:tcW w:type="dxa" w:w="4032"/>
            <w:shd w:val="clear" w:color="auto" w:fill="FFFFFF"/>
          </w:tcPr>
          <w:p>
            <w:pPr>
              <w:spacing w:before="60" w:after="60"/>
              <w:jc w:val="center"/>
            </w:pPr>
            <w:r>
              <w:rPr>
                <w:rFonts w:ascii="Arial" w:hAnsi="Arial"/>
                <w:sz w:val="20"/>
              </w:rPr>
              <w:t>SHOT_DISTANCE</w:t>
            </w:r>
          </w:p>
        </w:tc>
        <w:tc>
          <w:tcPr>
            <w:tcW w:type="dxa" w:w="6480"/>
            <w:shd w:val="clear" w:color="auto" w:fill="FFFFFF"/>
          </w:tcPr>
          <w:p>
            <w:pPr>
              <w:spacing w:before="60" w:after="60"/>
              <w:jc w:val="center"/>
            </w:pPr>
            <w:r>
              <w:rPr>
                <w:rFonts w:ascii="Arial" w:hAnsi="Arial"/>
                <w:sz w:val="20"/>
              </w:rPr>
              <w:t>Distance from basket in feet</w:t>
            </w:r>
          </w:p>
        </w:tc>
      </w:tr>
      <w:tr>
        <w:tc>
          <w:tcPr>
            <w:tcW w:type="dxa" w:w="4032"/>
            <w:shd w:val="clear" w:color="auto" w:fill="F0F4F8"/>
          </w:tcPr>
          <w:p>
            <w:pPr>
              <w:spacing w:before="60" w:after="60"/>
              <w:jc w:val="center"/>
            </w:pPr>
            <w:r>
              <w:rPr>
                <w:rFonts w:ascii="Arial" w:hAnsi="Arial"/>
                <w:sz w:val="20"/>
              </w:rPr>
              <w:t>LOC_X / LOC_Y</w:t>
            </w:r>
          </w:p>
        </w:tc>
        <w:tc>
          <w:tcPr>
            <w:tcW w:type="dxa" w:w="6480"/>
            <w:shd w:val="clear" w:color="auto" w:fill="F0F4F8"/>
          </w:tcPr>
          <w:p>
            <w:pPr>
              <w:spacing w:before="60" w:after="60"/>
              <w:jc w:val="center"/>
            </w:pPr>
            <w:r>
              <w:rPr>
                <w:rFonts w:ascii="Arial" w:hAnsi="Arial"/>
                <w:sz w:val="20"/>
              </w:rPr>
              <w:t>Court coordinates in tenths of feet (origin = basket)</w:t>
            </w:r>
          </w:p>
        </w:tc>
      </w:tr>
      <w:tr>
        <w:tc>
          <w:tcPr>
            <w:tcW w:type="dxa" w:w="4032"/>
            <w:shd w:val="clear" w:color="auto" w:fill="FFFFFF"/>
          </w:tcPr>
          <w:p>
            <w:pPr>
              <w:spacing w:before="60" w:after="60"/>
              <w:jc w:val="center"/>
            </w:pPr>
            <w:r>
              <w:rPr>
                <w:rFonts w:ascii="Arial" w:hAnsi="Arial"/>
                <w:sz w:val="20"/>
              </w:rPr>
              <w:t>SHOT_MADE_FLAG</w:t>
            </w:r>
          </w:p>
        </w:tc>
        <w:tc>
          <w:tcPr>
            <w:tcW w:type="dxa" w:w="6480"/>
            <w:shd w:val="clear" w:color="auto" w:fill="FFFFFF"/>
          </w:tcPr>
          <w:p>
            <w:pPr>
              <w:spacing w:before="60" w:after="60"/>
              <w:jc w:val="center"/>
            </w:pPr>
            <w:r>
              <w:rPr>
                <w:rFonts w:ascii="Arial" w:hAnsi="Arial"/>
                <w:sz w:val="20"/>
              </w:rPr>
              <w:t>Binary outcome: 1 = made, 0 = missed</w:t>
            </w:r>
          </w:p>
        </w:tc>
      </w:tr>
    </w:tbl>
    <w:p>
      <w:pPr>
        <w:spacing w:after="120"/>
      </w:pPr>
    </w:p>
    <w:p>
      <w:pPr>
        <w:spacing w:after="120"/>
      </w:pPr>
      <w:r>
        <w:rPr>
          <w:rFonts w:ascii="Arial" w:hAnsi="Arial"/>
          <w:i/>
          <w:color w:val="555555"/>
          <w:sz w:val="22"/>
        </w:rPr>
        <w:t>No columns that reveal the shot result (other than SHOT_MADE_FLAG, which is the target variable) are used as model features. SHOT_MADE_FLAG is never included as a predictor.</w:t>
      </w:r>
    </w:p>
    <w:p>
      <w:pPr>
        <w:spacing w:before="360" w:after="120"/>
      </w:pPr>
      <w:r>
        <w:rPr>
          <w:rFonts w:ascii="Arial" w:hAnsi="Arial"/>
          <w:b/>
          <w:color w:val="1A1A5E"/>
          <w:sz w:val="32"/>
        </w:rPr>
        <w:t>4. Feature Engineering</w:t>
      </w:r>
    </w:p>
    <w:p>
      <w:pPr>
        <w:pBdr>
          <w:bottom w:val="single" w:sz="8" w:space="1" w:color="2196F3"/>
        </w:pBdr>
        <w:spacing w:before="40" w:after="200"/>
      </w:pPr>
    </w:p>
    <w:p>
      <w:pPr>
        <w:spacing w:after="120"/>
      </w:pPr>
      <w:r>
        <w:rPr>
          <w:rFonts w:ascii="Arial" w:hAnsi="Arial"/>
          <w:i w:val="0"/>
          <w:sz w:val="22"/>
        </w:rPr>
        <w:t>All features are derived solely from information available before the shot is taken. The following derived columns are added during preprocessing:</w:t>
      </w:r>
    </w:p>
    <w:tbl>
      <w:tblPr>
        <w:tblStyle w:val="TableGrid"/>
        <w:tblW w:type="auto" w:w="0"/>
        <w:jc w:val="center"/>
        <w:tblLook w:firstColumn="1" w:firstRow="1" w:lastColumn="0" w:lastRow="0" w:noHBand="0" w:noVBand="1" w:val="04A0"/>
      </w:tblPr>
      <w:tblGrid>
        <w:gridCol w:w="3120"/>
        <w:gridCol w:w="3120"/>
        <w:gridCol w:w="3120"/>
      </w:tblGrid>
      <w:tr>
        <w:tc>
          <w:tcPr>
            <w:tcW w:type="dxa" w:w="2736"/>
            <w:shd w:val="clear" w:color="auto" w:fill="1A1A5E"/>
          </w:tcPr>
          <w:p>
            <w:pPr>
              <w:spacing w:before="80" w:after="80"/>
              <w:jc w:val="center"/>
            </w:pPr>
            <w:r>
              <w:rPr>
                <w:rFonts w:ascii="Arial" w:hAnsi="Arial"/>
                <w:b/>
                <w:color w:val="FFFFFF"/>
                <w:sz w:val="20"/>
              </w:rPr>
              <w:t>Derived Feature</w:t>
            </w:r>
          </w:p>
        </w:tc>
        <w:tc>
          <w:tcPr>
            <w:tcW w:type="dxa" w:w="3312"/>
            <w:shd w:val="clear" w:color="auto" w:fill="1A1A5E"/>
          </w:tcPr>
          <w:p>
            <w:pPr>
              <w:spacing w:before="80" w:after="80"/>
              <w:jc w:val="center"/>
            </w:pPr>
            <w:r>
              <w:rPr>
                <w:rFonts w:ascii="Arial" w:hAnsi="Arial"/>
                <w:b/>
                <w:color w:val="FFFFFF"/>
                <w:sz w:val="20"/>
              </w:rPr>
              <w:t>Source Columns</w:t>
            </w:r>
          </w:p>
        </w:tc>
        <w:tc>
          <w:tcPr>
            <w:tcW w:type="dxa" w:w="4464"/>
            <w:shd w:val="clear" w:color="auto" w:fill="1A1A5E"/>
          </w:tcPr>
          <w:p>
            <w:pPr>
              <w:spacing w:before="80" w:after="80"/>
              <w:jc w:val="center"/>
            </w:pPr>
            <w:r>
              <w:rPr>
                <w:rFonts w:ascii="Arial" w:hAnsi="Arial"/>
                <w:b/>
                <w:color w:val="FFFFFF"/>
                <w:sz w:val="20"/>
              </w:rPr>
              <w:t>Logic</w:t>
            </w:r>
          </w:p>
        </w:tc>
      </w:tr>
      <w:tr>
        <w:tc>
          <w:tcPr>
            <w:tcW w:type="dxa" w:w="2736"/>
            <w:shd w:val="clear" w:color="auto" w:fill="F0F4F8"/>
          </w:tcPr>
          <w:p>
            <w:pPr>
              <w:spacing w:before="60" w:after="60"/>
              <w:jc w:val="center"/>
            </w:pPr>
            <w:r>
              <w:rPr>
                <w:rFonts w:ascii="Arial" w:hAnsi="Arial"/>
                <w:sz w:val="20"/>
              </w:rPr>
              <w:t>SHOT_VALUE</w:t>
            </w:r>
          </w:p>
        </w:tc>
        <w:tc>
          <w:tcPr>
            <w:tcW w:type="dxa" w:w="3312"/>
            <w:shd w:val="clear" w:color="auto" w:fill="F0F4F8"/>
          </w:tcPr>
          <w:p>
            <w:pPr>
              <w:spacing w:before="60" w:after="60"/>
              <w:jc w:val="center"/>
            </w:pPr>
            <w:r>
              <w:rPr>
                <w:rFonts w:ascii="Arial" w:hAnsi="Arial"/>
                <w:sz w:val="20"/>
              </w:rPr>
              <w:t>SHOT_TYPE</w:t>
            </w:r>
          </w:p>
        </w:tc>
        <w:tc>
          <w:tcPr>
            <w:tcW w:type="dxa" w:w="4464"/>
            <w:shd w:val="clear" w:color="auto" w:fill="F0F4F8"/>
          </w:tcPr>
          <w:p>
            <w:pPr>
              <w:spacing w:before="60" w:after="60"/>
              <w:jc w:val="center"/>
            </w:pPr>
            <w:r>
              <w:rPr>
                <w:rFonts w:ascii="Arial" w:hAnsi="Arial"/>
                <w:sz w:val="20"/>
              </w:rPr>
              <w:t>3 if '3PT' in SHOT_TYPE, else 2</w:t>
            </w:r>
          </w:p>
        </w:tc>
      </w:tr>
      <w:tr>
        <w:tc>
          <w:tcPr>
            <w:tcW w:type="dxa" w:w="2736"/>
            <w:shd w:val="clear" w:color="auto" w:fill="FFFFFF"/>
          </w:tcPr>
          <w:p>
            <w:pPr>
              <w:spacing w:before="60" w:after="60"/>
              <w:jc w:val="center"/>
            </w:pPr>
            <w:r>
              <w:rPr>
                <w:rFonts w:ascii="Arial" w:hAnsi="Arial"/>
                <w:sz w:val="20"/>
              </w:rPr>
              <w:t>TIME_REMAINING_SECS</w:t>
            </w:r>
          </w:p>
        </w:tc>
        <w:tc>
          <w:tcPr>
            <w:tcW w:type="dxa" w:w="3312"/>
            <w:shd w:val="clear" w:color="auto" w:fill="FFFFFF"/>
          </w:tcPr>
          <w:p>
            <w:pPr>
              <w:spacing w:before="60" w:after="60"/>
              <w:jc w:val="center"/>
            </w:pPr>
            <w:r>
              <w:rPr>
                <w:rFonts w:ascii="Arial" w:hAnsi="Arial"/>
                <w:sz w:val="20"/>
              </w:rPr>
              <w:t>MINUTES_REMAINING, SECONDS_REMAINING</w:t>
            </w:r>
          </w:p>
        </w:tc>
        <w:tc>
          <w:tcPr>
            <w:tcW w:type="dxa" w:w="4464"/>
            <w:shd w:val="clear" w:color="auto" w:fill="FFFFFF"/>
          </w:tcPr>
          <w:p>
            <w:pPr>
              <w:spacing w:before="60" w:after="60"/>
              <w:jc w:val="center"/>
            </w:pPr>
            <w:r>
              <w:rPr>
                <w:rFonts w:ascii="Arial" w:hAnsi="Arial"/>
                <w:sz w:val="20"/>
              </w:rPr>
              <w:t>Minutes × 60 + Seconds</w:t>
            </w:r>
          </w:p>
        </w:tc>
      </w:tr>
      <w:tr>
        <w:tc>
          <w:tcPr>
            <w:tcW w:type="dxa" w:w="2736"/>
            <w:shd w:val="clear" w:color="auto" w:fill="F0F4F8"/>
          </w:tcPr>
          <w:p>
            <w:pPr>
              <w:spacing w:before="60" w:after="60"/>
              <w:jc w:val="center"/>
            </w:pPr>
            <w:r>
              <w:rPr>
                <w:rFonts w:ascii="Arial" w:hAnsi="Arial"/>
                <w:sz w:val="20"/>
              </w:rPr>
              <w:t>IS_HOME</w:t>
            </w:r>
          </w:p>
        </w:tc>
        <w:tc>
          <w:tcPr>
            <w:tcW w:type="dxa" w:w="3312"/>
            <w:shd w:val="clear" w:color="auto" w:fill="F0F4F8"/>
          </w:tcPr>
          <w:p>
            <w:pPr>
              <w:spacing w:before="60" w:after="60"/>
              <w:jc w:val="center"/>
            </w:pPr>
            <w:r>
              <w:rPr>
                <w:rFonts w:ascii="Arial" w:hAnsi="Arial"/>
                <w:sz w:val="20"/>
              </w:rPr>
              <w:t>TEAM_ID, HTM</w:t>
            </w:r>
          </w:p>
        </w:tc>
        <w:tc>
          <w:tcPr>
            <w:tcW w:type="dxa" w:w="4464"/>
            <w:shd w:val="clear" w:color="auto" w:fill="F0F4F8"/>
          </w:tcPr>
          <w:p>
            <w:pPr>
              <w:spacing w:before="60" w:after="60"/>
              <w:jc w:val="center"/>
            </w:pPr>
            <w:r>
              <w:rPr>
                <w:rFonts w:ascii="Arial" w:hAnsi="Arial"/>
                <w:sz w:val="20"/>
              </w:rPr>
              <w:t>1 if shooting team's abbreviation matches HTM</w:t>
            </w:r>
          </w:p>
        </w:tc>
      </w:tr>
      <w:tr>
        <w:tc>
          <w:tcPr>
            <w:tcW w:type="dxa" w:w="2736"/>
            <w:shd w:val="clear" w:color="auto" w:fill="FFFFFF"/>
          </w:tcPr>
          <w:p>
            <w:pPr>
              <w:spacing w:before="60" w:after="60"/>
              <w:jc w:val="center"/>
            </w:pPr>
            <w:r>
              <w:rPr>
                <w:rFonts w:ascii="Arial" w:hAnsi="Arial"/>
                <w:sz w:val="20"/>
              </w:rPr>
              <w:t>OPPONENT_TEAM_ID</w:t>
            </w:r>
          </w:p>
        </w:tc>
        <w:tc>
          <w:tcPr>
            <w:tcW w:type="dxa" w:w="3312"/>
            <w:shd w:val="clear" w:color="auto" w:fill="FFFFFF"/>
          </w:tcPr>
          <w:p>
            <w:pPr>
              <w:spacing w:before="60" w:after="60"/>
              <w:jc w:val="center"/>
            </w:pPr>
            <w:r>
              <w:rPr>
                <w:rFonts w:ascii="Arial" w:hAnsi="Arial"/>
                <w:sz w:val="20"/>
              </w:rPr>
              <w:t>HTM, VTM, IS_HOME</w:t>
            </w:r>
          </w:p>
        </w:tc>
        <w:tc>
          <w:tcPr>
            <w:tcW w:type="dxa" w:w="4464"/>
            <w:shd w:val="clear" w:color="auto" w:fill="FFFFFF"/>
          </w:tcPr>
          <w:p>
            <w:pPr>
              <w:spacing w:before="60" w:after="60"/>
              <w:jc w:val="center"/>
            </w:pPr>
            <w:r>
              <w:rPr>
                <w:rFonts w:ascii="Arial" w:hAnsi="Arial"/>
                <w:sz w:val="20"/>
              </w:rPr>
              <w:t>Abbreviation of the opposing team mapped to team ID</w:t>
            </w:r>
          </w:p>
        </w:tc>
      </w:tr>
      <w:tr>
        <w:tc>
          <w:tcPr>
            <w:tcW w:type="dxa" w:w="2736"/>
            <w:shd w:val="clear" w:color="auto" w:fill="F0F4F8"/>
          </w:tcPr>
          <w:p>
            <w:pPr>
              <w:spacing w:before="60" w:after="60"/>
              <w:jc w:val="center"/>
            </w:pPr>
            <w:r>
              <w:rPr>
                <w:rFonts w:ascii="Arial" w:hAnsi="Arial"/>
                <w:sz w:val="20"/>
              </w:rPr>
              <w:t>GAME_HALF</w:t>
            </w:r>
          </w:p>
        </w:tc>
        <w:tc>
          <w:tcPr>
            <w:tcW w:type="dxa" w:w="3312"/>
            <w:shd w:val="clear" w:color="auto" w:fill="F0F4F8"/>
          </w:tcPr>
          <w:p>
            <w:pPr>
              <w:spacing w:before="60" w:after="60"/>
              <w:jc w:val="center"/>
            </w:pPr>
            <w:r>
              <w:rPr>
                <w:rFonts w:ascii="Arial" w:hAnsi="Arial"/>
                <w:sz w:val="20"/>
              </w:rPr>
              <w:t>GAME_DATE, SEASON</w:t>
            </w:r>
          </w:p>
        </w:tc>
        <w:tc>
          <w:tcPr>
            <w:tcW w:type="dxa" w:w="4464"/>
            <w:shd w:val="clear" w:color="auto" w:fill="F0F4F8"/>
          </w:tcPr>
          <w:p>
            <w:pPr>
              <w:spacing w:before="60" w:after="60"/>
              <w:jc w:val="center"/>
            </w:pPr>
            <w:r>
              <w:rPr>
                <w:rFonts w:ascii="Arial" w:hAnsi="Arial"/>
                <w:sz w:val="20"/>
              </w:rPr>
              <w:t>H1 / H2 split at median game date within each season</w:t>
            </w:r>
          </w:p>
        </w:tc>
      </w:tr>
    </w:tbl>
    <w:p>
      <w:pPr>
        <w:spacing w:after="120"/>
      </w:pPr>
    </w:p>
    <w:p>
      <w:pPr>
        <w:spacing w:before="240" w:after="120"/>
      </w:pPr>
      <w:r>
        <w:rPr>
          <w:rFonts w:ascii="Arial" w:hAnsi="Arial"/>
          <w:b/>
          <w:color w:val="1A1A2E"/>
          <w:sz w:val="26"/>
        </w:rPr>
        <w:t>4.1  Model Feature Set</w:t>
      </w:r>
    </w:p>
    <w:p>
      <w:pPr>
        <w:spacing w:after="120"/>
      </w:pPr>
      <w:r>
        <w:rPr>
          <w:rFonts w:ascii="Arial" w:hAnsi="Arial"/>
          <w:i w:val="0"/>
          <w:sz w:val="22"/>
        </w:rPr>
        <w:t>Thirteen features are passed to each model:</w:t>
      </w:r>
    </w:p>
    <w:tbl>
      <w:tblPr>
        <w:tblStyle w:val="TableGrid"/>
        <w:tblW w:type="auto" w:w="0"/>
        <w:jc w:val="center"/>
        <w:tblLook w:firstColumn="1" w:firstRow="1" w:lastColumn="0" w:lastRow="0" w:noHBand="0" w:noVBand="1" w:val="04A0"/>
      </w:tblPr>
      <w:tblGrid>
        <w:gridCol w:w="3120"/>
        <w:gridCol w:w="3120"/>
        <w:gridCol w:w="3120"/>
      </w:tblGrid>
      <w:tr>
        <w:tc>
          <w:tcPr>
            <w:tcW w:type="dxa" w:w="2592"/>
            <w:shd w:val="clear" w:color="auto" w:fill="1A1A5E"/>
          </w:tcPr>
          <w:p>
            <w:pPr>
              <w:spacing w:before="80" w:after="80"/>
              <w:jc w:val="center"/>
            </w:pPr>
            <w:r>
              <w:rPr>
                <w:rFonts w:ascii="Arial" w:hAnsi="Arial"/>
                <w:b/>
                <w:color w:val="FFFFFF"/>
                <w:sz w:val="20"/>
              </w:rPr>
              <w:t>Feature</w:t>
            </w:r>
          </w:p>
        </w:tc>
        <w:tc>
          <w:tcPr>
            <w:tcW w:type="dxa" w:w="1584"/>
            <w:shd w:val="clear" w:color="auto" w:fill="1A1A5E"/>
          </w:tcPr>
          <w:p>
            <w:pPr>
              <w:spacing w:before="80" w:after="80"/>
              <w:jc w:val="center"/>
            </w:pPr>
            <w:r>
              <w:rPr>
                <w:rFonts w:ascii="Arial" w:hAnsi="Arial"/>
                <w:b/>
                <w:color w:val="FFFFFF"/>
                <w:sz w:val="20"/>
              </w:rPr>
              <w:t>Type</w:t>
            </w:r>
          </w:p>
        </w:tc>
        <w:tc>
          <w:tcPr>
            <w:tcW w:type="dxa" w:w="6336"/>
            <w:shd w:val="clear" w:color="auto" w:fill="1A1A5E"/>
          </w:tcPr>
          <w:p>
            <w:pPr>
              <w:spacing w:before="80" w:after="80"/>
              <w:jc w:val="center"/>
            </w:pPr>
            <w:r>
              <w:rPr>
                <w:rFonts w:ascii="Arial" w:hAnsi="Arial"/>
                <w:b/>
                <w:color w:val="FFFFFF"/>
                <w:sz w:val="20"/>
              </w:rPr>
              <w:t>Rationale</w:t>
            </w:r>
          </w:p>
        </w:tc>
      </w:tr>
      <w:tr>
        <w:tc>
          <w:tcPr>
            <w:tcW w:type="dxa" w:w="2592"/>
            <w:shd w:val="clear" w:color="auto" w:fill="F0F4F8"/>
          </w:tcPr>
          <w:p>
            <w:pPr>
              <w:spacing w:before="60" w:after="60"/>
              <w:jc w:val="center"/>
            </w:pPr>
            <w:r>
              <w:rPr>
                <w:rFonts w:ascii="Arial" w:hAnsi="Arial"/>
                <w:sz w:val="20"/>
              </w:rPr>
              <w:t>LOC_X</w:t>
            </w:r>
          </w:p>
        </w:tc>
        <w:tc>
          <w:tcPr>
            <w:tcW w:type="dxa" w:w="1584"/>
            <w:shd w:val="clear" w:color="auto" w:fill="F0F4F8"/>
          </w:tcPr>
          <w:p>
            <w:pPr>
              <w:spacing w:before="60" w:after="60"/>
              <w:jc w:val="center"/>
            </w:pPr>
            <w:r>
              <w:rPr>
                <w:rFonts w:ascii="Arial" w:hAnsi="Arial"/>
                <w:sz w:val="20"/>
              </w:rPr>
              <w:t>Numeric</w:t>
            </w:r>
          </w:p>
        </w:tc>
        <w:tc>
          <w:tcPr>
            <w:tcW w:type="dxa" w:w="6336"/>
            <w:shd w:val="clear" w:color="auto" w:fill="F0F4F8"/>
          </w:tcPr>
          <w:p>
            <w:pPr>
              <w:spacing w:before="60" w:after="60"/>
              <w:jc w:val="center"/>
            </w:pPr>
            <w:r>
              <w:rPr>
                <w:rFonts w:ascii="Arial" w:hAnsi="Arial"/>
                <w:sz w:val="20"/>
              </w:rPr>
              <w:t>Lateral position on court (origin = basket center)</w:t>
            </w:r>
          </w:p>
        </w:tc>
      </w:tr>
      <w:tr>
        <w:tc>
          <w:tcPr>
            <w:tcW w:type="dxa" w:w="2592"/>
            <w:shd w:val="clear" w:color="auto" w:fill="FFFFFF"/>
          </w:tcPr>
          <w:p>
            <w:pPr>
              <w:spacing w:before="60" w:after="60"/>
              <w:jc w:val="center"/>
            </w:pPr>
            <w:r>
              <w:rPr>
                <w:rFonts w:ascii="Arial" w:hAnsi="Arial"/>
                <w:sz w:val="20"/>
              </w:rPr>
              <w:t>LOC_Y</w:t>
            </w:r>
          </w:p>
        </w:tc>
        <w:tc>
          <w:tcPr>
            <w:tcW w:type="dxa" w:w="1584"/>
            <w:shd w:val="clear" w:color="auto" w:fill="FFFFFF"/>
          </w:tcPr>
          <w:p>
            <w:pPr>
              <w:spacing w:before="60" w:after="60"/>
              <w:jc w:val="center"/>
            </w:pPr>
            <w:r>
              <w:rPr>
                <w:rFonts w:ascii="Arial" w:hAnsi="Arial"/>
                <w:sz w:val="20"/>
              </w:rPr>
              <w:t>Numeric</w:t>
            </w:r>
          </w:p>
        </w:tc>
        <w:tc>
          <w:tcPr>
            <w:tcW w:type="dxa" w:w="6336"/>
            <w:shd w:val="clear" w:color="auto" w:fill="FFFFFF"/>
          </w:tcPr>
          <w:p>
            <w:pPr>
              <w:spacing w:before="60" w:after="60"/>
              <w:jc w:val="center"/>
            </w:pPr>
            <w:r>
              <w:rPr>
                <w:rFonts w:ascii="Arial" w:hAnsi="Arial"/>
                <w:sz w:val="20"/>
              </w:rPr>
              <w:t>Depth from basket toward mid-court</w:t>
            </w:r>
          </w:p>
        </w:tc>
      </w:tr>
      <w:tr>
        <w:tc>
          <w:tcPr>
            <w:tcW w:type="dxa" w:w="2592"/>
            <w:shd w:val="clear" w:color="auto" w:fill="F0F4F8"/>
          </w:tcPr>
          <w:p>
            <w:pPr>
              <w:spacing w:before="60" w:after="60"/>
              <w:jc w:val="center"/>
            </w:pPr>
            <w:r>
              <w:rPr>
                <w:rFonts w:ascii="Arial" w:hAnsi="Arial"/>
                <w:sz w:val="20"/>
              </w:rPr>
              <w:t>SHOT_DISTANCE</w:t>
            </w:r>
          </w:p>
        </w:tc>
        <w:tc>
          <w:tcPr>
            <w:tcW w:type="dxa" w:w="1584"/>
            <w:shd w:val="clear" w:color="auto" w:fill="F0F4F8"/>
          </w:tcPr>
          <w:p>
            <w:pPr>
              <w:spacing w:before="60" w:after="60"/>
              <w:jc w:val="center"/>
            </w:pPr>
            <w:r>
              <w:rPr>
                <w:rFonts w:ascii="Arial" w:hAnsi="Arial"/>
                <w:sz w:val="20"/>
              </w:rPr>
              <w:t>Numeric</w:t>
            </w:r>
          </w:p>
        </w:tc>
        <w:tc>
          <w:tcPr>
            <w:tcW w:type="dxa" w:w="6336"/>
            <w:shd w:val="clear" w:color="auto" w:fill="F0F4F8"/>
          </w:tcPr>
          <w:p>
            <w:pPr>
              <w:spacing w:before="60" w:after="60"/>
              <w:jc w:val="center"/>
            </w:pPr>
            <w:r>
              <w:rPr>
                <w:rFonts w:ascii="Arial" w:hAnsi="Arial"/>
                <w:sz w:val="20"/>
              </w:rPr>
              <w:t>Distance in feet; highly predictive of make probability</w:t>
            </w:r>
          </w:p>
        </w:tc>
      </w:tr>
      <w:tr>
        <w:tc>
          <w:tcPr>
            <w:tcW w:type="dxa" w:w="2592"/>
            <w:shd w:val="clear" w:color="auto" w:fill="FFFFFF"/>
          </w:tcPr>
          <w:p>
            <w:pPr>
              <w:spacing w:before="60" w:after="60"/>
              <w:jc w:val="center"/>
            </w:pPr>
            <w:r>
              <w:rPr>
                <w:rFonts w:ascii="Arial" w:hAnsi="Arial"/>
                <w:sz w:val="20"/>
              </w:rPr>
              <w:t>PERIOD</w:t>
            </w:r>
          </w:p>
        </w:tc>
        <w:tc>
          <w:tcPr>
            <w:tcW w:type="dxa" w:w="1584"/>
            <w:shd w:val="clear" w:color="auto" w:fill="FFFFFF"/>
          </w:tcPr>
          <w:p>
            <w:pPr>
              <w:spacing w:before="60" w:after="60"/>
              <w:jc w:val="center"/>
            </w:pPr>
            <w:r>
              <w:rPr>
                <w:rFonts w:ascii="Arial" w:hAnsi="Arial"/>
                <w:sz w:val="20"/>
              </w:rPr>
              <w:t>Numeric</w:t>
            </w:r>
          </w:p>
        </w:tc>
        <w:tc>
          <w:tcPr>
            <w:tcW w:type="dxa" w:w="6336"/>
            <w:shd w:val="clear" w:color="auto" w:fill="FFFFFF"/>
          </w:tcPr>
          <w:p>
            <w:pPr>
              <w:spacing w:before="60" w:after="60"/>
              <w:jc w:val="center"/>
            </w:pPr>
            <w:r>
              <w:rPr>
                <w:rFonts w:ascii="Arial" w:hAnsi="Arial"/>
                <w:sz w:val="20"/>
              </w:rPr>
              <w:t>Shot difficulty may vary by period / fatigue</w:t>
            </w:r>
          </w:p>
        </w:tc>
      </w:tr>
      <w:tr>
        <w:tc>
          <w:tcPr>
            <w:tcW w:type="dxa" w:w="2592"/>
            <w:shd w:val="clear" w:color="auto" w:fill="F0F4F8"/>
          </w:tcPr>
          <w:p>
            <w:pPr>
              <w:spacing w:before="60" w:after="60"/>
              <w:jc w:val="center"/>
            </w:pPr>
            <w:r>
              <w:rPr>
                <w:rFonts w:ascii="Arial" w:hAnsi="Arial"/>
                <w:sz w:val="20"/>
              </w:rPr>
              <w:t>TIME_REMAINING_SECS</w:t>
            </w:r>
          </w:p>
        </w:tc>
        <w:tc>
          <w:tcPr>
            <w:tcW w:type="dxa" w:w="1584"/>
            <w:shd w:val="clear" w:color="auto" w:fill="F0F4F8"/>
          </w:tcPr>
          <w:p>
            <w:pPr>
              <w:spacing w:before="60" w:after="60"/>
              <w:jc w:val="center"/>
            </w:pPr>
            <w:r>
              <w:rPr>
                <w:rFonts w:ascii="Arial" w:hAnsi="Arial"/>
                <w:sz w:val="20"/>
              </w:rPr>
              <w:t>Numeric</w:t>
            </w:r>
          </w:p>
        </w:tc>
        <w:tc>
          <w:tcPr>
            <w:tcW w:type="dxa" w:w="6336"/>
            <w:shd w:val="clear" w:color="auto" w:fill="F0F4F8"/>
          </w:tcPr>
          <w:p>
            <w:pPr>
              <w:spacing w:before="60" w:after="60"/>
              <w:jc w:val="center"/>
            </w:pPr>
            <w:r>
              <w:rPr>
                <w:rFonts w:ascii="Arial" w:hAnsi="Arial"/>
                <w:sz w:val="20"/>
              </w:rPr>
              <w:t>Desperation shots near the buzzer have different profiles</w:t>
            </w:r>
          </w:p>
        </w:tc>
      </w:tr>
      <w:tr>
        <w:tc>
          <w:tcPr>
            <w:tcW w:type="dxa" w:w="2592"/>
            <w:shd w:val="clear" w:color="auto" w:fill="FFFFFF"/>
          </w:tcPr>
          <w:p>
            <w:pPr>
              <w:spacing w:before="60" w:after="60"/>
              <w:jc w:val="center"/>
            </w:pPr>
            <w:r>
              <w:rPr>
                <w:rFonts w:ascii="Arial" w:hAnsi="Arial"/>
                <w:sz w:val="20"/>
              </w:rPr>
              <w:t>IS_HOME</w:t>
            </w:r>
          </w:p>
        </w:tc>
        <w:tc>
          <w:tcPr>
            <w:tcW w:type="dxa" w:w="1584"/>
            <w:shd w:val="clear" w:color="auto" w:fill="FFFFFF"/>
          </w:tcPr>
          <w:p>
            <w:pPr>
              <w:spacing w:before="60" w:after="60"/>
              <w:jc w:val="center"/>
            </w:pPr>
            <w:r>
              <w:rPr>
                <w:rFonts w:ascii="Arial" w:hAnsi="Arial"/>
                <w:sz w:val="20"/>
              </w:rPr>
              <w:t>Binary</w:t>
            </w:r>
          </w:p>
        </w:tc>
        <w:tc>
          <w:tcPr>
            <w:tcW w:type="dxa" w:w="6336"/>
            <w:shd w:val="clear" w:color="auto" w:fill="FFFFFF"/>
          </w:tcPr>
          <w:p>
            <w:pPr>
              <w:spacing w:before="60" w:after="60"/>
              <w:jc w:val="center"/>
            </w:pPr>
            <w:r>
              <w:rPr>
                <w:rFonts w:ascii="Arial" w:hAnsi="Arial"/>
                <w:sz w:val="20"/>
              </w:rPr>
              <w:t>Home/away splits capture crowd and travel effects</w:t>
            </w:r>
          </w:p>
        </w:tc>
      </w:tr>
      <w:tr>
        <w:tc>
          <w:tcPr>
            <w:tcW w:type="dxa" w:w="2592"/>
            <w:shd w:val="clear" w:color="auto" w:fill="F0F4F8"/>
          </w:tcPr>
          <w:p>
            <w:pPr>
              <w:spacing w:before="60" w:after="60"/>
              <w:jc w:val="center"/>
            </w:pPr>
            <w:r>
              <w:rPr>
                <w:rFonts w:ascii="Arial" w:hAnsi="Arial"/>
                <w:sz w:val="20"/>
              </w:rPr>
              <w:t>TEAM_ID</w:t>
            </w:r>
          </w:p>
        </w:tc>
        <w:tc>
          <w:tcPr>
            <w:tcW w:type="dxa" w:w="1584"/>
            <w:shd w:val="clear" w:color="auto" w:fill="F0F4F8"/>
          </w:tcPr>
          <w:p>
            <w:pPr>
              <w:spacing w:before="60" w:after="60"/>
              <w:jc w:val="center"/>
            </w:pPr>
            <w:r>
              <w:rPr>
                <w:rFonts w:ascii="Arial" w:hAnsi="Arial"/>
                <w:sz w:val="20"/>
              </w:rPr>
              <w:t>Categorical</w:t>
            </w:r>
          </w:p>
        </w:tc>
        <w:tc>
          <w:tcPr>
            <w:tcW w:type="dxa" w:w="6336"/>
            <w:shd w:val="clear" w:color="auto" w:fill="F0F4F8"/>
          </w:tcPr>
          <w:p>
            <w:pPr>
              <w:spacing w:before="60" w:after="60"/>
              <w:jc w:val="center"/>
            </w:pPr>
            <w:r>
              <w:rPr>
                <w:rFonts w:ascii="Arial" w:hAnsi="Arial"/>
                <w:sz w:val="20"/>
              </w:rPr>
              <w:t>Captures team-level shooting tendencies</w:t>
            </w:r>
          </w:p>
        </w:tc>
      </w:tr>
      <w:tr>
        <w:tc>
          <w:tcPr>
            <w:tcW w:type="dxa" w:w="2592"/>
            <w:shd w:val="clear" w:color="auto" w:fill="FFFFFF"/>
          </w:tcPr>
          <w:p>
            <w:pPr>
              <w:spacing w:before="60" w:after="60"/>
              <w:jc w:val="center"/>
            </w:pPr>
            <w:r>
              <w:rPr>
                <w:rFonts w:ascii="Arial" w:hAnsi="Arial"/>
                <w:sz w:val="20"/>
              </w:rPr>
              <w:t>OPPONENT_TEAM_ID</w:t>
            </w:r>
          </w:p>
        </w:tc>
        <w:tc>
          <w:tcPr>
            <w:tcW w:type="dxa" w:w="1584"/>
            <w:shd w:val="clear" w:color="auto" w:fill="FFFFFF"/>
          </w:tcPr>
          <w:p>
            <w:pPr>
              <w:spacing w:before="60" w:after="60"/>
              <w:jc w:val="center"/>
            </w:pPr>
            <w:r>
              <w:rPr>
                <w:rFonts w:ascii="Arial" w:hAnsi="Arial"/>
                <w:sz w:val="20"/>
              </w:rPr>
              <w:t>Categorical</w:t>
            </w:r>
          </w:p>
        </w:tc>
        <w:tc>
          <w:tcPr>
            <w:tcW w:type="dxa" w:w="6336"/>
            <w:shd w:val="clear" w:color="auto" w:fill="FFFFFF"/>
          </w:tcPr>
          <w:p>
            <w:pPr>
              <w:spacing w:before="60" w:after="60"/>
              <w:jc w:val="center"/>
            </w:pPr>
            <w:r>
              <w:rPr>
                <w:rFonts w:ascii="Arial" w:hAnsi="Arial"/>
                <w:sz w:val="20"/>
              </w:rPr>
              <w:t>Captures defensive quality of the defending team</w:t>
            </w:r>
          </w:p>
        </w:tc>
      </w:tr>
      <w:tr>
        <w:tc>
          <w:tcPr>
            <w:tcW w:type="dxa" w:w="2592"/>
            <w:shd w:val="clear" w:color="auto" w:fill="F0F4F8"/>
          </w:tcPr>
          <w:p>
            <w:pPr>
              <w:spacing w:before="60" w:after="60"/>
              <w:jc w:val="center"/>
            </w:pPr>
            <w:r>
              <w:rPr>
                <w:rFonts w:ascii="Arial" w:hAnsi="Arial"/>
                <w:sz w:val="20"/>
              </w:rPr>
              <w:t>SHOT_TYPE</w:t>
            </w:r>
          </w:p>
        </w:tc>
        <w:tc>
          <w:tcPr>
            <w:tcW w:type="dxa" w:w="1584"/>
            <w:shd w:val="clear" w:color="auto" w:fill="F0F4F8"/>
          </w:tcPr>
          <w:p>
            <w:pPr>
              <w:spacing w:before="60" w:after="60"/>
              <w:jc w:val="center"/>
            </w:pPr>
            <w:r>
              <w:rPr>
                <w:rFonts w:ascii="Arial" w:hAnsi="Arial"/>
                <w:sz w:val="20"/>
              </w:rPr>
              <w:t>Categorical</w:t>
            </w:r>
          </w:p>
        </w:tc>
        <w:tc>
          <w:tcPr>
            <w:tcW w:type="dxa" w:w="6336"/>
            <w:shd w:val="clear" w:color="auto" w:fill="F0F4F8"/>
          </w:tcPr>
          <w:p>
            <w:pPr>
              <w:spacing w:before="60" w:after="60"/>
              <w:jc w:val="center"/>
            </w:pPr>
            <w:r>
              <w:rPr>
                <w:rFonts w:ascii="Arial" w:hAnsi="Arial"/>
                <w:sz w:val="20"/>
              </w:rPr>
              <w:t>2PT vs 3PT — strong prior on make probability</w:t>
            </w:r>
          </w:p>
        </w:tc>
      </w:tr>
      <w:tr>
        <w:tc>
          <w:tcPr>
            <w:tcW w:type="dxa" w:w="2592"/>
            <w:shd w:val="clear" w:color="auto" w:fill="FFFFFF"/>
          </w:tcPr>
          <w:p>
            <w:pPr>
              <w:spacing w:before="60" w:after="60"/>
              <w:jc w:val="center"/>
            </w:pPr>
            <w:r>
              <w:rPr>
                <w:rFonts w:ascii="Arial" w:hAnsi="Arial"/>
                <w:sz w:val="20"/>
              </w:rPr>
              <w:t>ACTION_TYPE</w:t>
            </w:r>
          </w:p>
        </w:tc>
        <w:tc>
          <w:tcPr>
            <w:tcW w:type="dxa" w:w="1584"/>
            <w:shd w:val="clear" w:color="auto" w:fill="FFFFFF"/>
          </w:tcPr>
          <w:p>
            <w:pPr>
              <w:spacing w:before="60" w:after="60"/>
              <w:jc w:val="center"/>
            </w:pPr>
            <w:r>
              <w:rPr>
                <w:rFonts w:ascii="Arial" w:hAnsi="Arial"/>
                <w:sz w:val="20"/>
              </w:rPr>
              <w:t>Categorical</w:t>
            </w:r>
          </w:p>
        </w:tc>
        <w:tc>
          <w:tcPr>
            <w:tcW w:type="dxa" w:w="6336"/>
            <w:shd w:val="clear" w:color="auto" w:fill="FFFFFF"/>
          </w:tcPr>
          <w:p>
            <w:pPr>
              <w:spacing w:before="60" w:after="60"/>
              <w:jc w:val="center"/>
            </w:pPr>
            <w:r>
              <w:rPr>
                <w:rFonts w:ascii="Arial" w:hAnsi="Arial"/>
                <w:sz w:val="20"/>
              </w:rPr>
              <w:t>Layups and dunks make at much higher rates than jump shots</w:t>
            </w:r>
          </w:p>
        </w:tc>
      </w:tr>
      <w:tr>
        <w:tc>
          <w:tcPr>
            <w:tcW w:type="dxa" w:w="2592"/>
            <w:shd w:val="clear" w:color="auto" w:fill="F0F4F8"/>
          </w:tcPr>
          <w:p>
            <w:pPr>
              <w:spacing w:before="60" w:after="60"/>
              <w:jc w:val="center"/>
            </w:pPr>
            <w:r>
              <w:rPr>
                <w:rFonts w:ascii="Arial" w:hAnsi="Arial"/>
                <w:sz w:val="20"/>
              </w:rPr>
              <w:t>SHOT_ZONE_BASIC</w:t>
            </w:r>
          </w:p>
        </w:tc>
        <w:tc>
          <w:tcPr>
            <w:tcW w:type="dxa" w:w="1584"/>
            <w:shd w:val="clear" w:color="auto" w:fill="F0F4F8"/>
          </w:tcPr>
          <w:p>
            <w:pPr>
              <w:spacing w:before="60" w:after="60"/>
              <w:jc w:val="center"/>
            </w:pPr>
            <w:r>
              <w:rPr>
                <w:rFonts w:ascii="Arial" w:hAnsi="Arial"/>
                <w:sz w:val="20"/>
              </w:rPr>
              <w:t>Categorical</w:t>
            </w:r>
          </w:p>
        </w:tc>
        <w:tc>
          <w:tcPr>
            <w:tcW w:type="dxa" w:w="6336"/>
            <w:shd w:val="clear" w:color="auto" w:fill="F0F4F8"/>
          </w:tcPr>
          <w:p>
            <w:pPr>
              <w:spacing w:before="60" w:after="60"/>
              <w:jc w:val="center"/>
            </w:pPr>
            <w:r>
              <w:rPr>
                <w:rFonts w:ascii="Arial" w:hAnsi="Arial"/>
                <w:sz w:val="20"/>
              </w:rPr>
              <w:t>Zone-level location (Restricted Area, Mid-Range, etc.)</w:t>
            </w:r>
          </w:p>
        </w:tc>
      </w:tr>
      <w:tr>
        <w:tc>
          <w:tcPr>
            <w:tcW w:type="dxa" w:w="2592"/>
            <w:shd w:val="clear" w:color="auto" w:fill="FFFFFF"/>
          </w:tcPr>
          <w:p>
            <w:pPr>
              <w:spacing w:before="60" w:after="60"/>
              <w:jc w:val="center"/>
            </w:pPr>
            <w:r>
              <w:rPr>
                <w:rFonts w:ascii="Arial" w:hAnsi="Arial"/>
                <w:sz w:val="20"/>
              </w:rPr>
              <w:t>SHOT_ZONE_AREA</w:t>
            </w:r>
          </w:p>
        </w:tc>
        <w:tc>
          <w:tcPr>
            <w:tcW w:type="dxa" w:w="1584"/>
            <w:shd w:val="clear" w:color="auto" w:fill="FFFFFF"/>
          </w:tcPr>
          <w:p>
            <w:pPr>
              <w:spacing w:before="60" w:after="60"/>
              <w:jc w:val="center"/>
            </w:pPr>
            <w:r>
              <w:rPr>
                <w:rFonts w:ascii="Arial" w:hAnsi="Arial"/>
                <w:sz w:val="20"/>
              </w:rPr>
              <w:t>Categorical</w:t>
            </w:r>
          </w:p>
        </w:tc>
        <w:tc>
          <w:tcPr>
            <w:tcW w:type="dxa" w:w="6336"/>
            <w:shd w:val="clear" w:color="auto" w:fill="FFFFFF"/>
          </w:tcPr>
          <w:p>
            <w:pPr>
              <w:spacing w:before="60" w:after="60"/>
              <w:jc w:val="center"/>
            </w:pPr>
            <w:r>
              <w:rPr>
                <w:rFonts w:ascii="Arial" w:hAnsi="Arial"/>
                <w:sz w:val="20"/>
              </w:rPr>
              <w:t>Left/right/center area of the court</w:t>
            </w:r>
          </w:p>
        </w:tc>
      </w:tr>
      <w:tr>
        <w:tc>
          <w:tcPr>
            <w:tcW w:type="dxa" w:w="2592"/>
            <w:shd w:val="clear" w:color="auto" w:fill="F0F4F8"/>
          </w:tcPr>
          <w:p>
            <w:pPr>
              <w:spacing w:before="60" w:after="60"/>
              <w:jc w:val="center"/>
            </w:pPr>
            <w:r>
              <w:rPr>
                <w:rFonts w:ascii="Arial" w:hAnsi="Arial"/>
                <w:sz w:val="20"/>
              </w:rPr>
              <w:t>SHOT_ZONE_RANGE</w:t>
            </w:r>
          </w:p>
        </w:tc>
        <w:tc>
          <w:tcPr>
            <w:tcW w:type="dxa" w:w="1584"/>
            <w:shd w:val="clear" w:color="auto" w:fill="F0F4F8"/>
          </w:tcPr>
          <w:p>
            <w:pPr>
              <w:spacing w:before="60" w:after="60"/>
              <w:jc w:val="center"/>
            </w:pPr>
            <w:r>
              <w:rPr>
                <w:rFonts w:ascii="Arial" w:hAnsi="Arial"/>
                <w:sz w:val="20"/>
              </w:rPr>
              <w:t>Categorical</w:t>
            </w:r>
          </w:p>
        </w:tc>
        <w:tc>
          <w:tcPr>
            <w:tcW w:type="dxa" w:w="6336"/>
            <w:shd w:val="clear" w:color="auto" w:fill="F0F4F8"/>
          </w:tcPr>
          <w:p>
            <w:pPr>
              <w:spacing w:before="60" w:after="60"/>
              <w:jc w:val="center"/>
            </w:pPr>
            <w:r>
              <w:rPr>
                <w:rFonts w:ascii="Arial" w:hAnsi="Arial"/>
                <w:sz w:val="20"/>
              </w:rPr>
              <w:t>Distance band within each zone</w:t>
            </w:r>
          </w:p>
        </w:tc>
      </w:tr>
    </w:tbl>
    <w:p>
      <w:pPr>
        <w:spacing w:after="120"/>
      </w:pPr>
    </w:p>
    <w:p>
      <w:pPr>
        <w:spacing w:after="120"/>
      </w:pPr>
      <w:r>
        <w:rPr>
          <w:rFonts w:ascii="Arial" w:hAnsi="Arial"/>
          <w:i/>
          <w:color w:val="555555"/>
          <w:sz w:val="22"/>
        </w:rPr>
        <w:t>Note: PLAYER_ID is deliberately excluded. Including it would cause the model to absorb each player's historical make rate, reducing their SVOE toward zero. The goal is to measure performance above the contextual baseline, not to predict each player's outcome based on their identity.</w:t>
      </w:r>
    </w:p>
    <w:p>
      <w:pPr>
        <w:spacing w:before="360" w:after="120"/>
      </w:pPr>
      <w:r>
        <w:rPr>
          <w:rFonts w:ascii="Arial" w:hAnsi="Arial"/>
          <w:b/>
          <w:color w:val="1A1A5E"/>
          <w:sz w:val="32"/>
        </w:rPr>
        <w:t>5. Modelling</w:t>
      </w:r>
    </w:p>
    <w:p>
      <w:pPr>
        <w:pBdr>
          <w:bottom w:val="single" w:sz="8" w:space="1" w:color="2196F3"/>
        </w:pBdr>
        <w:spacing w:before="40" w:after="200"/>
      </w:pPr>
    </w:p>
    <w:p>
      <w:pPr>
        <w:spacing w:before="240" w:after="120"/>
      </w:pPr>
      <w:r>
        <w:rPr>
          <w:rFonts w:ascii="Arial" w:hAnsi="Arial"/>
          <w:b/>
          <w:color w:val="1A1A2E"/>
          <w:sz w:val="26"/>
        </w:rPr>
        <w:t>5.1  Preprocessing Pipeline</w:t>
      </w:r>
    </w:p>
    <w:p>
      <w:pPr>
        <w:spacing w:after="120"/>
      </w:pPr>
      <w:r>
        <w:rPr>
          <w:rFonts w:ascii="Arial" w:hAnsi="Arial"/>
          <w:i w:val="0"/>
          <w:sz w:val="22"/>
        </w:rPr>
        <w:t>All feature transformation is handled by a scikit-learn ColumnTransformer that is embedded inside each model's Pipeline object:</w:t>
      </w:r>
    </w:p>
    <w:p>
      <w:pPr>
        <w:pStyle w:val="ListBullet"/>
        <w:spacing w:after="60"/>
        <w:ind w:left="360"/>
      </w:pPr>
      <w:r>
        <w:rPr>
          <w:rFonts w:ascii="Arial" w:hAnsi="Arial"/>
          <w:sz w:val="22"/>
        </w:rPr>
        <w:t>Numeric features: StandardScaler (mean=0, std=1) — harmless for trees, required for logistic regression</w:t>
      </w:r>
    </w:p>
    <w:p>
      <w:pPr>
        <w:pStyle w:val="ListBullet"/>
        <w:spacing w:after="60"/>
        <w:ind w:left="360"/>
      </w:pPr>
      <w:r>
        <w:rPr>
          <w:rFonts w:ascii="Arial" w:hAnsi="Arial"/>
          <w:sz w:val="22"/>
        </w:rPr>
        <w:t>Categorical features: OrdinalEncoder with handle_unknown='use_encoded_value' (unknown=-1)</w:t>
      </w:r>
    </w:p>
    <w:p>
      <w:pPr>
        <w:spacing w:after="120"/>
      </w:pPr>
      <w:r>
        <w:rPr>
          <w:rFonts w:ascii="Arial" w:hAnsi="Arial"/>
          <w:i w:val="0"/>
          <w:sz w:val="22"/>
        </w:rPr>
        <w:t>Saving each model as a single joblib file preserves the entire preprocessing chain, ensuring consistent transformation at inference time.</w:t>
      </w:r>
    </w:p>
    <w:p>
      <w:pPr>
        <w:spacing w:before="240" w:after="120"/>
      </w:pPr>
      <w:r>
        <w:rPr>
          <w:rFonts w:ascii="Arial" w:hAnsi="Arial"/>
          <w:b/>
          <w:color w:val="1A1A2E"/>
          <w:sz w:val="26"/>
        </w:rPr>
        <w:t>5.2  Train / Calibration / Test Split</w:t>
      </w:r>
    </w:p>
    <w:p>
      <w:pPr>
        <w:spacing w:after="120"/>
      </w:pPr>
      <w:r>
        <w:rPr>
          <w:rFonts w:ascii="Arial" w:hAnsi="Arial"/>
          <w:i w:val="0"/>
          <w:sz w:val="22"/>
        </w:rPr>
        <w:t>The data is split chronologically to avoid future data leaking into the model:</w:t>
      </w:r>
    </w:p>
    <w:p>
      <w:pPr>
        <w:pStyle w:val="ListBullet"/>
        <w:spacing w:after="60"/>
        <w:ind w:left="360"/>
      </w:pPr>
      <w:r>
        <w:rPr>
          <w:rFonts w:ascii="Arial" w:hAnsi="Arial"/>
          <w:sz w:val="22"/>
        </w:rPr>
        <w:t>Training set: all seasons except the most recent (e.g., 2022-23 through 2024-25)</w:t>
      </w:r>
    </w:p>
    <w:p>
      <w:pPr>
        <w:pStyle w:val="ListBullet"/>
        <w:spacing w:after="60"/>
        <w:ind w:left="360"/>
      </w:pPr>
      <w:r>
        <w:rPr>
          <w:rFonts w:ascii="Arial" w:hAnsi="Arial"/>
          <w:sz w:val="22"/>
        </w:rPr>
        <w:t>Calibration set: 20% random hold-out from the training set</w:t>
      </w:r>
    </w:p>
    <w:p>
      <w:pPr>
        <w:pStyle w:val="ListBullet"/>
        <w:spacing w:after="60"/>
        <w:ind w:left="360"/>
      </w:pPr>
      <w:r>
        <w:rPr>
          <w:rFonts w:ascii="Arial" w:hAnsi="Arial"/>
          <w:sz w:val="22"/>
        </w:rPr>
        <w:t>Test set: the most recent season (e.g., 2025-26)</w:t>
      </w:r>
    </w:p>
    <w:p>
      <w:pPr>
        <w:spacing w:after="120"/>
      </w:pPr>
      <w:r>
        <w:rPr>
          <w:rFonts w:ascii="Arial" w:hAnsi="Arial"/>
          <w:i w:val="0"/>
          <w:sz w:val="22"/>
        </w:rPr>
        <w:t>Chronological splitting is essential: a random split would allow the model to learn from shots in the same season it is evaluated on, inflating performance metrics.</w:t>
      </w:r>
    </w:p>
    <w:p>
      <w:pPr>
        <w:spacing w:before="240" w:after="120"/>
      </w:pPr>
      <w:r>
        <w:rPr>
          <w:rFonts w:ascii="Arial" w:hAnsi="Arial"/>
          <w:b/>
          <w:color w:val="1A1A2E"/>
          <w:sz w:val="26"/>
        </w:rPr>
        <w:t>5.3  Models Trained</w:t>
      </w:r>
    </w:p>
    <w:tbl>
      <w:tblPr>
        <w:tblStyle w:val="TableGrid"/>
        <w:tblW w:type="auto" w:w="0"/>
        <w:jc w:val="center"/>
        <w:tblLook w:firstColumn="1" w:firstRow="1" w:lastColumn="0" w:lastRow="0" w:noHBand="0" w:noVBand="1" w:val="04A0"/>
      </w:tblPr>
      <w:tblGrid>
        <w:gridCol w:w="3120"/>
        <w:gridCol w:w="3120"/>
        <w:gridCol w:w="3120"/>
      </w:tblGrid>
      <w:tr>
        <w:tc>
          <w:tcPr>
            <w:tcW w:type="dxa" w:w="2304"/>
            <w:shd w:val="clear" w:color="auto" w:fill="1A1A5E"/>
          </w:tcPr>
          <w:p>
            <w:pPr>
              <w:spacing w:before="80" w:after="80"/>
              <w:jc w:val="center"/>
            </w:pPr>
            <w:r>
              <w:rPr>
                <w:rFonts w:ascii="Arial" w:hAnsi="Arial"/>
                <w:b/>
                <w:color w:val="FFFFFF"/>
                <w:sz w:val="20"/>
              </w:rPr>
              <w:t>Model</w:t>
            </w:r>
          </w:p>
        </w:tc>
        <w:tc>
          <w:tcPr>
            <w:tcW w:type="dxa" w:w="4032"/>
            <w:shd w:val="clear" w:color="auto" w:fill="1A1A5E"/>
          </w:tcPr>
          <w:p>
            <w:pPr>
              <w:spacing w:before="80" w:after="80"/>
              <w:jc w:val="center"/>
            </w:pPr>
            <w:r>
              <w:rPr>
                <w:rFonts w:ascii="Arial" w:hAnsi="Arial"/>
                <w:b/>
                <w:color w:val="FFFFFF"/>
                <w:sz w:val="20"/>
              </w:rPr>
              <w:t>Key Parameters</w:t>
            </w:r>
          </w:p>
        </w:tc>
        <w:tc>
          <w:tcPr>
            <w:tcW w:type="dxa" w:w="4176"/>
            <w:shd w:val="clear" w:color="auto" w:fill="1A1A5E"/>
          </w:tcPr>
          <w:p>
            <w:pPr>
              <w:spacing w:before="80" w:after="80"/>
              <w:jc w:val="center"/>
            </w:pPr>
            <w:r>
              <w:rPr>
                <w:rFonts w:ascii="Arial" w:hAnsi="Arial"/>
                <w:b/>
                <w:color w:val="FFFFFF"/>
                <w:sz w:val="20"/>
              </w:rPr>
              <w:t>Notes</w:t>
            </w:r>
          </w:p>
        </w:tc>
      </w:tr>
      <w:tr>
        <w:tc>
          <w:tcPr>
            <w:tcW w:type="dxa" w:w="2304"/>
            <w:shd w:val="clear" w:color="auto" w:fill="F0F4F8"/>
          </w:tcPr>
          <w:p>
            <w:pPr>
              <w:spacing w:before="60" w:after="60"/>
              <w:jc w:val="center"/>
            </w:pPr>
            <w:r>
              <w:rPr>
                <w:rFonts w:ascii="Arial" w:hAnsi="Arial"/>
                <w:sz w:val="20"/>
              </w:rPr>
              <w:t>Logistic Regression</w:t>
            </w:r>
          </w:p>
        </w:tc>
        <w:tc>
          <w:tcPr>
            <w:tcW w:type="dxa" w:w="4032"/>
            <w:shd w:val="clear" w:color="auto" w:fill="F0F4F8"/>
          </w:tcPr>
          <w:p>
            <w:pPr>
              <w:spacing w:before="60" w:after="60"/>
              <w:jc w:val="center"/>
            </w:pPr>
            <w:r>
              <w:rPr>
                <w:rFonts w:ascii="Arial" w:hAnsi="Arial"/>
                <w:sz w:val="20"/>
              </w:rPr>
              <w:t>C=0.5, max_iter=1000, class_weight='balanced'</w:t>
            </w:r>
          </w:p>
        </w:tc>
        <w:tc>
          <w:tcPr>
            <w:tcW w:type="dxa" w:w="4176"/>
            <w:shd w:val="clear" w:color="auto" w:fill="F0F4F8"/>
          </w:tcPr>
          <w:p>
            <w:pPr>
              <w:spacing w:before="60" w:after="60"/>
              <w:jc w:val="center"/>
            </w:pPr>
            <w:r>
              <w:rPr>
                <w:rFonts w:ascii="Arial" w:hAnsi="Arial"/>
                <w:sz w:val="20"/>
              </w:rPr>
              <w:t>Baseline. Naturally well-calibrated. Fast to train.</w:t>
            </w:r>
          </w:p>
        </w:tc>
      </w:tr>
      <w:tr>
        <w:tc>
          <w:tcPr>
            <w:tcW w:type="dxa" w:w="2304"/>
            <w:shd w:val="clear" w:color="auto" w:fill="FFFFFF"/>
          </w:tcPr>
          <w:p>
            <w:pPr>
              <w:spacing w:before="60" w:after="60"/>
              <w:jc w:val="center"/>
            </w:pPr>
            <w:r>
              <w:rPr>
                <w:rFonts w:ascii="Arial" w:hAnsi="Arial"/>
                <w:sz w:val="20"/>
              </w:rPr>
              <w:t>Random Forest</w:t>
            </w:r>
          </w:p>
        </w:tc>
        <w:tc>
          <w:tcPr>
            <w:tcW w:type="dxa" w:w="4032"/>
            <w:shd w:val="clear" w:color="auto" w:fill="FFFFFF"/>
          </w:tcPr>
          <w:p>
            <w:pPr>
              <w:spacing w:before="60" w:after="60"/>
              <w:jc w:val="center"/>
            </w:pPr>
            <w:r>
              <w:rPr>
                <w:rFonts w:ascii="Arial" w:hAnsi="Arial"/>
                <w:sz w:val="20"/>
              </w:rPr>
              <w:t>300 trees, max_depth=9, min_samples_leaf=30</w:t>
            </w:r>
          </w:p>
        </w:tc>
        <w:tc>
          <w:tcPr>
            <w:tcW w:type="dxa" w:w="4176"/>
            <w:shd w:val="clear" w:color="auto" w:fill="FFFFFF"/>
          </w:tcPr>
          <w:p>
            <w:pPr>
              <w:spacing w:before="60" w:after="60"/>
              <w:jc w:val="center"/>
            </w:pPr>
            <w:r>
              <w:rPr>
                <w:rFonts w:ascii="Arial" w:hAnsi="Arial"/>
                <w:sz w:val="20"/>
              </w:rPr>
              <w:t>Strong non-linear model. Isotonic calibration applied post-fit.</w:t>
            </w:r>
          </w:p>
        </w:tc>
      </w:tr>
      <w:tr>
        <w:tc>
          <w:tcPr>
            <w:tcW w:type="dxa" w:w="2304"/>
            <w:shd w:val="clear" w:color="auto" w:fill="F0F4F8"/>
          </w:tcPr>
          <w:p>
            <w:pPr>
              <w:spacing w:before="60" w:after="60"/>
              <w:jc w:val="center"/>
            </w:pPr>
            <w:r>
              <w:rPr>
                <w:rFonts w:ascii="Arial" w:hAnsi="Arial"/>
                <w:sz w:val="20"/>
              </w:rPr>
              <w:t>XGBoost</w:t>
            </w:r>
          </w:p>
        </w:tc>
        <w:tc>
          <w:tcPr>
            <w:tcW w:type="dxa" w:w="4032"/>
            <w:shd w:val="clear" w:color="auto" w:fill="F0F4F8"/>
          </w:tcPr>
          <w:p>
            <w:pPr>
              <w:spacing w:before="60" w:after="60"/>
              <w:jc w:val="center"/>
            </w:pPr>
            <w:r>
              <w:rPr>
                <w:rFonts w:ascii="Arial" w:hAnsi="Arial"/>
                <w:sz w:val="20"/>
              </w:rPr>
              <w:t>500 trees, depth=5, lr=0.04, subsample=0.8</w:t>
            </w:r>
          </w:p>
        </w:tc>
        <w:tc>
          <w:tcPr>
            <w:tcW w:type="dxa" w:w="4176"/>
            <w:shd w:val="clear" w:color="auto" w:fill="F0F4F8"/>
          </w:tcPr>
          <w:p>
            <w:pPr>
              <w:spacing w:before="60" w:after="60"/>
              <w:jc w:val="center"/>
            </w:pPr>
            <w:r>
              <w:rPr>
                <w:rFonts w:ascii="Arial" w:hAnsi="Arial"/>
                <w:sz w:val="20"/>
              </w:rPr>
              <w:t>Best performer. Gradient boosting captures complex interactions.</w:t>
            </w:r>
          </w:p>
        </w:tc>
      </w:tr>
    </w:tbl>
    <w:p>
      <w:pPr>
        <w:spacing w:after="120"/>
      </w:pPr>
    </w:p>
    <w:p>
      <w:pPr>
        <w:spacing w:before="240" w:after="120"/>
      </w:pPr>
      <w:r>
        <w:rPr>
          <w:rFonts w:ascii="Arial" w:hAnsi="Arial"/>
          <w:b/>
          <w:color w:val="1A1A2E"/>
          <w:sz w:val="26"/>
        </w:rPr>
        <w:t>5.4  Probability Calibration</w:t>
      </w:r>
    </w:p>
    <w:p>
      <w:pPr>
        <w:spacing w:after="120"/>
      </w:pPr>
      <w:r>
        <w:rPr>
          <w:rFonts w:ascii="Arial" w:hAnsi="Arial"/>
          <w:i w:val="0"/>
          <w:sz w:val="22"/>
        </w:rPr>
        <w:t>Tree-based models (Random Forest and XGBoost) produce probabilities that are not always well-calibrated — they tend to push predictions toward 0 and 1. Poor calibration leads to systematically biased Expected Points, which corrupts the SVOE calculation.</w:t>
      </w:r>
    </w:p>
    <w:p>
      <w:pPr>
        <w:spacing w:after="120"/>
      </w:pPr>
      <w:r>
        <w:rPr>
          <w:rFonts w:ascii="Arial" w:hAnsi="Arial"/>
          <w:i w:val="0"/>
          <w:sz w:val="22"/>
        </w:rPr>
        <w:t>After training each tree model on the training set, an IsotonicRegression calibrator is fit on the held-out calibration set. The calibrator maps raw predicted probabilities to empirical make rates. The final model is a two-step pipeline:</w:t>
      </w:r>
    </w:p>
    <w:tbl>
      <w:tblPr>
        <w:tblW w:type="auto" w:w="0"/>
        <w:jc w:val="center"/>
        <w:tblLook w:firstColumn="1" w:firstRow="1" w:lastColumn="0" w:lastRow="0" w:noHBand="0" w:noVBand="1" w:val="04A0"/>
      </w:tblPr>
      <w:tblGrid>
        <w:gridCol w:w="9360"/>
      </w:tblGrid>
      <w:tr>
        <w:tc>
          <w:tcPr>
            <w:tcW w:type="dxa" w:w="9360"/>
            <w:shd w:val="clear" w:color="auto" w:fill="EFF8FF"/>
            <w:tcBorders>
              <w:top w:val="single" w:sz="6" w:color="2196F3"/>
              <w:bottom w:val="single" w:sz="6" w:color="2196F3"/>
              <w:left w:val="single" w:sz="6" w:color="2196F3"/>
              <w:right w:val="single" w:sz="6" w:color="2196F3"/>
            </w:tcBorders>
          </w:tcPr>
          <w:p>
            <w:pPr>
              <w:spacing w:before="160" w:after="160"/>
              <w:jc w:val="center"/>
            </w:pPr>
            <w:r>
              <w:rPr>
                <w:rFonts w:ascii="Courier New" w:hAnsi="Courier New"/>
                <w:b/>
                <w:color w:val="1A1A5E"/>
                <w:sz w:val="24"/>
              </w:rPr>
              <w:t>P_calibrated  =  IsotonicRegression( P_raw( features ) )</w:t>
            </w:r>
          </w:p>
        </w:tc>
      </w:tr>
    </w:tbl>
    <w:p/>
    <w:p>
      <w:pPr>
        <w:spacing w:before="40" w:after="200"/>
        <w:jc w:val="center"/>
      </w:pPr>
      <w:r>
        <w:rPr>
          <w:rFonts w:ascii="Arial" w:hAnsi="Arial"/>
          <w:i/>
          <w:color w:val="555555"/>
          <w:sz w:val="18"/>
        </w:rPr>
        <w:t>Isotonic regression is monotone — it preserves the rank ordering of predictions while correcting the scale.</w:t>
      </w:r>
    </w:p>
    <w:p>
      <w:pPr>
        <w:spacing w:after="120"/>
      </w:pPr>
      <w:r>
        <w:rPr>
          <w:rFonts w:ascii="Arial" w:hAnsi="Arial"/>
          <w:i w:val="0"/>
          <w:sz w:val="22"/>
        </w:rPr>
        <w:t>Logistic Regression does not require this step because its log-odds formulation already produces well-calibrated probabilities. Calibration quality is verified visually with a calibration curve comparing predicted probabilities to actual make rates across binned predictions.</w:t>
      </w:r>
    </w:p>
    <w:p>
      <w:pPr>
        <w:spacing w:before="360" w:after="120"/>
      </w:pPr>
      <w:r>
        <w:rPr>
          <w:rFonts w:ascii="Arial" w:hAnsi="Arial"/>
          <w:b/>
          <w:color w:val="1A1A5E"/>
          <w:sz w:val="32"/>
        </w:rPr>
        <w:t>6. Model Evaluation</w:t>
      </w:r>
    </w:p>
    <w:p>
      <w:pPr>
        <w:pBdr>
          <w:bottom w:val="single" w:sz="8" w:space="1" w:color="2196F3"/>
        </w:pBdr>
        <w:spacing w:before="40" w:after="200"/>
      </w:pPr>
    </w:p>
    <w:p>
      <w:pPr>
        <w:spacing w:after="120"/>
      </w:pPr>
      <w:r>
        <w:rPr>
          <w:rFonts w:ascii="Arial" w:hAnsi="Arial"/>
          <w:i w:val="0"/>
          <w:sz w:val="22"/>
        </w:rPr>
        <w:t>Three metrics are computed on the held-out test set for each model:</w:t>
      </w:r>
    </w:p>
    <w:tbl>
      <w:tblPr>
        <w:tblStyle w:val="TableGrid"/>
        <w:tblW w:type="auto" w:w="0"/>
        <w:jc w:val="center"/>
        <w:tblLook w:firstColumn="1" w:firstRow="1" w:lastColumn="0" w:lastRow="0" w:noHBand="0" w:noVBand="1" w:val="04A0"/>
      </w:tblPr>
      <w:tblGrid>
        <w:gridCol w:w="3120"/>
        <w:gridCol w:w="3120"/>
        <w:gridCol w:w="3120"/>
      </w:tblGrid>
      <w:tr>
        <w:tc>
          <w:tcPr>
            <w:tcW w:type="dxa" w:w="2016"/>
            <w:shd w:val="clear" w:color="auto" w:fill="1A1A5E"/>
          </w:tcPr>
          <w:p>
            <w:pPr>
              <w:spacing w:before="80" w:after="80"/>
              <w:jc w:val="center"/>
            </w:pPr>
            <w:r>
              <w:rPr>
                <w:rFonts w:ascii="Arial" w:hAnsi="Arial"/>
                <w:b/>
                <w:color w:val="FFFFFF"/>
                <w:sz w:val="20"/>
              </w:rPr>
              <w:t>Metric</w:t>
            </w:r>
          </w:p>
        </w:tc>
        <w:tc>
          <w:tcPr>
            <w:tcW w:type="dxa" w:w="3600"/>
            <w:shd w:val="clear" w:color="auto" w:fill="1A1A5E"/>
          </w:tcPr>
          <w:p>
            <w:pPr>
              <w:spacing w:before="80" w:after="80"/>
              <w:jc w:val="center"/>
            </w:pPr>
            <w:r>
              <w:rPr>
                <w:rFonts w:ascii="Arial" w:hAnsi="Arial"/>
                <w:b/>
                <w:color w:val="FFFFFF"/>
                <w:sz w:val="20"/>
              </w:rPr>
              <w:t>Formula</w:t>
            </w:r>
          </w:p>
        </w:tc>
        <w:tc>
          <w:tcPr>
            <w:tcW w:type="dxa" w:w="4896"/>
            <w:shd w:val="clear" w:color="auto" w:fill="1A1A5E"/>
          </w:tcPr>
          <w:p>
            <w:pPr>
              <w:spacing w:before="80" w:after="80"/>
              <w:jc w:val="center"/>
            </w:pPr>
            <w:r>
              <w:rPr>
                <w:rFonts w:ascii="Arial" w:hAnsi="Arial"/>
                <w:b/>
                <w:color w:val="FFFFFF"/>
                <w:sz w:val="20"/>
              </w:rPr>
              <w:t>Interpretation</w:t>
            </w:r>
          </w:p>
        </w:tc>
      </w:tr>
      <w:tr>
        <w:tc>
          <w:tcPr>
            <w:tcW w:type="dxa" w:w="2016"/>
            <w:shd w:val="clear" w:color="auto" w:fill="F0F4F8"/>
          </w:tcPr>
          <w:p>
            <w:pPr>
              <w:spacing w:before="60" w:after="60"/>
              <w:jc w:val="center"/>
            </w:pPr>
            <w:r>
              <w:rPr>
                <w:rFonts w:ascii="Arial" w:hAnsi="Arial"/>
                <w:sz w:val="20"/>
              </w:rPr>
              <w:t>Log Loss</w:t>
            </w:r>
          </w:p>
        </w:tc>
        <w:tc>
          <w:tcPr>
            <w:tcW w:type="dxa" w:w="3600"/>
            <w:shd w:val="clear" w:color="auto" w:fill="F0F4F8"/>
          </w:tcPr>
          <w:p>
            <w:pPr>
              <w:spacing w:before="60" w:after="60"/>
              <w:jc w:val="center"/>
            </w:pPr>
            <w:r>
              <w:rPr>
                <w:rFonts w:ascii="Arial" w:hAnsi="Arial"/>
                <w:sz w:val="20"/>
              </w:rPr>
              <w:t>−(1/N) Σ [y log(p) + (1−y) log(1−p)]</w:t>
            </w:r>
          </w:p>
        </w:tc>
        <w:tc>
          <w:tcPr>
            <w:tcW w:type="dxa" w:w="4896"/>
            <w:shd w:val="clear" w:color="auto" w:fill="F0F4F8"/>
          </w:tcPr>
          <w:p>
            <w:pPr>
              <w:spacing w:before="60" w:after="60"/>
              <w:jc w:val="center"/>
            </w:pPr>
            <w:r>
              <w:rPr>
                <w:rFonts w:ascii="Arial" w:hAnsi="Arial"/>
                <w:sz w:val="20"/>
              </w:rPr>
              <w:t>Overall probability quality. Lower is better. Sensitive to overconfident wrong predictions.</w:t>
            </w:r>
          </w:p>
        </w:tc>
      </w:tr>
      <w:tr>
        <w:tc>
          <w:tcPr>
            <w:tcW w:type="dxa" w:w="2016"/>
            <w:shd w:val="clear" w:color="auto" w:fill="FFFFFF"/>
          </w:tcPr>
          <w:p>
            <w:pPr>
              <w:spacing w:before="60" w:after="60"/>
              <w:jc w:val="center"/>
            </w:pPr>
            <w:r>
              <w:rPr>
                <w:rFonts w:ascii="Arial" w:hAnsi="Arial"/>
                <w:sz w:val="20"/>
              </w:rPr>
              <w:t>Brier Score</w:t>
            </w:r>
          </w:p>
        </w:tc>
        <w:tc>
          <w:tcPr>
            <w:tcW w:type="dxa" w:w="3600"/>
            <w:shd w:val="clear" w:color="auto" w:fill="FFFFFF"/>
          </w:tcPr>
          <w:p>
            <w:pPr>
              <w:spacing w:before="60" w:after="60"/>
              <w:jc w:val="center"/>
            </w:pPr>
            <w:r>
              <w:rPr>
                <w:rFonts w:ascii="Arial" w:hAnsi="Arial"/>
                <w:sz w:val="20"/>
              </w:rPr>
              <w:t>(1/N) Σ (p − y)²</w:t>
            </w:r>
          </w:p>
        </w:tc>
        <w:tc>
          <w:tcPr>
            <w:tcW w:type="dxa" w:w="4896"/>
            <w:shd w:val="clear" w:color="auto" w:fill="FFFFFF"/>
          </w:tcPr>
          <w:p>
            <w:pPr>
              <w:spacing w:before="60" w:after="60"/>
              <w:jc w:val="center"/>
            </w:pPr>
            <w:r>
              <w:rPr>
                <w:rFonts w:ascii="Arial" w:hAnsi="Arial"/>
                <w:sz w:val="20"/>
              </w:rPr>
              <w:t>Mean squared error of probabilities. Lower = better calibration. Primary model selection criterion.</w:t>
            </w:r>
          </w:p>
        </w:tc>
      </w:tr>
      <w:tr>
        <w:tc>
          <w:tcPr>
            <w:tcW w:type="dxa" w:w="2016"/>
            <w:shd w:val="clear" w:color="auto" w:fill="F0F4F8"/>
          </w:tcPr>
          <w:p>
            <w:pPr>
              <w:spacing w:before="60" w:after="60"/>
              <w:jc w:val="center"/>
            </w:pPr>
            <w:r>
              <w:rPr>
                <w:rFonts w:ascii="Arial" w:hAnsi="Arial"/>
                <w:sz w:val="20"/>
              </w:rPr>
              <w:t>ROC-AUC</w:t>
            </w:r>
          </w:p>
        </w:tc>
        <w:tc>
          <w:tcPr>
            <w:tcW w:type="dxa" w:w="3600"/>
            <w:shd w:val="clear" w:color="auto" w:fill="F0F4F8"/>
          </w:tcPr>
          <w:p>
            <w:pPr>
              <w:spacing w:before="60" w:after="60"/>
              <w:jc w:val="center"/>
            </w:pPr>
            <w:r>
              <w:rPr>
                <w:rFonts w:ascii="Arial" w:hAnsi="Arial"/>
                <w:sz w:val="20"/>
              </w:rPr>
              <w:t>Area under ROC curve</w:t>
            </w:r>
          </w:p>
        </w:tc>
        <w:tc>
          <w:tcPr>
            <w:tcW w:type="dxa" w:w="4896"/>
            <w:shd w:val="clear" w:color="auto" w:fill="F0F4F8"/>
          </w:tcPr>
          <w:p>
            <w:pPr>
              <w:spacing w:before="60" w:after="60"/>
              <w:jc w:val="center"/>
            </w:pPr>
            <w:r>
              <w:rPr>
                <w:rFonts w:ascii="Arial" w:hAnsi="Arial"/>
                <w:sz w:val="20"/>
              </w:rPr>
              <w:t>Discrimination: how well the model ranks makes above misses. 0.5 = random, 1.0 = perfect.</w:t>
            </w:r>
          </w:p>
        </w:tc>
      </w:tr>
    </w:tbl>
    <w:p>
      <w:pPr>
        <w:spacing w:after="120"/>
      </w:pPr>
    </w:p>
    <w:p>
      <w:pPr>
        <w:spacing w:after="120"/>
      </w:pPr>
      <w:r>
        <w:rPr>
          <w:rFonts w:ascii="Arial" w:hAnsi="Arial"/>
          <w:i w:val="0"/>
          <w:sz w:val="22"/>
        </w:rPr>
        <w:t>The model with the lowest Brier score is selected as the best model. Brier score is preferred over log loss for this application because it penalises miscalibration in a way that directly corresponds to errors in Expected Points — a 0.05 error in predicted probability translates to a 0.05 × shot_value error in Expected Points per shot.</w:t>
      </w:r>
    </w:p>
    <w:p>
      <w:pPr>
        <w:spacing w:after="120"/>
      </w:pPr>
      <w:r>
        <w:rPr>
          <w:rFonts w:ascii="Arial" w:hAnsi="Arial"/>
          <w:i/>
          <w:color w:val="555555"/>
          <w:sz w:val="22"/>
        </w:rPr>
        <w:t>Results from the current model run (XGBoost selected as best):</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880"/>
            <w:shd w:val="clear" w:color="auto" w:fill="1A1A5E"/>
          </w:tcPr>
          <w:p>
            <w:pPr>
              <w:spacing w:before="80" w:after="80"/>
              <w:jc w:val="center"/>
            </w:pPr>
            <w:r>
              <w:rPr>
                <w:rFonts w:ascii="Arial" w:hAnsi="Arial"/>
                <w:b/>
                <w:color w:val="FFFFFF"/>
                <w:sz w:val="20"/>
              </w:rPr>
              <w:t>Model</w:t>
            </w:r>
          </w:p>
        </w:tc>
        <w:tc>
          <w:tcPr>
            <w:tcW w:type="dxa" w:w="2160"/>
            <w:shd w:val="clear" w:color="auto" w:fill="1A1A5E"/>
          </w:tcPr>
          <w:p>
            <w:pPr>
              <w:spacing w:before="80" w:after="80"/>
              <w:jc w:val="center"/>
            </w:pPr>
            <w:r>
              <w:rPr>
                <w:rFonts w:ascii="Arial" w:hAnsi="Arial"/>
                <w:b/>
                <w:color w:val="FFFFFF"/>
                <w:sz w:val="20"/>
              </w:rPr>
              <w:t>Log Loss</w:t>
            </w:r>
          </w:p>
        </w:tc>
        <w:tc>
          <w:tcPr>
            <w:tcW w:type="dxa" w:w="2160"/>
            <w:shd w:val="clear" w:color="auto" w:fill="1A1A5E"/>
          </w:tcPr>
          <w:p>
            <w:pPr>
              <w:spacing w:before="80" w:after="80"/>
              <w:jc w:val="center"/>
            </w:pPr>
            <w:r>
              <w:rPr>
                <w:rFonts w:ascii="Arial" w:hAnsi="Arial"/>
                <w:b/>
                <w:color w:val="FFFFFF"/>
                <w:sz w:val="20"/>
              </w:rPr>
              <w:t>Brier Score</w:t>
            </w:r>
          </w:p>
        </w:tc>
        <w:tc>
          <w:tcPr>
            <w:tcW w:type="dxa" w:w="2160"/>
            <w:shd w:val="clear" w:color="auto" w:fill="1A1A5E"/>
          </w:tcPr>
          <w:p>
            <w:pPr>
              <w:spacing w:before="80" w:after="80"/>
              <w:jc w:val="center"/>
            </w:pPr>
            <w:r>
              <w:rPr>
                <w:rFonts w:ascii="Arial" w:hAnsi="Arial"/>
                <w:b/>
                <w:color w:val="FFFFFF"/>
                <w:sz w:val="20"/>
              </w:rPr>
              <w:t>ROC-AUC</w:t>
            </w:r>
          </w:p>
        </w:tc>
      </w:tr>
      <w:tr>
        <w:tc>
          <w:tcPr>
            <w:tcW w:type="dxa" w:w="2880"/>
            <w:shd w:val="clear" w:color="auto" w:fill="F0F4F8"/>
          </w:tcPr>
          <w:p>
            <w:pPr>
              <w:spacing w:before="60" w:after="60"/>
              <w:jc w:val="center"/>
            </w:pPr>
            <w:r>
              <w:rPr>
                <w:rFonts w:ascii="Arial" w:hAnsi="Arial"/>
                <w:sz w:val="20"/>
              </w:rPr>
              <w:t>Logistic Regression</w:t>
            </w:r>
          </w:p>
        </w:tc>
        <w:tc>
          <w:tcPr>
            <w:tcW w:type="dxa" w:w="2160"/>
            <w:shd w:val="clear" w:color="auto" w:fill="F0F4F8"/>
          </w:tcPr>
          <w:p>
            <w:pPr>
              <w:spacing w:before="60" w:after="60"/>
              <w:jc w:val="center"/>
            </w:pPr>
            <w:r>
              <w:rPr>
                <w:rFonts w:ascii="Arial" w:hAnsi="Arial"/>
                <w:sz w:val="20"/>
              </w:rPr>
              <w:t>~0.66</w:t>
            </w:r>
          </w:p>
        </w:tc>
        <w:tc>
          <w:tcPr>
            <w:tcW w:type="dxa" w:w="2160"/>
            <w:shd w:val="clear" w:color="auto" w:fill="F0F4F8"/>
          </w:tcPr>
          <w:p>
            <w:pPr>
              <w:spacing w:before="60" w:after="60"/>
              <w:jc w:val="center"/>
            </w:pPr>
            <w:r>
              <w:rPr>
                <w:rFonts w:ascii="Arial" w:hAnsi="Arial"/>
                <w:sz w:val="20"/>
              </w:rPr>
              <w:t>~0.232</w:t>
            </w:r>
          </w:p>
        </w:tc>
        <w:tc>
          <w:tcPr>
            <w:tcW w:type="dxa" w:w="2160"/>
            <w:shd w:val="clear" w:color="auto" w:fill="F0F4F8"/>
          </w:tcPr>
          <w:p>
            <w:pPr>
              <w:spacing w:before="60" w:after="60"/>
              <w:jc w:val="center"/>
            </w:pPr>
            <w:r>
              <w:rPr>
                <w:rFonts w:ascii="Arial" w:hAnsi="Arial"/>
                <w:sz w:val="20"/>
              </w:rPr>
              <w:t>~0.638</w:t>
            </w:r>
          </w:p>
        </w:tc>
      </w:tr>
      <w:tr>
        <w:tc>
          <w:tcPr>
            <w:tcW w:type="dxa" w:w="2880"/>
            <w:shd w:val="clear" w:color="auto" w:fill="FFFFFF"/>
          </w:tcPr>
          <w:p>
            <w:pPr>
              <w:spacing w:before="60" w:after="60"/>
              <w:jc w:val="center"/>
            </w:pPr>
            <w:r>
              <w:rPr>
                <w:rFonts w:ascii="Arial" w:hAnsi="Arial"/>
                <w:sz w:val="20"/>
              </w:rPr>
              <w:t>Random Forest</w:t>
            </w:r>
          </w:p>
        </w:tc>
        <w:tc>
          <w:tcPr>
            <w:tcW w:type="dxa" w:w="2160"/>
            <w:shd w:val="clear" w:color="auto" w:fill="FFFFFF"/>
          </w:tcPr>
          <w:p>
            <w:pPr>
              <w:spacing w:before="60" w:after="60"/>
              <w:jc w:val="center"/>
            </w:pPr>
            <w:r>
              <w:rPr>
                <w:rFonts w:ascii="Arial" w:hAnsi="Arial"/>
                <w:sz w:val="20"/>
              </w:rPr>
              <w:t>~0.64</w:t>
            </w:r>
          </w:p>
        </w:tc>
        <w:tc>
          <w:tcPr>
            <w:tcW w:type="dxa" w:w="2160"/>
            <w:shd w:val="clear" w:color="auto" w:fill="FFFFFF"/>
          </w:tcPr>
          <w:p>
            <w:pPr>
              <w:spacing w:before="60" w:after="60"/>
              <w:jc w:val="center"/>
            </w:pPr>
            <w:r>
              <w:rPr>
                <w:rFonts w:ascii="Arial" w:hAnsi="Arial"/>
                <w:sz w:val="20"/>
              </w:rPr>
              <w:t>~0.228</w:t>
            </w:r>
          </w:p>
        </w:tc>
        <w:tc>
          <w:tcPr>
            <w:tcW w:type="dxa" w:w="2160"/>
            <w:shd w:val="clear" w:color="auto" w:fill="FFFFFF"/>
          </w:tcPr>
          <w:p>
            <w:pPr>
              <w:spacing w:before="60" w:after="60"/>
              <w:jc w:val="center"/>
            </w:pPr>
            <w:r>
              <w:rPr>
                <w:rFonts w:ascii="Arial" w:hAnsi="Arial"/>
                <w:sz w:val="20"/>
              </w:rPr>
              <w:t>~0.652</w:t>
            </w:r>
          </w:p>
        </w:tc>
      </w:tr>
      <w:tr>
        <w:tc>
          <w:tcPr>
            <w:tcW w:type="dxa" w:w="2880"/>
            <w:shd w:val="clear" w:color="auto" w:fill="F0F4F8"/>
          </w:tcPr>
          <w:p>
            <w:pPr>
              <w:spacing w:before="60" w:after="60"/>
              <w:jc w:val="center"/>
            </w:pPr>
            <w:r>
              <w:rPr>
                <w:rFonts w:ascii="Arial" w:hAnsi="Arial"/>
                <w:sz w:val="20"/>
              </w:rPr>
              <w:t>XGBoost ✓</w:t>
            </w:r>
          </w:p>
        </w:tc>
        <w:tc>
          <w:tcPr>
            <w:tcW w:type="dxa" w:w="2160"/>
            <w:shd w:val="clear" w:color="auto" w:fill="F0F4F8"/>
          </w:tcPr>
          <w:p>
            <w:pPr>
              <w:spacing w:before="60" w:after="60"/>
              <w:jc w:val="center"/>
            </w:pPr>
            <w:r>
              <w:rPr>
                <w:rFonts w:ascii="Arial" w:hAnsi="Arial"/>
                <w:sz w:val="20"/>
              </w:rPr>
              <w:t>0.637</w:t>
            </w:r>
          </w:p>
        </w:tc>
        <w:tc>
          <w:tcPr>
            <w:tcW w:type="dxa" w:w="2160"/>
            <w:shd w:val="clear" w:color="auto" w:fill="F0F4F8"/>
          </w:tcPr>
          <w:p>
            <w:pPr>
              <w:spacing w:before="60" w:after="60"/>
              <w:jc w:val="center"/>
            </w:pPr>
            <w:r>
              <w:rPr>
                <w:rFonts w:ascii="Arial" w:hAnsi="Arial"/>
                <w:sz w:val="20"/>
              </w:rPr>
              <w:t>0.2242</w:t>
            </w:r>
          </w:p>
        </w:tc>
        <w:tc>
          <w:tcPr>
            <w:tcW w:type="dxa" w:w="2160"/>
            <w:shd w:val="clear" w:color="auto" w:fill="F0F4F8"/>
          </w:tcPr>
          <w:p>
            <w:pPr>
              <w:spacing w:before="60" w:after="60"/>
              <w:jc w:val="center"/>
            </w:pPr>
            <w:r>
              <w:rPr>
                <w:rFonts w:ascii="Arial" w:hAnsi="Arial"/>
                <w:sz w:val="20"/>
              </w:rPr>
              <w:t>0.6604</w:t>
            </w:r>
          </w:p>
        </w:tc>
      </w:tr>
    </w:tbl>
    <w:p>
      <w:pPr>
        <w:spacing w:after="120"/>
      </w:pPr>
    </w:p>
    <w:p>
      <w:pPr>
        <w:spacing w:after="120"/>
      </w:pPr>
      <w:r>
        <w:rPr>
          <w:rFonts w:ascii="Arial" w:hAnsi="Arial"/>
          <w:i/>
          <w:color w:val="555555"/>
          <w:sz w:val="22"/>
        </w:rPr>
        <w:t>An AUC of 0.66 reflects the inherent difficulty of predicting basketball shots. Shots are highly stochastic — even the best shooters make fewer than 50% of attempts from distance. The model captures the signal that exists (location, shot type, context) without overfitting to noise.</w:t>
      </w:r>
    </w:p>
    <w:p>
      <w:pPr>
        <w:spacing w:before="360" w:after="120"/>
      </w:pPr>
      <w:r>
        <w:rPr>
          <w:rFonts w:ascii="Arial" w:hAnsi="Arial"/>
          <w:b/>
          <w:color w:val="1A1A5E"/>
          <w:sz w:val="32"/>
        </w:rPr>
        <w:t>7. SVOE Calculation</w:t>
      </w:r>
    </w:p>
    <w:p>
      <w:pPr>
        <w:pBdr>
          <w:bottom w:val="single" w:sz="8" w:space="1" w:color="2196F3"/>
        </w:pBdr>
        <w:spacing w:before="40" w:after="200"/>
      </w:pPr>
    </w:p>
    <w:p>
      <w:pPr>
        <w:spacing w:after="120"/>
      </w:pPr>
      <w:r>
        <w:rPr>
          <w:rFonts w:ascii="Arial" w:hAnsi="Arial"/>
          <w:i w:val="0"/>
          <w:sz w:val="22"/>
        </w:rPr>
        <w:t>After selecting the best model, it is applied to every shot in the full dataset (all seasons, all teams). Three columns are added to each shot record:</w:t>
      </w:r>
    </w:p>
    <w:tbl>
      <w:tblPr>
        <w:tblStyle w:val="TableGrid"/>
        <w:tblW w:type="auto" w:w="0"/>
        <w:jc w:val="center"/>
        <w:tblLook w:firstColumn="1" w:firstRow="1" w:lastColumn="0" w:lastRow="0" w:noHBand="0" w:noVBand="1" w:val="04A0"/>
      </w:tblPr>
      <w:tblGrid>
        <w:gridCol w:w="4680"/>
        <w:gridCol w:w="4680"/>
      </w:tblGrid>
      <w:tr>
        <w:tc>
          <w:tcPr>
            <w:tcW w:type="dxa" w:w="2880"/>
            <w:shd w:val="clear" w:color="auto" w:fill="1A1A5E"/>
          </w:tcPr>
          <w:p>
            <w:pPr>
              <w:spacing w:before="80" w:after="80"/>
              <w:jc w:val="center"/>
            </w:pPr>
            <w:r>
              <w:rPr>
                <w:rFonts w:ascii="Arial" w:hAnsi="Arial"/>
                <w:b/>
                <w:color w:val="FFFFFF"/>
                <w:sz w:val="20"/>
              </w:rPr>
              <w:t>Column</w:t>
            </w:r>
          </w:p>
        </w:tc>
        <w:tc>
          <w:tcPr>
            <w:tcW w:type="dxa" w:w="7632"/>
            <w:shd w:val="clear" w:color="auto" w:fill="1A1A5E"/>
          </w:tcPr>
          <w:p>
            <w:pPr>
              <w:spacing w:before="80" w:after="80"/>
              <w:jc w:val="center"/>
            </w:pPr>
            <w:r>
              <w:rPr>
                <w:rFonts w:ascii="Arial" w:hAnsi="Arial"/>
                <w:b/>
                <w:color w:val="FFFFFF"/>
                <w:sz w:val="20"/>
              </w:rPr>
              <w:t>Formula</w:t>
            </w:r>
          </w:p>
        </w:tc>
      </w:tr>
      <w:tr>
        <w:tc>
          <w:tcPr>
            <w:tcW w:type="dxa" w:w="2880"/>
            <w:shd w:val="clear" w:color="auto" w:fill="F0F4F8"/>
          </w:tcPr>
          <w:p>
            <w:pPr>
              <w:spacing w:before="60" w:after="60"/>
              <w:jc w:val="center"/>
            </w:pPr>
            <w:r>
              <w:rPr>
                <w:rFonts w:ascii="Arial" w:hAnsi="Arial"/>
                <w:sz w:val="20"/>
              </w:rPr>
              <w:t>PRED_PROB</w:t>
            </w:r>
          </w:p>
        </w:tc>
        <w:tc>
          <w:tcPr>
            <w:tcW w:type="dxa" w:w="7632"/>
            <w:shd w:val="clear" w:color="auto" w:fill="F0F4F8"/>
          </w:tcPr>
          <w:p>
            <w:pPr>
              <w:spacing w:before="60" w:after="60"/>
              <w:jc w:val="center"/>
            </w:pPr>
            <w:r>
              <w:rPr>
                <w:rFonts w:ascii="Arial" w:hAnsi="Arial"/>
                <w:sz w:val="20"/>
              </w:rPr>
              <w:t>Best model's predict_proba output (P of make)</w:t>
            </w:r>
          </w:p>
        </w:tc>
      </w:tr>
      <w:tr>
        <w:tc>
          <w:tcPr>
            <w:tcW w:type="dxa" w:w="2880"/>
            <w:shd w:val="clear" w:color="auto" w:fill="FFFFFF"/>
          </w:tcPr>
          <w:p>
            <w:pPr>
              <w:spacing w:before="60" w:after="60"/>
              <w:jc w:val="center"/>
            </w:pPr>
            <w:r>
              <w:rPr>
                <w:rFonts w:ascii="Arial" w:hAnsi="Arial"/>
                <w:sz w:val="20"/>
              </w:rPr>
              <w:t>EXPECTED_POINTS</w:t>
            </w:r>
          </w:p>
        </w:tc>
        <w:tc>
          <w:tcPr>
            <w:tcW w:type="dxa" w:w="7632"/>
            <w:shd w:val="clear" w:color="auto" w:fill="FFFFFF"/>
          </w:tcPr>
          <w:p>
            <w:pPr>
              <w:spacing w:before="60" w:after="60"/>
              <w:jc w:val="center"/>
            </w:pPr>
            <w:r>
              <w:rPr>
                <w:rFonts w:ascii="Arial" w:hAnsi="Arial"/>
                <w:sz w:val="20"/>
              </w:rPr>
              <w:t>PRED_PROB × SHOT_VALUE</w:t>
            </w:r>
          </w:p>
        </w:tc>
      </w:tr>
      <w:tr>
        <w:tc>
          <w:tcPr>
            <w:tcW w:type="dxa" w:w="2880"/>
            <w:shd w:val="clear" w:color="auto" w:fill="F0F4F8"/>
          </w:tcPr>
          <w:p>
            <w:pPr>
              <w:spacing w:before="60" w:after="60"/>
              <w:jc w:val="center"/>
            </w:pPr>
            <w:r>
              <w:rPr>
                <w:rFonts w:ascii="Arial" w:hAnsi="Arial"/>
                <w:sz w:val="20"/>
              </w:rPr>
              <w:t>ACTUAL_POINTS</w:t>
            </w:r>
          </w:p>
        </w:tc>
        <w:tc>
          <w:tcPr>
            <w:tcW w:type="dxa" w:w="7632"/>
            <w:shd w:val="clear" w:color="auto" w:fill="F0F4F8"/>
          </w:tcPr>
          <w:p>
            <w:pPr>
              <w:spacing w:before="60" w:after="60"/>
              <w:jc w:val="center"/>
            </w:pPr>
            <w:r>
              <w:rPr>
                <w:rFonts w:ascii="Arial" w:hAnsi="Arial"/>
                <w:sz w:val="20"/>
              </w:rPr>
              <w:t>SHOT_MADE_FLAG × SHOT_VALUE</w:t>
            </w:r>
          </w:p>
        </w:tc>
      </w:tr>
      <w:tr>
        <w:tc>
          <w:tcPr>
            <w:tcW w:type="dxa" w:w="2880"/>
            <w:shd w:val="clear" w:color="auto" w:fill="FFFFFF"/>
          </w:tcPr>
          <w:p>
            <w:pPr>
              <w:spacing w:before="60" w:after="60"/>
              <w:jc w:val="center"/>
            </w:pPr>
            <w:r>
              <w:rPr>
                <w:rFonts w:ascii="Arial" w:hAnsi="Arial"/>
                <w:sz w:val="20"/>
              </w:rPr>
              <w:t>SVOE</w:t>
            </w:r>
          </w:p>
        </w:tc>
        <w:tc>
          <w:tcPr>
            <w:tcW w:type="dxa" w:w="7632"/>
            <w:shd w:val="clear" w:color="auto" w:fill="FFFFFF"/>
          </w:tcPr>
          <w:p>
            <w:pPr>
              <w:spacing w:before="60" w:after="60"/>
              <w:jc w:val="center"/>
            </w:pPr>
            <w:r>
              <w:rPr>
                <w:rFonts w:ascii="Arial" w:hAnsi="Arial"/>
                <w:sz w:val="20"/>
              </w:rPr>
              <w:t>ACTUAL_POINTS − EXPECTED_POINTS</w:t>
            </w:r>
          </w:p>
        </w:tc>
      </w:tr>
    </w:tbl>
    <w:p>
      <w:pPr>
        <w:spacing w:after="120"/>
      </w:pPr>
    </w:p>
    <w:p>
      <w:pPr>
        <w:spacing w:after="120"/>
      </w:pPr>
      <w:r>
        <w:rPr>
          <w:rFonts w:ascii="Arial" w:hAnsi="Arial"/>
          <w:i w:val="0"/>
          <w:sz w:val="22"/>
        </w:rPr>
        <w:t>These four columns, combined with the shot metadata, form the final dataset stored in data/processed/shots_with_svoe.parquet. The dashboard reads this file at startup.</w:t>
      </w:r>
    </w:p>
    <w:p>
      <w:pPr>
        <w:spacing w:before="240" w:after="120"/>
      </w:pPr>
      <w:r>
        <w:rPr>
          <w:rFonts w:ascii="Arial" w:hAnsi="Arial"/>
          <w:b/>
          <w:color w:val="1A1A2E"/>
          <w:sz w:val="26"/>
        </w:rPr>
        <w:t>7.1  Aggregation</w:t>
      </w:r>
    </w:p>
    <w:p>
      <w:pPr>
        <w:spacing w:after="120"/>
      </w:pPr>
      <w:r>
        <w:rPr>
          <w:rFonts w:ascii="Arial" w:hAnsi="Arial"/>
          <w:i w:val="0"/>
          <w:sz w:val="22"/>
        </w:rPr>
        <w:t>SVOE can be aggregated over any grouping. The standard summary statistics are:</w:t>
      </w:r>
    </w:p>
    <w:tbl>
      <w:tblPr>
        <w:tblStyle w:val="TableGrid"/>
        <w:tblW w:type="auto" w:w="0"/>
        <w:jc w:val="center"/>
        <w:tblLook w:firstColumn="1" w:firstRow="1" w:lastColumn="0" w:lastRow="0" w:noHBand="0" w:noVBand="1" w:val="04A0"/>
      </w:tblPr>
      <w:tblGrid>
        <w:gridCol w:w="3120"/>
        <w:gridCol w:w="3120"/>
        <w:gridCol w:w="3120"/>
      </w:tblGrid>
      <w:tr>
        <w:tc>
          <w:tcPr>
            <w:tcW w:type="dxa" w:w="2160"/>
            <w:shd w:val="clear" w:color="auto" w:fill="1A1A5E"/>
          </w:tcPr>
          <w:p>
            <w:pPr>
              <w:spacing w:before="80" w:after="80"/>
              <w:jc w:val="center"/>
            </w:pPr>
            <w:r>
              <w:rPr>
                <w:rFonts w:ascii="Arial" w:hAnsi="Arial"/>
                <w:b/>
                <w:color w:val="FFFFFF"/>
                <w:sz w:val="20"/>
              </w:rPr>
              <w:t>Statistic</w:t>
            </w:r>
          </w:p>
        </w:tc>
        <w:tc>
          <w:tcPr>
            <w:tcW w:type="dxa" w:w="3312"/>
            <w:shd w:val="clear" w:color="auto" w:fill="1A1A5E"/>
          </w:tcPr>
          <w:p>
            <w:pPr>
              <w:spacing w:before="80" w:after="80"/>
              <w:jc w:val="center"/>
            </w:pPr>
            <w:r>
              <w:rPr>
                <w:rFonts w:ascii="Arial" w:hAnsi="Arial"/>
                <w:b/>
                <w:color w:val="FFFFFF"/>
                <w:sz w:val="20"/>
              </w:rPr>
              <w:t>Formula</w:t>
            </w:r>
          </w:p>
        </w:tc>
        <w:tc>
          <w:tcPr>
            <w:tcW w:type="dxa" w:w="5040"/>
            <w:shd w:val="clear" w:color="auto" w:fill="1A1A5E"/>
          </w:tcPr>
          <w:p>
            <w:pPr>
              <w:spacing w:before="80" w:after="80"/>
              <w:jc w:val="center"/>
            </w:pPr>
            <w:r>
              <w:rPr>
                <w:rFonts w:ascii="Arial" w:hAnsi="Arial"/>
                <w:b/>
                <w:color w:val="FFFFFF"/>
                <w:sz w:val="20"/>
              </w:rPr>
              <w:t>Meaning</w:t>
            </w:r>
          </w:p>
        </w:tc>
      </w:tr>
      <w:tr>
        <w:tc>
          <w:tcPr>
            <w:tcW w:type="dxa" w:w="2160"/>
            <w:shd w:val="clear" w:color="auto" w:fill="F0F4F8"/>
          </w:tcPr>
          <w:p>
            <w:pPr>
              <w:spacing w:before="60" w:after="60"/>
              <w:jc w:val="center"/>
            </w:pPr>
            <w:r>
              <w:rPr>
                <w:rFonts w:ascii="Arial" w:hAnsi="Arial"/>
                <w:sz w:val="20"/>
              </w:rPr>
              <w:t>Total SVOE</w:t>
            </w:r>
          </w:p>
        </w:tc>
        <w:tc>
          <w:tcPr>
            <w:tcW w:type="dxa" w:w="3312"/>
            <w:shd w:val="clear" w:color="auto" w:fill="F0F4F8"/>
          </w:tcPr>
          <w:p>
            <w:pPr>
              <w:spacing w:before="60" w:after="60"/>
              <w:jc w:val="center"/>
            </w:pPr>
            <w:r>
              <w:rPr>
                <w:rFonts w:ascii="Arial" w:hAnsi="Arial"/>
                <w:sz w:val="20"/>
              </w:rPr>
              <w:t>Σ SVOE</w:t>
            </w:r>
          </w:p>
        </w:tc>
        <w:tc>
          <w:tcPr>
            <w:tcW w:type="dxa" w:w="5040"/>
            <w:shd w:val="clear" w:color="auto" w:fill="F0F4F8"/>
          </w:tcPr>
          <w:p>
            <w:pPr>
              <w:spacing w:before="60" w:after="60"/>
              <w:jc w:val="center"/>
            </w:pPr>
            <w:r>
              <w:rPr>
                <w:rFonts w:ascii="Arial" w:hAnsi="Arial"/>
                <w:sz w:val="20"/>
              </w:rPr>
              <w:t>Cumulative over/under performance in points</w:t>
            </w:r>
          </w:p>
        </w:tc>
      </w:tr>
      <w:tr>
        <w:tc>
          <w:tcPr>
            <w:tcW w:type="dxa" w:w="2160"/>
            <w:shd w:val="clear" w:color="auto" w:fill="FFFFFF"/>
          </w:tcPr>
          <w:p>
            <w:pPr>
              <w:spacing w:before="60" w:after="60"/>
              <w:jc w:val="center"/>
            </w:pPr>
            <w:r>
              <w:rPr>
                <w:rFonts w:ascii="Arial" w:hAnsi="Arial"/>
                <w:sz w:val="20"/>
              </w:rPr>
              <w:t>SVOE / 100</w:t>
            </w:r>
          </w:p>
        </w:tc>
        <w:tc>
          <w:tcPr>
            <w:tcW w:type="dxa" w:w="3312"/>
            <w:shd w:val="clear" w:color="auto" w:fill="FFFFFF"/>
          </w:tcPr>
          <w:p>
            <w:pPr>
              <w:spacing w:before="60" w:after="60"/>
              <w:jc w:val="center"/>
            </w:pPr>
            <w:r>
              <w:rPr>
                <w:rFonts w:ascii="Arial" w:hAnsi="Arial"/>
                <w:sz w:val="20"/>
              </w:rPr>
              <w:t>(Σ SVOE / N) × 100</w:t>
            </w:r>
          </w:p>
        </w:tc>
        <w:tc>
          <w:tcPr>
            <w:tcW w:type="dxa" w:w="5040"/>
            <w:shd w:val="clear" w:color="auto" w:fill="FFFFFF"/>
          </w:tcPr>
          <w:p>
            <w:pPr>
              <w:spacing w:before="60" w:after="60"/>
              <w:jc w:val="center"/>
            </w:pPr>
            <w:r>
              <w:rPr>
                <w:rFonts w:ascii="Arial" w:hAnsi="Arial"/>
                <w:sz w:val="20"/>
              </w:rPr>
              <w:t>Rate per 100 shots — adjusts for volume</w:t>
            </w:r>
          </w:p>
        </w:tc>
      </w:tr>
      <w:tr>
        <w:tc>
          <w:tcPr>
            <w:tcW w:type="dxa" w:w="2160"/>
            <w:shd w:val="clear" w:color="auto" w:fill="F0F4F8"/>
          </w:tcPr>
          <w:p>
            <w:pPr>
              <w:spacing w:before="60" w:after="60"/>
              <w:jc w:val="center"/>
            </w:pPr>
            <w:r>
              <w:rPr>
                <w:rFonts w:ascii="Arial" w:hAnsi="Arial"/>
                <w:sz w:val="20"/>
              </w:rPr>
              <w:t>EP / Shot</w:t>
            </w:r>
          </w:p>
        </w:tc>
        <w:tc>
          <w:tcPr>
            <w:tcW w:type="dxa" w:w="3312"/>
            <w:shd w:val="clear" w:color="auto" w:fill="F0F4F8"/>
          </w:tcPr>
          <w:p>
            <w:pPr>
              <w:spacing w:before="60" w:after="60"/>
              <w:jc w:val="center"/>
            </w:pPr>
            <w:r>
              <w:rPr>
                <w:rFonts w:ascii="Arial" w:hAnsi="Arial"/>
                <w:sz w:val="20"/>
              </w:rPr>
              <w:t>Σ Expected Points / N</w:t>
            </w:r>
          </w:p>
        </w:tc>
        <w:tc>
          <w:tcPr>
            <w:tcW w:type="dxa" w:w="5040"/>
            <w:shd w:val="clear" w:color="auto" w:fill="F0F4F8"/>
          </w:tcPr>
          <w:p>
            <w:pPr>
              <w:spacing w:before="60" w:after="60"/>
              <w:jc w:val="center"/>
            </w:pPr>
            <w:r>
              <w:rPr>
                <w:rFonts w:ascii="Arial" w:hAnsi="Arial"/>
                <w:sz w:val="20"/>
              </w:rPr>
              <w:t>Shot quality: how good are the looks being generated?</w:t>
            </w:r>
          </w:p>
        </w:tc>
      </w:tr>
      <w:tr>
        <w:tc>
          <w:tcPr>
            <w:tcW w:type="dxa" w:w="2160"/>
            <w:shd w:val="clear" w:color="auto" w:fill="FFFFFF"/>
          </w:tcPr>
          <w:p>
            <w:pPr>
              <w:spacing w:before="60" w:after="60"/>
              <w:jc w:val="center"/>
            </w:pPr>
            <w:r>
              <w:rPr>
                <w:rFonts w:ascii="Arial" w:hAnsi="Arial"/>
                <w:sz w:val="20"/>
              </w:rPr>
              <w:t>AP / Shot</w:t>
            </w:r>
          </w:p>
        </w:tc>
        <w:tc>
          <w:tcPr>
            <w:tcW w:type="dxa" w:w="3312"/>
            <w:shd w:val="clear" w:color="auto" w:fill="FFFFFF"/>
          </w:tcPr>
          <w:p>
            <w:pPr>
              <w:spacing w:before="60" w:after="60"/>
              <w:jc w:val="center"/>
            </w:pPr>
            <w:r>
              <w:rPr>
                <w:rFonts w:ascii="Arial" w:hAnsi="Arial"/>
                <w:sz w:val="20"/>
              </w:rPr>
              <w:t>Σ Actual Points / N</w:t>
            </w:r>
          </w:p>
        </w:tc>
        <w:tc>
          <w:tcPr>
            <w:tcW w:type="dxa" w:w="5040"/>
            <w:shd w:val="clear" w:color="auto" w:fill="FFFFFF"/>
          </w:tcPr>
          <w:p>
            <w:pPr>
              <w:spacing w:before="60" w:after="60"/>
              <w:jc w:val="center"/>
            </w:pPr>
            <w:r>
              <w:rPr>
                <w:rFonts w:ascii="Arial" w:hAnsi="Arial"/>
                <w:sz w:val="20"/>
              </w:rPr>
              <w:t>Shooting efficiency: how many points per attempt?</w:t>
            </w:r>
          </w:p>
        </w:tc>
      </w:tr>
    </w:tbl>
    <w:p>
      <w:pPr>
        <w:spacing w:after="120"/>
      </w:pPr>
    </w:p>
    <w:p>
      <w:pPr>
        <w:spacing w:before="360" w:after="120"/>
      </w:pPr>
      <w:r>
        <w:rPr>
          <w:rFonts w:ascii="Arial" w:hAnsi="Arial"/>
          <w:b/>
          <w:color w:val="1A1A5E"/>
          <w:sz w:val="32"/>
        </w:rPr>
        <w:t>8. Key Findings by Shot Zone</w:t>
      </w:r>
    </w:p>
    <w:p>
      <w:pPr>
        <w:pBdr>
          <w:bottom w:val="single" w:sz="8" w:space="1" w:color="2196F3"/>
        </w:pBdr>
        <w:spacing w:before="40" w:after="200"/>
      </w:pPr>
    </w:p>
    <w:p>
      <w:pPr>
        <w:spacing w:after="120"/>
      </w:pPr>
      <w:r>
        <w:rPr>
          <w:rFonts w:ascii="Arial" w:hAnsi="Arial"/>
          <w:i w:val="0"/>
          <w:sz w:val="22"/>
        </w:rPr>
        <w:t>The following zone-level results are observed across all four seasons (2022-23 through 2025-26):</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2448"/>
            <w:shd w:val="clear" w:color="auto" w:fill="1A1A5E"/>
          </w:tcPr>
          <w:p>
            <w:pPr>
              <w:spacing w:before="80" w:after="80"/>
              <w:jc w:val="center"/>
            </w:pPr>
            <w:r>
              <w:rPr>
                <w:rFonts w:ascii="Arial" w:hAnsi="Arial"/>
                <w:b/>
                <w:color w:val="FFFFFF"/>
                <w:sz w:val="20"/>
              </w:rPr>
              <w:t>Shot Zone</w:t>
            </w:r>
          </w:p>
        </w:tc>
        <w:tc>
          <w:tcPr>
            <w:tcW w:type="dxa" w:w="1224"/>
            <w:shd w:val="clear" w:color="auto" w:fill="1A1A5E"/>
          </w:tcPr>
          <w:p>
            <w:pPr>
              <w:spacing w:before="80" w:after="80"/>
              <w:jc w:val="center"/>
            </w:pPr>
            <w:r>
              <w:rPr>
                <w:rFonts w:ascii="Arial" w:hAnsi="Arial"/>
                <w:b/>
                <w:color w:val="FFFFFF"/>
                <w:sz w:val="20"/>
              </w:rPr>
              <w:t>FGA</w:t>
            </w:r>
          </w:p>
        </w:tc>
        <w:tc>
          <w:tcPr>
            <w:tcW w:type="dxa" w:w="1080"/>
            <w:shd w:val="clear" w:color="auto" w:fill="1A1A5E"/>
          </w:tcPr>
          <w:p>
            <w:pPr>
              <w:spacing w:before="80" w:after="80"/>
              <w:jc w:val="center"/>
            </w:pPr>
            <w:r>
              <w:rPr>
                <w:rFonts w:ascii="Arial" w:hAnsi="Arial"/>
                <w:b/>
                <w:color w:val="FFFFFF"/>
                <w:sz w:val="20"/>
              </w:rPr>
              <w:t>EP/Shot</w:t>
            </w:r>
          </w:p>
        </w:tc>
        <w:tc>
          <w:tcPr>
            <w:tcW w:type="dxa" w:w="1080"/>
            <w:shd w:val="clear" w:color="auto" w:fill="1A1A5E"/>
          </w:tcPr>
          <w:p>
            <w:pPr>
              <w:spacing w:before="80" w:after="80"/>
              <w:jc w:val="center"/>
            </w:pPr>
            <w:r>
              <w:rPr>
                <w:rFonts w:ascii="Arial" w:hAnsi="Arial"/>
                <w:b/>
                <w:color w:val="FFFFFF"/>
                <w:sz w:val="20"/>
              </w:rPr>
              <w:t>AP/Shot</w:t>
            </w:r>
          </w:p>
        </w:tc>
        <w:tc>
          <w:tcPr>
            <w:tcW w:type="dxa" w:w="1080"/>
            <w:shd w:val="clear" w:color="auto" w:fill="1A1A5E"/>
          </w:tcPr>
          <w:p>
            <w:pPr>
              <w:spacing w:before="80" w:after="80"/>
              <w:jc w:val="center"/>
            </w:pPr>
            <w:r>
              <w:rPr>
                <w:rFonts w:ascii="Arial" w:hAnsi="Arial"/>
                <w:b/>
                <w:color w:val="FFFFFF"/>
                <w:sz w:val="20"/>
              </w:rPr>
              <w:t>SVOE/100</w:t>
            </w:r>
          </w:p>
        </w:tc>
        <w:tc>
          <w:tcPr>
            <w:tcW w:type="dxa" w:w="3600"/>
            <w:shd w:val="clear" w:color="auto" w:fill="1A1A5E"/>
          </w:tcPr>
          <w:p>
            <w:pPr>
              <w:spacing w:before="80" w:after="80"/>
              <w:jc w:val="center"/>
            </w:pPr>
            <w:r>
              <w:rPr>
                <w:rFonts w:ascii="Arial" w:hAnsi="Arial"/>
                <w:b/>
                <w:color w:val="FFFFFF"/>
                <w:sz w:val="20"/>
              </w:rPr>
              <w:t>Interpretation</w:t>
            </w:r>
          </w:p>
        </w:tc>
      </w:tr>
      <w:tr>
        <w:tc>
          <w:tcPr>
            <w:tcW w:type="dxa" w:w="2448"/>
            <w:shd w:val="clear" w:color="auto" w:fill="F0F4F8"/>
          </w:tcPr>
          <w:p>
            <w:pPr>
              <w:spacing w:before="60" w:after="60"/>
              <w:jc w:val="center"/>
            </w:pPr>
            <w:r>
              <w:rPr>
                <w:rFonts w:ascii="Arial" w:hAnsi="Arial"/>
                <w:sz w:val="20"/>
              </w:rPr>
              <w:t>Above the Break 3</w:t>
            </w:r>
          </w:p>
        </w:tc>
        <w:tc>
          <w:tcPr>
            <w:tcW w:type="dxa" w:w="1224"/>
            <w:shd w:val="clear" w:color="auto" w:fill="F0F4F8"/>
          </w:tcPr>
          <w:p>
            <w:pPr>
              <w:spacing w:before="60" w:after="60"/>
              <w:jc w:val="center"/>
            </w:pPr>
            <w:r>
              <w:rPr>
                <w:rFonts w:ascii="Arial" w:hAnsi="Arial"/>
                <w:sz w:val="20"/>
              </w:rPr>
              <w:t>278,941</w:t>
            </w:r>
          </w:p>
        </w:tc>
        <w:tc>
          <w:tcPr>
            <w:tcW w:type="dxa" w:w="1080"/>
            <w:shd w:val="clear" w:color="auto" w:fill="F0F4F8"/>
          </w:tcPr>
          <w:p>
            <w:pPr>
              <w:spacing w:before="60" w:after="60"/>
              <w:jc w:val="center"/>
            </w:pPr>
            <w:r>
              <w:rPr>
                <w:rFonts w:ascii="Arial" w:hAnsi="Arial"/>
                <w:sz w:val="20"/>
              </w:rPr>
              <w:t>1.058</w:t>
            </w:r>
          </w:p>
        </w:tc>
        <w:tc>
          <w:tcPr>
            <w:tcW w:type="dxa" w:w="1080"/>
            <w:shd w:val="clear" w:color="auto" w:fill="F0F4F8"/>
          </w:tcPr>
          <w:p>
            <w:pPr>
              <w:spacing w:before="60" w:after="60"/>
              <w:jc w:val="center"/>
            </w:pPr>
            <w:r>
              <w:rPr>
                <w:rFonts w:ascii="Arial" w:hAnsi="Arial"/>
                <w:sz w:val="20"/>
              </w:rPr>
              <w:t>1.062</w:t>
            </w:r>
          </w:p>
        </w:tc>
        <w:tc>
          <w:tcPr>
            <w:tcW w:type="dxa" w:w="1080"/>
            <w:shd w:val="clear" w:color="auto" w:fill="F0F4F8"/>
          </w:tcPr>
          <w:p>
            <w:pPr>
              <w:spacing w:before="60" w:after="60"/>
              <w:jc w:val="center"/>
            </w:pPr>
            <w:r>
              <w:rPr>
                <w:rFonts w:ascii="Arial" w:hAnsi="Arial"/>
                <w:sz w:val="20"/>
              </w:rPr>
              <w:t>+0.31</w:t>
            </w:r>
          </w:p>
        </w:tc>
        <w:tc>
          <w:tcPr>
            <w:tcW w:type="dxa" w:w="3600"/>
            <w:shd w:val="clear" w:color="auto" w:fill="F0F4F8"/>
          </w:tcPr>
          <w:p>
            <w:pPr>
              <w:spacing w:before="60" w:after="60"/>
              <w:jc w:val="center"/>
            </w:pPr>
            <w:r>
              <w:rPr>
                <w:rFonts w:ascii="Arial" w:hAnsi="Arial"/>
                <w:sz w:val="20"/>
              </w:rPr>
              <w:t>Neutral — model well-calibrated on high-volume zone</w:t>
            </w:r>
          </w:p>
        </w:tc>
      </w:tr>
      <w:tr>
        <w:tc>
          <w:tcPr>
            <w:tcW w:type="dxa" w:w="2448"/>
            <w:shd w:val="clear" w:color="auto" w:fill="FFFFFF"/>
          </w:tcPr>
          <w:p>
            <w:pPr>
              <w:spacing w:before="60" w:after="60"/>
              <w:jc w:val="center"/>
            </w:pPr>
            <w:r>
              <w:rPr>
                <w:rFonts w:ascii="Arial" w:hAnsi="Arial"/>
                <w:sz w:val="20"/>
              </w:rPr>
              <w:t>Restricted Area</w:t>
            </w:r>
          </w:p>
        </w:tc>
        <w:tc>
          <w:tcPr>
            <w:tcW w:type="dxa" w:w="1224"/>
            <w:shd w:val="clear" w:color="auto" w:fill="FFFFFF"/>
          </w:tcPr>
          <w:p>
            <w:pPr>
              <w:spacing w:before="60" w:after="60"/>
              <w:jc w:val="center"/>
            </w:pPr>
            <w:r>
              <w:rPr>
                <w:rFonts w:ascii="Arial" w:hAnsi="Arial"/>
                <w:sz w:val="20"/>
              </w:rPr>
              <w:t>268,605</w:t>
            </w:r>
          </w:p>
        </w:tc>
        <w:tc>
          <w:tcPr>
            <w:tcW w:type="dxa" w:w="1080"/>
            <w:shd w:val="clear" w:color="auto" w:fill="FFFFFF"/>
          </w:tcPr>
          <w:p>
            <w:pPr>
              <w:spacing w:before="60" w:after="60"/>
              <w:jc w:val="center"/>
            </w:pPr>
            <w:r>
              <w:rPr>
                <w:rFonts w:ascii="Arial" w:hAnsi="Arial"/>
                <w:sz w:val="20"/>
              </w:rPr>
              <w:t>1.339</w:t>
            </w:r>
          </w:p>
        </w:tc>
        <w:tc>
          <w:tcPr>
            <w:tcW w:type="dxa" w:w="1080"/>
            <w:shd w:val="clear" w:color="auto" w:fill="FFFFFF"/>
          </w:tcPr>
          <w:p>
            <w:pPr>
              <w:spacing w:before="60" w:after="60"/>
              <w:jc w:val="center"/>
            </w:pPr>
            <w:r>
              <w:rPr>
                <w:rFonts w:ascii="Arial" w:hAnsi="Arial"/>
                <w:sz w:val="20"/>
              </w:rPr>
              <w:t>1.330</w:t>
            </w:r>
          </w:p>
        </w:tc>
        <w:tc>
          <w:tcPr>
            <w:tcW w:type="dxa" w:w="1080"/>
            <w:shd w:val="clear" w:color="auto" w:fill="FFFFFF"/>
          </w:tcPr>
          <w:p>
            <w:pPr>
              <w:spacing w:before="60" w:after="60"/>
              <w:jc w:val="center"/>
            </w:pPr>
            <w:r>
              <w:rPr>
                <w:rFonts w:ascii="Arial" w:hAnsi="Arial"/>
                <w:sz w:val="20"/>
              </w:rPr>
              <w:t>−0.90</w:t>
            </w:r>
          </w:p>
        </w:tc>
        <w:tc>
          <w:tcPr>
            <w:tcW w:type="dxa" w:w="3600"/>
            <w:shd w:val="clear" w:color="auto" w:fill="FFFFFF"/>
          </w:tcPr>
          <w:p>
            <w:pPr>
              <w:spacing w:before="60" w:after="60"/>
              <w:jc w:val="center"/>
            </w:pPr>
            <w:r>
              <w:rPr>
                <w:rFonts w:ascii="Arial" w:hAnsi="Arial"/>
                <w:sz w:val="20"/>
              </w:rPr>
              <w:t>Model over-estimates rim makes (can't see contest)</w:t>
            </w:r>
          </w:p>
        </w:tc>
      </w:tr>
      <w:tr>
        <w:tc>
          <w:tcPr>
            <w:tcW w:type="dxa" w:w="2448"/>
            <w:shd w:val="clear" w:color="auto" w:fill="F0F4F8"/>
          </w:tcPr>
          <w:p>
            <w:pPr>
              <w:spacing w:before="60" w:after="60"/>
              <w:jc w:val="center"/>
            </w:pPr>
            <w:r>
              <w:rPr>
                <w:rFonts w:ascii="Arial" w:hAnsi="Arial"/>
                <w:sz w:val="20"/>
              </w:rPr>
              <w:t>In The Paint (Non-RA)</w:t>
            </w:r>
          </w:p>
        </w:tc>
        <w:tc>
          <w:tcPr>
            <w:tcW w:type="dxa" w:w="1224"/>
            <w:shd w:val="clear" w:color="auto" w:fill="F0F4F8"/>
          </w:tcPr>
          <w:p>
            <w:pPr>
              <w:spacing w:before="60" w:after="60"/>
              <w:jc w:val="center"/>
            </w:pPr>
            <w:r>
              <w:rPr>
                <w:rFonts w:ascii="Arial" w:hAnsi="Arial"/>
                <w:sz w:val="20"/>
              </w:rPr>
              <w:t>185,686</w:t>
            </w:r>
          </w:p>
        </w:tc>
        <w:tc>
          <w:tcPr>
            <w:tcW w:type="dxa" w:w="1080"/>
            <w:shd w:val="clear" w:color="auto" w:fill="F0F4F8"/>
          </w:tcPr>
          <w:p>
            <w:pPr>
              <w:spacing w:before="60" w:after="60"/>
              <w:jc w:val="center"/>
            </w:pPr>
            <w:r>
              <w:rPr>
                <w:rFonts w:ascii="Arial" w:hAnsi="Arial"/>
                <w:sz w:val="20"/>
              </w:rPr>
              <w:t>0.887</w:t>
            </w:r>
          </w:p>
        </w:tc>
        <w:tc>
          <w:tcPr>
            <w:tcW w:type="dxa" w:w="1080"/>
            <w:shd w:val="clear" w:color="auto" w:fill="F0F4F8"/>
          </w:tcPr>
          <w:p>
            <w:pPr>
              <w:spacing w:before="60" w:after="60"/>
              <w:jc w:val="center"/>
            </w:pPr>
            <w:r>
              <w:rPr>
                <w:rFonts w:ascii="Arial" w:hAnsi="Arial"/>
                <w:sz w:val="20"/>
              </w:rPr>
              <w:t>0.886</w:t>
            </w:r>
          </w:p>
        </w:tc>
        <w:tc>
          <w:tcPr>
            <w:tcW w:type="dxa" w:w="1080"/>
            <w:shd w:val="clear" w:color="auto" w:fill="F0F4F8"/>
          </w:tcPr>
          <w:p>
            <w:pPr>
              <w:spacing w:before="60" w:after="60"/>
              <w:jc w:val="center"/>
            </w:pPr>
            <w:r>
              <w:rPr>
                <w:rFonts w:ascii="Arial" w:hAnsi="Arial"/>
                <w:sz w:val="20"/>
              </w:rPr>
              <w:t>−0.11</w:t>
            </w:r>
          </w:p>
        </w:tc>
        <w:tc>
          <w:tcPr>
            <w:tcW w:type="dxa" w:w="3600"/>
            <w:shd w:val="clear" w:color="auto" w:fill="F0F4F8"/>
          </w:tcPr>
          <w:p>
            <w:pPr>
              <w:spacing w:before="60" w:after="60"/>
              <w:jc w:val="center"/>
            </w:pPr>
            <w:r>
              <w:rPr>
                <w:rFonts w:ascii="Arial" w:hAnsi="Arial"/>
                <w:sz w:val="20"/>
              </w:rPr>
              <w:t>Slightly below expectation — contested paint shots</w:t>
            </w:r>
          </w:p>
        </w:tc>
      </w:tr>
      <w:tr>
        <w:tc>
          <w:tcPr>
            <w:tcW w:type="dxa" w:w="2448"/>
            <w:shd w:val="clear" w:color="auto" w:fill="FFFFFF"/>
          </w:tcPr>
          <w:p>
            <w:pPr>
              <w:spacing w:before="60" w:after="60"/>
              <w:jc w:val="center"/>
            </w:pPr>
            <w:r>
              <w:rPr>
                <w:rFonts w:ascii="Arial" w:hAnsi="Arial"/>
                <w:sz w:val="20"/>
              </w:rPr>
              <w:t>Mid-Range</w:t>
            </w:r>
          </w:p>
        </w:tc>
        <w:tc>
          <w:tcPr>
            <w:tcW w:type="dxa" w:w="1224"/>
            <w:shd w:val="clear" w:color="auto" w:fill="FFFFFF"/>
          </w:tcPr>
          <w:p>
            <w:pPr>
              <w:spacing w:before="60" w:after="60"/>
              <w:jc w:val="center"/>
            </w:pPr>
            <w:r>
              <w:rPr>
                <w:rFonts w:ascii="Arial" w:hAnsi="Arial"/>
                <w:sz w:val="20"/>
              </w:rPr>
              <w:t>100,844</w:t>
            </w:r>
          </w:p>
        </w:tc>
        <w:tc>
          <w:tcPr>
            <w:tcW w:type="dxa" w:w="1080"/>
            <w:shd w:val="clear" w:color="auto" w:fill="FFFFFF"/>
          </w:tcPr>
          <w:p>
            <w:pPr>
              <w:spacing w:before="60" w:after="60"/>
              <w:jc w:val="center"/>
            </w:pPr>
            <w:r>
              <w:rPr>
                <w:rFonts w:ascii="Arial" w:hAnsi="Arial"/>
                <w:sz w:val="20"/>
              </w:rPr>
              <w:t>0.839</w:t>
            </w:r>
          </w:p>
        </w:tc>
        <w:tc>
          <w:tcPr>
            <w:tcW w:type="dxa" w:w="1080"/>
            <w:shd w:val="clear" w:color="auto" w:fill="FFFFFF"/>
          </w:tcPr>
          <w:p>
            <w:pPr>
              <w:spacing w:before="60" w:after="60"/>
              <w:jc w:val="center"/>
            </w:pPr>
            <w:r>
              <w:rPr>
                <w:rFonts w:ascii="Arial" w:hAnsi="Arial"/>
                <w:sz w:val="20"/>
              </w:rPr>
              <w:t>0.838</w:t>
            </w:r>
          </w:p>
        </w:tc>
        <w:tc>
          <w:tcPr>
            <w:tcW w:type="dxa" w:w="1080"/>
            <w:shd w:val="clear" w:color="auto" w:fill="FFFFFF"/>
          </w:tcPr>
          <w:p>
            <w:pPr>
              <w:spacing w:before="60" w:after="60"/>
              <w:jc w:val="center"/>
            </w:pPr>
            <w:r>
              <w:rPr>
                <w:rFonts w:ascii="Arial" w:hAnsi="Arial"/>
                <w:sz w:val="20"/>
              </w:rPr>
              <w:t>−0.14</w:t>
            </w:r>
          </w:p>
        </w:tc>
        <w:tc>
          <w:tcPr>
            <w:tcW w:type="dxa" w:w="3600"/>
            <w:shd w:val="clear" w:color="auto" w:fill="FFFFFF"/>
          </w:tcPr>
          <w:p>
            <w:pPr>
              <w:spacing w:before="60" w:after="60"/>
              <w:jc w:val="center"/>
            </w:pPr>
            <w:r>
              <w:rPr>
                <w:rFonts w:ascii="Arial" w:hAnsi="Arial"/>
                <w:sz w:val="20"/>
              </w:rPr>
              <w:t>Marginally below expectation — tough pull-ups</w:t>
            </w:r>
          </w:p>
        </w:tc>
      </w:tr>
      <w:tr>
        <w:tc>
          <w:tcPr>
            <w:tcW w:type="dxa" w:w="2448"/>
            <w:shd w:val="clear" w:color="auto" w:fill="F0F4F8"/>
          </w:tcPr>
          <w:p>
            <w:pPr>
              <w:spacing w:before="60" w:after="60"/>
              <w:jc w:val="center"/>
            </w:pPr>
            <w:r>
              <w:rPr>
                <w:rFonts w:ascii="Arial" w:hAnsi="Arial"/>
                <w:sz w:val="20"/>
              </w:rPr>
              <w:t>Left Corner 3</w:t>
            </w:r>
          </w:p>
        </w:tc>
        <w:tc>
          <w:tcPr>
            <w:tcW w:type="dxa" w:w="1224"/>
            <w:shd w:val="clear" w:color="auto" w:fill="F0F4F8"/>
          </w:tcPr>
          <w:p>
            <w:pPr>
              <w:spacing w:before="60" w:after="60"/>
              <w:jc w:val="center"/>
            </w:pPr>
            <w:r>
              <w:rPr>
                <w:rFonts w:ascii="Arial" w:hAnsi="Arial"/>
                <w:sz w:val="20"/>
              </w:rPr>
              <w:t>50,104</w:t>
            </w:r>
          </w:p>
        </w:tc>
        <w:tc>
          <w:tcPr>
            <w:tcW w:type="dxa" w:w="1080"/>
            <w:shd w:val="clear" w:color="auto" w:fill="F0F4F8"/>
          </w:tcPr>
          <w:p>
            <w:pPr>
              <w:spacing w:before="60" w:after="60"/>
              <w:jc w:val="center"/>
            </w:pPr>
            <w:r>
              <w:rPr>
                <w:rFonts w:ascii="Arial" w:hAnsi="Arial"/>
                <w:sz w:val="20"/>
              </w:rPr>
              <w:t>1.140</w:t>
            </w:r>
          </w:p>
        </w:tc>
        <w:tc>
          <w:tcPr>
            <w:tcW w:type="dxa" w:w="1080"/>
            <w:shd w:val="clear" w:color="auto" w:fill="F0F4F8"/>
          </w:tcPr>
          <w:p>
            <w:pPr>
              <w:spacing w:before="60" w:after="60"/>
              <w:jc w:val="center"/>
            </w:pPr>
            <w:r>
              <w:rPr>
                <w:rFonts w:ascii="Arial" w:hAnsi="Arial"/>
                <w:sz w:val="20"/>
              </w:rPr>
              <w:t>1.155</w:t>
            </w:r>
          </w:p>
        </w:tc>
        <w:tc>
          <w:tcPr>
            <w:tcW w:type="dxa" w:w="1080"/>
            <w:shd w:val="clear" w:color="auto" w:fill="F0F4F8"/>
          </w:tcPr>
          <w:p>
            <w:pPr>
              <w:spacing w:before="60" w:after="60"/>
              <w:jc w:val="center"/>
            </w:pPr>
            <w:r>
              <w:rPr>
                <w:rFonts w:ascii="Arial" w:hAnsi="Arial"/>
                <w:sz w:val="20"/>
              </w:rPr>
              <w:t>+1.52</w:t>
            </w:r>
          </w:p>
        </w:tc>
        <w:tc>
          <w:tcPr>
            <w:tcW w:type="dxa" w:w="3600"/>
            <w:shd w:val="clear" w:color="auto" w:fill="F0F4F8"/>
          </w:tcPr>
          <w:p>
            <w:pPr>
              <w:spacing w:before="60" w:after="60"/>
              <w:jc w:val="center"/>
            </w:pPr>
            <w:r>
              <w:rPr>
                <w:rFonts w:ascii="Arial" w:hAnsi="Arial"/>
                <w:sz w:val="20"/>
              </w:rPr>
              <w:t>Model underestimates corner 3 — shorter distance</w:t>
            </w:r>
          </w:p>
        </w:tc>
      </w:tr>
      <w:tr>
        <w:tc>
          <w:tcPr>
            <w:tcW w:type="dxa" w:w="2448"/>
            <w:shd w:val="clear" w:color="auto" w:fill="FFFFFF"/>
          </w:tcPr>
          <w:p>
            <w:pPr>
              <w:spacing w:before="60" w:after="60"/>
              <w:jc w:val="center"/>
            </w:pPr>
            <w:r>
              <w:rPr>
                <w:rFonts w:ascii="Arial" w:hAnsi="Arial"/>
                <w:sz w:val="20"/>
              </w:rPr>
              <w:t>Right Corner 3</w:t>
            </w:r>
          </w:p>
        </w:tc>
        <w:tc>
          <w:tcPr>
            <w:tcW w:type="dxa" w:w="1224"/>
            <w:shd w:val="clear" w:color="auto" w:fill="FFFFFF"/>
          </w:tcPr>
          <w:p>
            <w:pPr>
              <w:spacing w:before="60" w:after="60"/>
              <w:jc w:val="center"/>
            </w:pPr>
            <w:r>
              <w:rPr>
                <w:rFonts w:ascii="Arial" w:hAnsi="Arial"/>
                <w:sz w:val="20"/>
              </w:rPr>
              <w:t>46,233</w:t>
            </w:r>
          </w:p>
        </w:tc>
        <w:tc>
          <w:tcPr>
            <w:tcW w:type="dxa" w:w="1080"/>
            <w:shd w:val="clear" w:color="auto" w:fill="FFFFFF"/>
          </w:tcPr>
          <w:p>
            <w:pPr>
              <w:spacing w:before="60" w:after="60"/>
              <w:jc w:val="center"/>
            </w:pPr>
            <w:r>
              <w:rPr>
                <w:rFonts w:ascii="Arial" w:hAnsi="Arial"/>
                <w:sz w:val="20"/>
              </w:rPr>
              <w:t>1.152</w:t>
            </w:r>
          </w:p>
        </w:tc>
        <w:tc>
          <w:tcPr>
            <w:tcW w:type="dxa" w:w="1080"/>
            <w:shd w:val="clear" w:color="auto" w:fill="FFFFFF"/>
          </w:tcPr>
          <w:p>
            <w:pPr>
              <w:spacing w:before="60" w:after="60"/>
              <w:jc w:val="center"/>
            </w:pPr>
            <w:r>
              <w:rPr>
                <w:rFonts w:ascii="Arial" w:hAnsi="Arial"/>
                <w:sz w:val="20"/>
              </w:rPr>
              <w:t>1.163</w:t>
            </w:r>
          </w:p>
        </w:tc>
        <w:tc>
          <w:tcPr>
            <w:tcW w:type="dxa" w:w="1080"/>
            <w:shd w:val="clear" w:color="auto" w:fill="FFFFFF"/>
          </w:tcPr>
          <w:p>
            <w:pPr>
              <w:spacing w:before="60" w:after="60"/>
              <w:jc w:val="center"/>
            </w:pPr>
            <w:r>
              <w:rPr>
                <w:rFonts w:ascii="Arial" w:hAnsi="Arial"/>
                <w:sz w:val="20"/>
              </w:rPr>
              <w:t>+1.03</w:t>
            </w:r>
          </w:p>
        </w:tc>
        <w:tc>
          <w:tcPr>
            <w:tcW w:type="dxa" w:w="3600"/>
            <w:shd w:val="clear" w:color="auto" w:fill="FFFFFF"/>
          </w:tcPr>
          <w:p>
            <w:pPr>
              <w:spacing w:before="60" w:after="60"/>
              <w:jc w:val="center"/>
            </w:pPr>
            <w:r>
              <w:rPr>
                <w:rFonts w:ascii="Arial" w:hAnsi="Arial"/>
                <w:sz w:val="20"/>
              </w:rPr>
              <w:t>Same effect, right side</w:t>
            </w:r>
          </w:p>
        </w:tc>
      </w:tr>
    </w:tbl>
    <w:p>
      <w:pPr>
        <w:spacing w:after="120"/>
      </w:pPr>
    </w:p>
    <w:p>
      <w:pPr>
        <w:spacing w:after="120"/>
      </w:pPr>
      <w:r>
        <w:rPr>
          <w:rFonts w:ascii="Arial" w:hAnsi="Arial"/>
          <w:i w:val="0"/>
          <w:sz w:val="22"/>
        </w:rPr>
        <w:t>These findings align with established basketball analytics intuition:</w:t>
      </w:r>
    </w:p>
    <w:p>
      <w:pPr>
        <w:pStyle w:val="ListBullet"/>
        <w:spacing w:after="60"/>
        <w:ind w:left="360"/>
      </w:pPr>
      <w:r>
        <w:rPr>
          <w:rFonts w:ascii="Arial" w:hAnsi="Arial"/>
          <w:sz w:val="22"/>
        </w:rPr>
        <w:t>Corner 3s outperform expectation (+1.52, +1.03) because they are shorter than above-the-break 3s (~22 ft vs ~23.75 ft) and are frequently left open by defences rotating to protect the paint.</w:t>
      </w:r>
    </w:p>
    <w:p>
      <w:pPr>
        <w:pStyle w:val="ListBullet"/>
        <w:spacing w:after="60"/>
        <w:ind w:left="360"/>
      </w:pPr>
      <w:r>
        <w:rPr>
          <w:rFonts w:ascii="Arial" w:hAnsi="Arial"/>
          <w:sz w:val="22"/>
        </w:rPr>
        <w:t>The Restricted Area underperforms (−0.90) because the model assigns high make probability to all near-rim attempts without knowing whether the shot is contested. Blocked shots and heavily contested layups drag actual make rates below predictions.</w:t>
      </w:r>
    </w:p>
    <w:p>
      <w:pPr>
        <w:pStyle w:val="ListBullet"/>
        <w:spacing w:after="60"/>
        <w:ind w:left="360"/>
      </w:pPr>
      <w:r>
        <w:rPr>
          <w:rFonts w:ascii="Arial" w:hAnsi="Arial"/>
          <w:sz w:val="22"/>
        </w:rPr>
        <w:t>Mid-range shots are slightly below expectation (−0.14), consistent with the widely documented difficulty of pull-up mid-range jumpers in the modern NBA.</w:t>
      </w:r>
    </w:p>
    <w:p>
      <w:pPr>
        <w:pStyle w:val="ListBullet"/>
        <w:spacing w:after="60"/>
        <w:ind w:left="360"/>
      </w:pPr>
      <w:r>
        <w:rPr>
          <w:rFonts w:ascii="Arial" w:hAnsi="Arial"/>
          <w:sz w:val="22"/>
        </w:rPr>
        <w:t>The league-wide SVOE is approximately zero (expected by construction, since the model is trained on the same population it scores).</w:t>
      </w:r>
    </w:p>
    <w:p>
      <w:pPr>
        <w:spacing w:before="360" w:after="120"/>
      </w:pPr>
      <w:r>
        <w:rPr>
          <w:rFonts w:ascii="Arial" w:hAnsi="Arial"/>
          <w:b/>
          <w:color w:val="1A1A5E"/>
          <w:sz w:val="32"/>
        </w:rPr>
        <w:t>9. Limitations &amp; Caveats</w:t>
      </w:r>
    </w:p>
    <w:p>
      <w:pPr>
        <w:pBdr>
          <w:bottom w:val="single" w:sz="8" w:space="1" w:color="2196F3"/>
        </w:pBdr>
        <w:spacing w:before="40" w:after="200"/>
      </w:pPr>
    </w:p>
    <w:p>
      <w:pPr>
        <w:pStyle w:val="ListBullet"/>
        <w:spacing w:after="60"/>
        <w:ind w:left="360"/>
      </w:pPr>
      <w:r>
        <w:rPr>
          <w:rFonts w:ascii="Arial" w:hAnsi="Arial"/>
          <w:sz w:val="22"/>
        </w:rPr>
        <w:t>No shot contest data: the model cannot observe whether a shot is open or tightly contested. This is the primary source of model error, particularly at the rim and on pull-up jumpers.</w:t>
      </w:r>
    </w:p>
    <w:p>
      <w:pPr>
        <w:pStyle w:val="ListBullet"/>
        <w:spacing w:after="60"/>
        <w:ind w:left="360"/>
      </w:pPr>
      <w:r>
        <w:rPr>
          <w:rFonts w:ascii="Arial" w:hAnsi="Arial"/>
          <w:sz w:val="22"/>
        </w:rPr>
        <w:t>No defender identity: the quality of the closest defender is not captured. A layup over a 7-foot shot-blocker and an unguarded breakaway are treated identically.</w:t>
      </w:r>
    </w:p>
    <w:p>
      <w:pPr>
        <w:pStyle w:val="ListBullet"/>
        <w:spacing w:after="60"/>
        <w:ind w:left="360"/>
      </w:pPr>
      <w:r>
        <w:rPr>
          <w:rFonts w:ascii="Arial" w:hAnsi="Arial"/>
          <w:sz w:val="22"/>
        </w:rPr>
        <w:t>No fatigue or injury context: back-to-back games, minutes load, and player health status are not modelled.</w:t>
      </w:r>
    </w:p>
    <w:p>
      <w:pPr>
        <w:pStyle w:val="ListBullet"/>
        <w:spacing w:after="60"/>
        <w:ind w:left="360"/>
      </w:pPr>
      <w:r>
        <w:rPr>
          <w:rFonts w:ascii="Arial" w:hAnsi="Arial"/>
          <w:sz w:val="22"/>
        </w:rPr>
        <w:t>Small-sample noise: SVOE/100 is volatile for players with fewer than ~200 attempts. The dashboard requires a minimum attempts filter (default 100) to reduce noise in the leaderboards.</w:t>
      </w:r>
    </w:p>
    <w:p>
      <w:pPr>
        <w:pStyle w:val="ListBullet"/>
        <w:spacing w:after="60"/>
        <w:ind w:left="360"/>
      </w:pPr>
      <w:r>
        <w:rPr>
          <w:rFonts w:ascii="Arial" w:hAnsi="Arial"/>
          <w:sz w:val="22"/>
        </w:rPr>
        <w:t>Model stationarity: the XGBoost model is trained on historical data. Rule changes, player development, or shifts in league-wide shot selection may reduce accuracy over time. The model should be retrained annually.</w:t>
      </w:r>
    </w:p>
    <w:p>
      <w:pPr>
        <w:pStyle w:val="ListBullet"/>
        <w:spacing w:after="60"/>
        <w:ind w:left="360"/>
      </w:pPr>
      <w:r>
        <w:rPr>
          <w:rFonts w:ascii="Arial" w:hAnsi="Arial"/>
          <w:sz w:val="22"/>
        </w:rPr>
        <w:t>Sustainability: high SVOE/100 in a short window (e.g., the first half of a season) has meaningful but limited predictive power for the second half. The Sustainability tab in the dashboard quantifies year-over-year stability.</w:t>
      </w:r>
    </w:p>
    <w:p>
      <w:pPr>
        <w:spacing w:before="360" w:after="120"/>
      </w:pPr>
      <w:r>
        <w:rPr>
          <w:rFonts w:ascii="Arial" w:hAnsi="Arial"/>
          <w:b/>
          <w:color w:val="1A1A5E"/>
          <w:sz w:val="32"/>
        </w:rPr>
        <w:t>10. Technical Stack</w:t>
      </w:r>
    </w:p>
    <w:p>
      <w:pPr>
        <w:pBdr>
          <w:bottom w:val="single" w:sz="8" w:space="1" w:color="2196F3"/>
        </w:pBdr>
        <w:spacing w:before="40" w:after="200"/>
      </w:pPr>
    </w:p>
    <w:tbl>
      <w:tblPr>
        <w:tblStyle w:val="TableGrid"/>
        <w:tblW w:type="auto" w:w="0"/>
        <w:jc w:val="center"/>
        <w:tblLook w:firstColumn="1" w:firstRow="1" w:lastColumn="0" w:lastRow="0" w:noHBand="0" w:noVBand="1" w:val="04A0"/>
      </w:tblPr>
      <w:tblGrid>
        <w:gridCol w:w="3120"/>
        <w:gridCol w:w="3120"/>
        <w:gridCol w:w="3120"/>
      </w:tblGrid>
      <w:tr>
        <w:tc>
          <w:tcPr>
            <w:tcW w:type="dxa" w:w="2880"/>
            <w:shd w:val="clear" w:color="auto" w:fill="1A1A5E"/>
          </w:tcPr>
          <w:p>
            <w:pPr>
              <w:spacing w:before="80" w:after="80"/>
              <w:jc w:val="center"/>
            </w:pPr>
            <w:r>
              <w:rPr>
                <w:rFonts w:ascii="Arial" w:hAnsi="Arial"/>
                <w:b/>
                <w:color w:val="FFFFFF"/>
                <w:sz w:val="20"/>
              </w:rPr>
              <w:t>Component</w:t>
            </w:r>
          </w:p>
        </w:tc>
        <w:tc>
          <w:tcPr>
            <w:tcW w:type="dxa" w:w="3600"/>
            <w:shd w:val="clear" w:color="auto" w:fill="1A1A5E"/>
          </w:tcPr>
          <w:p>
            <w:pPr>
              <w:spacing w:before="80" w:after="80"/>
              <w:jc w:val="center"/>
            </w:pPr>
            <w:r>
              <w:rPr>
                <w:rFonts w:ascii="Arial" w:hAnsi="Arial"/>
                <w:b/>
                <w:color w:val="FFFFFF"/>
                <w:sz w:val="20"/>
              </w:rPr>
              <w:t>Library / Tool</w:t>
            </w:r>
          </w:p>
        </w:tc>
        <w:tc>
          <w:tcPr>
            <w:tcW w:type="dxa" w:w="4032"/>
            <w:shd w:val="clear" w:color="auto" w:fill="1A1A5E"/>
          </w:tcPr>
          <w:p>
            <w:pPr>
              <w:spacing w:before="80" w:after="80"/>
              <w:jc w:val="center"/>
            </w:pPr>
            <w:r>
              <w:rPr>
                <w:rFonts w:ascii="Arial" w:hAnsi="Arial"/>
                <w:b/>
                <w:color w:val="FFFFFF"/>
                <w:sz w:val="20"/>
              </w:rPr>
              <w:t>Version</w:t>
            </w:r>
          </w:p>
        </w:tc>
      </w:tr>
      <w:tr>
        <w:tc>
          <w:tcPr>
            <w:tcW w:type="dxa" w:w="2880"/>
            <w:shd w:val="clear" w:color="auto" w:fill="F0F4F8"/>
          </w:tcPr>
          <w:p>
            <w:pPr>
              <w:spacing w:before="60" w:after="60"/>
              <w:jc w:val="center"/>
            </w:pPr>
            <w:r>
              <w:rPr>
                <w:rFonts w:ascii="Arial" w:hAnsi="Arial"/>
                <w:sz w:val="20"/>
              </w:rPr>
              <w:t>Data retrieval</w:t>
            </w:r>
          </w:p>
        </w:tc>
        <w:tc>
          <w:tcPr>
            <w:tcW w:type="dxa" w:w="3600"/>
            <w:shd w:val="clear" w:color="auto" w:fill="F0F4F8"/>
          </w:tcPr>
          <w:p>
            <w:pPr>
              <w:spacing w:before="60" w:after="60"/>
              <w:jc w:val="center"/>
            </w:pPr>
            <w:r>
              <w:rPr>
                <w:rFonts w:ascii="Arial" w:hAnsi="Arial"/>
                <w:sz w:val="20"/>
              </w:rPr>
              <w:t>nba_api</w:t>
            </w:r>
          </w:p>
        </w:tc>
        <w:tc>
          <w:tcPr>
            <w:tcW w:type="dxa" w:w="4032"/>
            <w:shd w:val="clear" w:color="auto" w:fill="F0F4F8"/>
          </w:tcPr>
          <w:p>
            <w:pPr>
              <w:spacing w:before="60" w:after="60"/>
              <w:jc w:val="center"/>
            </w:pPr>
            <w:r>
              <w:rPr>
                <w:rFonts w:ascii="Arial" w:hAnsi="Arial"/>
                <w:sz w:val="20"/>
              </w:rPr>
              <w:t>≥ 1.4.1</w:t>
            </w:r>
          </w:p>
        </w:tc>
      </w:tr>
      <w:tr>
        <w:tc>
          <w:tcPr>
            <w:tcW w:type="dxa" w:w="2880"/>
            <w:shd w:val="clear" w:color="auto" w:fill="FFFFFF"/>
          </w:tcPr>
          <w:p>
            <w:pPr>
              <w:spacing w:before="60" w:after="60"/>
              <w:jc w:val="center"/>
            </w:pPr>
            <w:r>
              <w:rPr>
                <w:rFonts w:ascii="Arial" w:hAnsi="Arial"/>
                <w:sz w:val="20"/>
              </w:rPr>
              <w:t>Data processing</w:t>
            </w:r>
          </w:p>
        </w:tc>
        <w:tc>
          <w:tcPr>
            <w:tcW w:type="dxa" w:w="3600"/>
            <w:shd w:val="clear" w:color="auto" w:fill="FFFFFF"/>
          </w:tcPr>
          <w:p>
            <w:pPr>
              <w:spacing w:before="60" w:after="60"/>
              <w:jc w:val="center"/>
            </w:pPr>
            <w:r>
              <w:rPr>
                <w:rFonts w:ascii="Arial" w:hAnsi="Arial"/>
                <w:sz w:val="20"/>
              </w:rPr>
              <w:t>pandas, numpy</w:t>
            </w:r>
          </w:p>
        </w:tc>
        <w:tc>
          <w:tcPr>
            <w:tcW w:type="dxa" w:w="4032"/>
            <w:shd w:val="clear" w:color="auto" w:fill="FFFFFF"/>
          </w:tcPr>
          <w:p>
            <w:pPr>
              <w:spacing w:before="60" w:after="60"/>
              <w:jc w:val="center"/>
            </w:pPr>
            <w:r>
              <w:rPr>
                <w:rFonts w:ascii="Arial" w:hAnsi="Arial"/>
                <w:sz w:val="20"/>
              </w:rPr>
              <w:t>≥ 2.0, ≥ 1.24</w:t>
            </w:r>
          </w:p>
        </w:tc>
      </w:tr>
      <w:tr>
        <w:tc>
          <w:tcPr>
            <w:tcW w:type="dxa" w:w="2880"/>
            <w:shd w:val="clear" w:color="auto" w:fill="F0F4F8"/>
          </w:tcPr>
          <w:p>
            <w:pPr>
              <w:spacing w:before="60" w:after="60"/>
              <w:jc w:val="center"/>
            </w:pPr>
            <w:r>
              <w:rPr>
                <w:rFonts w:ascii="Arial" w:hAnsi="Arial"/>
                <w:sz w:val="20"/>
              </w:rPr>
              <w:t>Machine learning</w:t>
            </w:r>
          </w:p>
        </w:tc>
        <w:tc>
          <w:tcPr>
            <w:tcW w:type="dxa" w:w="3600"/>
            <w:shd w:val="clear" w:color="auto" w:fill="F0F4F8"/>
          </w:tcPr>
          <w:p>
            <w:pPr>
              <w:spacing w:before="60" w:after="60"/>
              <w:jc w:val="center"/>
            </w:pPr>
            <w:r>
              <w:rPr>
                <w:rFonts w:ascii="Arial" w:hAnsi="Arial"/>
                <w:sz w:val="20"/>
              </w:rPr>
              <w:t>scikit-learn</w:t>
            </w:r>
          </w:p>
        </w:tc>
        <w:tc>
          <w:tcPr>
            <w:tcW w:type="dxa" w:w="4032"/>
            <w:shd w:val="clear" w:color="auto" w:fill="F0F4F8"/>
          </w:tcPr>
          <w:p>
            <w:pPr>
              <w:spacing w:before="60" w:after="60"/>
              <w:jc w:val="center"/>
            </w:pPr>
            <w:r>
              <w:rPr>
                <w:rFonts w:ascii="Arial" w:hAnsi="Arial"/>
                <w:sz w:val="20"/>
              </w:rPr>
              <w:t>≥ 1.3</w:t>
            </w:r>
          </w:p>
        </w:tc>
      </w:tr>
      <w:tr>
        <w:tc>
          <w:tcPr>
            <w:tcW w:type="dxa" w:w="2880"/>
            <w:shd w:val="clear" w:color="auto" w:fill="FFFFFF"/>
          </w:tcPr>
          <w:p>
            <w:pPr>
              <w:spacing w:before="60" w:after="60"/>
              <w:jc w:val="center"/>
            </w:pPr>
            <w:r>
              <w:rPr>
                <w:rFonts w:ascii="Arial" w:hAnsi="Arial"/>
                <w:sz w:val="20"/>
              </w:rPr>
              <w:t>Gradient boosting</w:t>
            </w:r>
          </w:p>
        </w:tc>
        <w:tc>
          <w:tcPr>
            <w:tcW w:type="dxa" w:w="3600"/>
            <w:shd w:val="clear" w:color="auto" w:fill="FFFFFF"/>
          </w:tcPr>
          <w:p>
            <w:pPr>
              <w:spacing w:before="60" w:after="60"/>
              <w:jc w:val="center"/>
            </w:pPr>
            <w:r>
              <w:rPr>
                <w:rFonts w:ascii="Arial" w:hAnsi="Arial"/>
                <w:sz w:val="20"/>
              </w:rPr>
              <w:t>XGBoost</w:t>
            </w:r>
          </w:p>
        </w:tc>
        <w:tc>
          <w:tcPr>
            <w:tcW w:type="dxa" w:w="4032"/>
            <w:shd w:val="clear" w:color="auto" w:fill="FFFFFF"/>
          </w:tcPr>
          <w:p>
            <w:pPr>
              <w:spacing w:before="60" w:after="60"/>
              <w:jc w:val="center"/>
            </w:pPr>
            <w:r>
              <w:rPr>
                <w:rFonts w:ascii="Arial" w:hAnsi="Arial"/>
                <w:sz w:val="20"/>
              </w:rPr>
              <w:t>≥ 2.0</w:t>
            </w:r>
          </w:p>
        </w:tc>
      </w:tr>
      <w:tr>
        <w:tc>
          <w:tcPr>
            <w:tcW w:type="dxa" w:w="2880"/>
            <w:shd w:val="clear" w:color="auto" w:fill="F0F4F8"/>
          </w:tcPr>
          <w:p>
            <w:pPr>
              <w:spacing w:before="60" w:after="60"/>
              <w:jc w:val="center"/>
            </w:pPr>
            <w:r>
              <w:rPr>
                <w:rFonts w:ascii="Arial" w:hAnsi="Arial"/>
                <w:sz w:val="20"/>
              </w:rPr>
              <w:t>Data storage</w:t>
            </w:r>
          </w:p>
        </w:tc>
        <w:tc>
          <w:tcPr>
            <w:tcW w:type="dxa" w:w="3600"/>
            <w:shd w:val="clear" w:color="auto" w:fill="F0F4F8"/>
          </w:tcPr>
          <w:p>
            <w:pPr>
              <w:spacing w:before="60" w:after="60"/>
              <w:jc w:val="center"/>
            </w:pPr>
            <w:r>
              <w:rPr>
                <w:rFonts w:ascii="Arial" w:hAnsi="Arial"/>
                <w:sz w:val="20"/>
              </w:rPr>
              <w:t>Apache Parquet (pyarrow)</w:t>
            </w:r>
          </w:p>
        </w:tc>
        <w:tc>
          <w:tcPr>
            <w:tcW w:type="dxa" w:w="4032"/>
            <w:shd w:val="clear" w:color="auto" w:fill="F0F4F8"/>
          </w:tcPr>
          <w:p>
            <w:pPr>
              <w:spacing w:before="60" w:after="60"/>
              <w:jc w:val="center"/>
            </w:pPr>
            <w:r>
              <w:rPr>
                <w:rFonts w:ascii="Arial" w:hAnsi="Arial"/>
                <w:sz w:val="20"/>
              </w:rPr>
              <w:t>≥ 13.0</w:t>
            </w:r>
          </w:p>
        </w:tc>
      </w:tr>
      <w:tr>
        <w:tc>
          <w:tcPr>
            <w:tcW w:type="dxa" w:w="2880"/>
            <w:shd w:val="clear" w:color="auto" w:fill="FFFFFF"/>
          </w:tcPr>
          <w:p>
            <w:pPr>
              <w:spacing w:before="60" w:after="60"/>
              <w:jc w:val="center"/>
            </w:pPr>
            <w:r>
              <w:rPr>
                <w:rFonts w:ascii="Arial" w:hAnsi="Arial"/>
                <w:sz w:val="20"/>
              </w:rPr>
              <w:t>Visualisation</w:t>
            </w:r>
          </w:p>
        </w:tc>
        <w:tc>
          <w:tcPr>
            <w:tcW w:type="dxa" w:w="3600"/>
            <w:shd w:val="clear" w:color="auto" w:fill="FFFFFF"/>
          </w:tcPr>
          <w:p>
            <w:pPr>
              <w:spacing w:before="60" w:after="60"/>
              <w:jc w:val="center"/>
            </w:pPr>
            <w:r>
              <w:rPr>
                <w:rFonts w:ascii="Arial" w:hAnsi="Arial"/>
                <w:sz w:val="20"/>
              </w:rPr>
              <w:t>Plotly</w:t>
            </w:r>
          </w:p>
        </w:tc>
        <w:tc>
          <w:tcPr>
            <w:tcW w:type="dxa" w:w="4032"/>
            <w:shd w:val="clear" w:color="auto" w:fill="FFFFFF"/>
          </w:tcPr>
          <w:p>
            <w:pPr>
              <w:spacing w:before="60" w:after="60"/>
              <w:jc w:val="center"/>
            </w:pPr>
            <w:r>
              <w:rPr>
                <w:rFonts w:ascii="Arial" w:hAnsi="Arial"/>
                <w:sz w:val="20"/>
              </w:rPr>
              <w:t>≥ 5.17</w:t>
            </w:r>
          </w:p>
        </w:tc>
      </w:tr>
      <w:tr>
        <w:tc>
          <w:tcPr>
            <w:tcW w:type="dxa" w:w="2880"/>
            <w:shd w:val="clear" w:color="auto" w:fill="F0F4F8"/>
          </w:tcPr>
          <w:p>
            <w:pPr>
              <w:spacing w:before="60" w:after="60"/>
              <w:jc w:val="center"/>
            </w:pPr>
            <w:r>
              <w:rPr>
                <w:rFonts w:ascii="Arial" w:hAnsi="Arial"/>
                <w:sz w:val="20"/>
              </w:rPr>
              <w:t>Dashboard</w:t>
            </w:r>
          </w:p>
        </w:tc>
        <w:tc>
          <w:tcPr>
            <w:tcW w:type="dxa" w:w="3600"/>
            <w:shd w:val="clear" w:color="auto" w:fill="F0F4F8"/>
          </w:tcPr>
          <w:p>
            <w:pPr>
              <w:spacing w:before="60" w:after="60"/>
              <w:jc w:val="center"/>
            </w:pPr>
            <w:r>
              <w:rPr>
                <w:rFonts w:ascii="Arial" w:hAnsi="Arial"/>
                <w:sz w:val="20"/>
              </w:rPr>
              <w:t>Streamlit</w:t>
            </w:r>
          </w:p>
        </w:tc>
        <w:tc>
          <w:tcPr>
            <w:tcW w:type="dxa" w:w="4032"/>
            <w:shd w:val="clear" w:color="auto" w:fill="F0F4F8"/>
          </w:tcPr>
          <w:p>
            <w:pPr>
              <w:spacing w:before="60" w:after="60"/>
              <w:jc w:val="center"/>
            </w:pPr>
            <w:r>
              <w:rPr>
                <w:rFonts w:ascii="Arial" w:hAnsi="Arial"/>
                <w:sz w:val="20"/>
              </w:rPr>
              <w:t>≥ 1.28</w:t>
            </w:r>
          </w:p>
        </w:tc>
      </w:tr>
      <w:tr>
        <w:tc>
          <w:tcPr>
            <w:tcW w:type="dxa" w:w="2880"/>
            <w:shd w:val="clear" w:color="auto" w:fill="FFFFFF"/>
          </w:tcPr>
          <w:p>
            <w:pPr>
              <w:spacing w:before="60" w:after="60"/>
              <w:jc w:val="center"/>
            </w:pPr>
            <w:r>
              <w:rPr>
                <w:rFonts w:ascii="Arial" w:hAnsi="Arial"/>
                <w:sz w:val="20"/>
              </w:rPr>
              <w:t>Model persistence</w:t>
            </w:r>
          </w:p>
        </w:tc>
        <w:tc>
          <w:tcPr>
            <w:tcW w:type="dxa" w:w="3600"/>
            <w:shd w:val="clear" w:color="auto" w:fill="FFFFFF"/>
          </w:tcPr>
          <w:p>
            <w:pPr>
              <w:spacing w:before="60" w:after="60"/>
              <w:jc w:val="center"/>
            </w:pPr>
            <w:r>
              <w:rPr>
                <w:rFonts w:ascii="Arial" w:hAnsi="Arial"/>
                <w:sz w:val="20"/>
              </w:rPr>
              <w:t>joblib</w:t>
            </w:r>
          </w:p>
        </w:tc>
        <w:tc>
          <w:tcPr>
            <w:tcW w:type="dxa" w:w="4032"/>
            <w:shd w:val="clear" w:color="auto" w:fill="FFFFFF"/>
          </w:tcPr>
          <w:p>
            <w:pPr>
              <w:spacing w:before="60" w:after="60"/>
              <w:jc w:val="center"/>
            </w:pPr>
            <w:r>
              <w:rPr>
                <w:rFonts w:ascii="Arial" w:hAnsi="Arial"/>
                <w:sz w:val="20"/>
              </w:rPr>
              <w:t>≥ 1.3</w:t>
            </w:r>
          </w:p>
        </w:tc>
      </w:tr>
    </w:tbl>
    <w:p>
      <w:pPr>
        <w:spacing w:after="120"/>
      </w:pPr>
    </w:p>
    <w:p/>
    <w:p>
      <w:pPr>
        <w:pBdr>
          <w:bottom w:val="single" w:sz="6" w:space="1" w:color="CCCCCC"/>
        </w:pBdr>
        <w:spacing w:before="40" w:after="200"/>
      </w:pPr>
    </w:p>
    <w:p>
      <w:pPr>
        <w:jc w:val="center"/>
      </w:pPr>
      <w:r>
        <w:rPr>
          <w:rFonts w:ascii="Arial" w:hAnsi="Arial"/>
          <w:i/>
          <w:color w:val="555555"/>
          <w:sz w:val="18"/>
        </w:rPr>
        <w:t>SVOE Analytics  •  Data via NBA Stats API (nba_api)  •  Seasons 2022-23 through 2025-26</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