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pacing w:val="30"/>
          <w:sz w:val="30"/>
          <w:szCs w:val="30"/>
        </w:rPr>
        <w:t xml:space="preserve">SANKET KUMAR PRAJAPATI</w:t>
      </w:r>
    </w:p>
    <w:p>
      <w:pPr>
        <w:spacing w:after="20"/>
        <w:jc w:val="center"/>
      </w:pPr>
      <w:r>
        <w:rPr>
          <w:sz w:val="19"/>
          <w:szCs w:val="19"/>
        </w:rPr>
        <w:t xml:space="preserve">Centre for European Studies, Jawaharlal Nehru University, New Delhi</w:t>
      </w:r>
    </w:p>
    <w:p>
      <w:pPr>
        <w:spacing w:after="200"/>
        <w:jc w:val="center"/>
      </w:pPr>
      <w:r>
        <w:rPr>
          <w:sz w:val="18"/>
          <w:szCs w:val="18"/>
        </w:rPr>
        <w:t xml:space="preserve">sanket70_isc@jnu.ac.in ; sanketkumar1247@gmail.com | +91 7773804518 | ORCID: 0009-0006-2524-7685</w:t>
      </w:r>
    </w:p>
    <w:p>
      <w:pPr>
        <w:pBdr>
          <w:bottom w:val="single" w:color="888888" w:sz="6" w:space="2"/>
        </w:pBdr>
        <w:spacing w:after="100" w:before="260"/>
      </w:pPr>
      <w:r>
        <w:rPr>
          <w:b/>
          <w:bCs/>
          <w:color w:val="2b2b2b"/>
          <w:spacing w:val="2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PhD Scholar, European Studies</w:t>
      </w:r>
      <w:r>
        <w:rPr>
          <w:i/>
          <w:iCs/>
          <w:sz w:val="20"/>
          <w:szCs w:val="20"/>
        </w:rPr>
        <w:t xml:space="preserve">	Jan 2025 – Present</w:t>
      </w:r>
    </w:p>
    <w:p>
      <w:pPr>
        <w:spacing w:after="40"/>
      </w:pPr>
      <w:r>
        <w:rPr>
          <w:i/>
          <w:iCs/>
          <w:sz w:val="20"/>
          <w:szCs w:val="20"/>
        </w:rPr>
        <w:t xml:space="preserve">Centre for European Studies, School of International Studies, Jawaharlal Nehru University, New Delhi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M.A., Political Science</w:t>
      </w:r>
      <w:r>
        <w:rPr>
          <w:i/>
          <w:iCs/>
          <w:sz w:val="20"/>
          <w:szCs w:val="20"/>
        </w:rPr>
        <w:t xml:space="preserve">	Jan 2021 – Mar 2023</w:t>
      </w:r>
    </w:p>
    <w:p>
      <w:pPr>
        <w:spacing w:after="40"/>
      </w:pPr>
      <w:r>
        <w:rPr>
          <w:i/>
          <w:iCs/>
          <w:sz w:val="20"/>
          <w:szCs w:val="20"/>
        </w:rPr>
        <w:t xml:space="preserve">University of Delhi, New Delhi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B.A. (Hons.), Political Science</w:t>
      </w:r>
      <w:r>
        <w:rPr>
          <w:i/>
          <w:iCs/>
          <w:sz w:val="20"/>
          <w:szCs w:val="20"/>
        </w:rPr>
        <w:t xml:space="preserve">	Jul 2016 – May 2019</w:t>
      </w:r>
    </w:p>
    <w:p>
      <w:pPr>
        <w:spacing w:after="40"/>
      </w:pPr>
      <w:r>
        <w:rPr>
          <w:i/>
          <w:iCs/>
          <w:sz w:val="20"/>
          <w:szCs w:val="20"/>
        </w:rPr>
        <w:t xml:space="preserve">University of Delhi, New Delhi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Higher Secondary (XII)</w:t>
      </w:r>
      <w:r>
        <w:rPr>
          <w:i/>
          <w:iCs/>
          <w:sz w:val="20"/>
          <w:szCs w:val="20"/>
        </w:rPr>
        <w:t xml:space="preserve">	</w:t>
      </w:r>
    </w:p>
    <w:p>
      <w:pPr>
        <w:spacing w:after="40"/>
      </w:pPr>
      <w:r>
        <w:rPr>
          <w:i/>
          <w:iCs/>
          <w:sz w:val="20"/>
          <w:szCs w:val="20"/>
        </w:rPr>
        <w:t xml:space="preserve">Jawahar Navodaya Vidyalaya, Morena</w:t>
      </w:r>
    </w:p>
    <w:p>
      <w:pPr>
        <w:pBdr>
          <w:bottom w:val="single" w:color="888888" w:sz="6" w:space="2"/>
        </w:pBdr>
        <w:spacing w:after="100" w:before="260"/>
      </w:pPr>
      <w:r>
        <w:rPr>
          <w:b/>
          <w:bCs/>
          <w:color w:val="2b2b2b"/>
          <w:spacing w:val="20"/>
          <w:sz w:val="20"/>
          <w:szCs w:val="20"/>
        </w:rPr>
        <w:t xml:space="preserve">PUBLICATIONS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Regulatory Ecosystem Norm Entrepreneurship in the Digital Sphere: EU Governance Frameworks and the Global Digital Order</w:t>
      </w:r>
      <w:r>
        <w:rPr>
          <w:i/>
          <w:iCs/>
          <w:sz w:val="20"/>
          <w:szCs w:val="20"/>
        </w:rPr>
        <w:t xml:space="preserve">	</w:t>
      </w:r>
    </w:p>
    <w:p>
      <w:pPr>
        <w:spacing w:after="40"/>
      </w:pPr>
      <w:r>
        <w:rPr>
          <w:i/>
          <w:iCs/>
          <w:sz w:val="20"/>
          <w:szCs w:val="20"/>
        </w:rPr>
        <w:t xml:space="preserve">The International Spectator, Taylor &amp; Francis | Scopus Q1 | DOI: 10.1080/03932729.2026.2684983 | June 2026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Beyond Hegemony: Towards a Plural Understanding of World Order (Book Review)</w:t>
      </w:r>
      <w:r>
        <w:rPr>
          <w:i/>
          <w:iCs/>
          <w:sz w:val="20"/>
          <w:szCs w:val="20"/>
        </w:rPr>
        <w:t xml:space="preserve">	</w:t>
      </w:r>
    </w:p>
    <w:p>
      <w:pPr>
        <w:spacing w:after="40"/>
      </w:pPr>
      <w:r>
        <w:rPr>
          <w:i/>
          <w:iCs/>
          <w:sz w:val="20"/>
          <w:szCs w:val="20"/>
        </w:rPr>
        <w:t xml:space="preserve">The International Spectator, Taylor &amp; Francis | Scopus Q1 | DOI: 10.1080/03932729.2025.2608319 | Jan 2026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Secularism in India</w:t>
      </w:r>
      <w:r>
        <w:rPr>
          <w:i/>
          <w:iCs/>
          <w:sz w:val="20"/>
          <w:szCs w:val="20"/>
        </w:rPr>
        <w:t xml:space="preserve">	</w:t>
      </w:r>
    </w:p>
    <w:p>
      <w:pPr>
        <w:spacing w:after="40"/>
      </w:pPr>
      <w:r>
        <w:rPr>
          <w:i/>
          <w:iCs/>
          <w:sz w:val="20"/>
          <w:szCs w:val="20"/>
        </w:rPr>
        <w:t xml:space="preserve">Social Thoughts in India, Agra Books International (Book Chapter) | Feb 2025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India on the Global Stage: A Political Journey Through the Decade</w:t>
      </w:r>
      <w:r>
        <w:rPr>
          <w:i/>
          <w:iCs/>
          <w:sz w:val="20"/>
          <w:szCs w:val="20"/>
        </w:rPr>
        <w:t xml:space="preserve">	</w:t>
      </w:r>
    </w:p>
    <w:p>
      <w:pPr>
        <w:spacing w:after="40"/>
      </w:pPr>
      <w:r>
        <w:rPr>
          <w:i/>
          <w:iCs/>
          <w:sz w:val="20"/>
          <w:szCs w:val="20"/>
        </w:rPr>
        <w:t xml:space="preserve">Writers Pocket, Authored Book | Oct 2024 | ISBN: 978-9360836719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Emerging Era of Minilateralism in Indo-Pacific</w:t>
      </w:r>
      <w:r>
        <w:rPr>
          <w:i/>
          <w:iCs/>
          <w:sz w:val="20"/>
          <w:szCs w:val="20"/>
        </w:rPr>
        <w:t xml:space="preserve">	</w:t>
      </w:r>
    </w:p>
    <w:p>
      <w:pPr>
        <w:spacing w:after="40"/>
      </w:pPr>
      <w:r>
        <w:rPr>
          <w:i/>
          <w:iCs/>
          <w:sz w:val="20"/>
          <w:szCs w:val="20"/>
        </w:rPr>
        <w:t xml:space="preserve">SSRN e-Journal, WOS Q1 | DOI: 10.2139/ssrn.4496884 | Jul 2023</w:t>
      </w:r>
    </w:p>
    <w:p>
      <w:pPr>
        <w:pBdr>
          <w:bottom w:val="single" w:color="888888" w:sz="6" w:space="2"/>
        </w:pBdr>
        <w:spacing w:after="100" w:before="260"/>
      </w:pPr>
      <w:r>
        <w:rPr>
          <w:b/>
          <w:bCs/>
          <w:color w:val="2b2b2b"/>
          <w:spacing w:val="20"/>
          <w:sz w:val="20"/>
          <w:szCs w:val="20"/>
        </w:rPr>
        <w:t xml:space="preserve">PEER REVIEW &amp; EDITORIAL SERVICE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Peer Reviewer</w:t>
      </w:r>
      <w:r>
        <w:rPr>
          <w:i/>
          <w:iCs/>
          <w:sz w:val="20"/>
          <w:szCs w:val="20"/>
        </w:rPr>
        <w:t xml:space="preserve">	2025 – Present</w:t>
      </w:r>
    </w:p>
    <w:p>
      <w:pPr>
        <w:spacing w:after="40"/>
      </w:pPr>
      <w:r>
        <w:rPr>
          <w:i/>
          <w:iCs/>
          <w:sz w:val="20"/>
          <w:szCs w:val="20"/>
        </w:rPr>
        <w:t xml:space="preserve">Journal of Applied Social Sciences (SAGE Publications) | Manuscript ID: JASS-25-0192</w:t>
      </w:r>
    </w:p>
    <w:p>
      <w:pPr>
        <w:spacing w:after="100"/>
      </w:pPr>
      <w:r>
        <w:rPr>
          <w:sz w:val="20"/>
          <w:szCs w:val="20"/>
        </w:rPr>
        <w:t xml:space="preserve">Conducted double-blind peer review covering theoretical framework, methodology, argument coherence, and citation integrity. Submitted iterative evaluation reports; recommended acceptance following revision cycle.</w:t>
      </w:r>
    </w:p>
    <w:p>
      <w:pPr>
        <w:pBdr>
          <w:bottom w:val="single" w:color="888888" w:sz="6" w:space="2"/>
        </w:pBdr>
        <w:spacing w:after="100" w:before="260"/>
      </w:pPr>
      <w:r>
        <w:rPr>
          <w:b/>
          <w:bCs/>
          <w:color w:val="2b2b2b"/>
          <w:spacing w:val="20"/>
          <w:sz w:val="20"/>
          <w:szCs w:val="20"/>
        </w:rPr>
        <w:t xml:space="preserve">CONFERENCE PAPERS PRESENTED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Cyber Security as a Strategic Domain of India-Europe Cooperation: Do Shared Democratic Values Provide a Strong Foundation for Global Cyber Norms?</w:t>
      </w:r>
      <w:r>
        <w:rPr>
          <w:i/>
          <w:iCs/>
          <w:sz w:val="20"/>
          <w:szCs w:val="20"/>
        </w:rPr>
        <w:t xml:space="preserve">	</w:t>
      </w:r>
    </w:p>
    <w:p>
      <w:pPr>
        <w:spacing w:after="40"/>
      </w:pPr>
      <w:r>
        <w:rPr>
          <w:i/>
          <w:iCs/>
          <w:sz w:val="20"/>
          <w:szCs w:val="20"/>
        </w:rPr>
        <w:t xml:space="preserve">International Conference, Jean Monnet Chair, JNU &amp; MSCW, New Delhi | Nov 2025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The Politics of Border Security: Evaluating EU Cooperation with Libya and Tunisia on Migration Control and Externalised Border Management</w:t>
      </w:r>
      <w:r>
        <w:rPr>
          <w:i/>
          <w:iCs/>
          <w:sz w:val="20"/>
          <w:szCs w:val="20"/>
        </w:rPr>
        <w:t xml:space="preserve">	</w:t>
      </w:r>
    </w:p>
    <w:p>
      <w:pPr>
        <w:spacing w:after="40"/>
      </w:pPr>
      <w:r>
        <w:rPr>
          <w:i/>
          <w:iCs/>
          <w:sz w:val="20"/>
          <w:szCs w:val="20"/>
        </w:rPr>
        <w:t xml:space="preserve">XI Young Scholars Conference, CWANA, JNU, New Delhi | May 2025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Multiculturalism vs. Assimilation: Evaluating Policy Impact on Identity Negotiation among Second-Generation Indian Migrants in the UK and Germany</w:t>
      </w:r>
      <w:r>
        <w:rPr>
          <w:i/>
          <w:iCs/>
          <w:sz w:val="20"/>
          <w:szCs w:val="20"/>
        </w:rPr>
        <w:t xml:space="preserve">	</w:t>
      </w:r>
    </w:p>
    <w:p>
      <w:pPr>
        <w:spacing w:after="40"/>
      </w:pPr>
      <w:r>
        <w:rPr>
          <w:i/>
          <w:iCs/>
          <w:sz w:val="20"/>
          <w:szCs w:val="20"/>
        </w:rPr>
        <w:t xml:space="preserve">International Conference, Jean Monnet Chair, JNU &amp; GGSIPU, New Delhi | May 2025</w:t>
      </w:r>
    </w:p>
    <w:p>
      <w:pPr>
        <w:pBdr>
          <w:bottom w:val="single" w:color="888888" w:sz="6" w:space="2"/>
        </w:pBdr>
        <w:spacing w:after="100" w:before="260"/>
      </w:pPr>
      <w:r>
        <w:rPr>
          <w:b/>
          <w:bCs/>
          <w:color w:val="2b2b2b"/>
          <w:spacing w:val="20"/>
          <w:sz w:val="20"/>
          <w:szCs w:val="20"/>
        </w:rPr>
        <w:t xml:space="preserve">FELLOWSHIPS &amp; 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Junior Research Fellowship (JRF)</w:t>
      </w:r>
      <w:r>
        <w:rPr>
          <w:i/>
          <w:iCs/>
          <w:sz w:val="20"/>
          <w:szCs w:val="20"/>
        </w:rPr>
        <w:t xml:space="preserve">	Oct 2024</w:t>
      </w:r>
    </w:p>
    <w:p>
      <w:pPr>
        <w:spacing w:after="40"/>
      </w:pPr>
      <w:r>
        <w:rPr>
          <w:i/>
          <w:iCs/>
          <w:sz w:val="20"/>
          <w:szCs w:val="20"/>
        </w:rPr>
        <w:t xml:space="preserve">University Grants Commission (UGC), New Delhi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National Eligibility Test (NET)</w:t>
      </w:r>
      <w:r>
        <w:rPr>
          <w:i/>
          <w:iCs/>
          <w:sz w:val="20"/>
          <w:szCs w:val="20"/>
        </w:rPr>
        <w:t xml:space="preserve">	Dec 2023</w:t>
      </w:r>
    </w:p>
    <w:p>
      <w:pPr>
        <w:spacing w:after="40"/>
      </w:pPr>
      <w:r>
        <w:rPr>
          <w:i/>
          <w:iCs/>
          <w:sz w:val="20"/>
          <w:szCs w:val="20"/>
        </w:rPr>
        <w:t xml:space="preserve">University Grants Commission (UGC), New Delhi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Freedom of Expression and Safety of Journalism</w:t>
      </w:r>
      <w:r>
        <w:rPr>
          <w:i/>
          <w:iCs/>
          <w:sz w:val="20"/>
          <w:szCs w:val="20"/>
        </w:rPr>
        <w:t xml:space="preserve">	Mar – Oct 2023</w:t>
      </w:r>
    </w:p>
    <w:p>
      <w:pPr>
        <w:spacing w:after="40"/>
      </w:pPr>
      <w:r>
        <w:rPr>
          <w:i/>
          <w:iCs/>
          <w:sz w:val="20"/>
          <w:szCs w:val="20"/>
        </w:rPr>
        <w:t xml:space="preserve">University of Oxford (Online)</w:t>
      </w:r>
    </w:p>
    <w:p>
      <w:pPr>
        <w:pBdr>
          <w:bottom w:val="single" w:color="888888" w:sz="6" w:space="2"/>
        </w:pBdr>
        <w:spacing w:after="100" w:before="260"/>
      </w:pPr>
      <w:r>
        <w:rPr>
          <w:b/>
          <w:bCs/>
          <w:color w:val="2b2b2b"/>
          <w:spacing w:val="20"/>
          <w:sz w:val="20"/>
          <w:szCs w:val="20"/>
        </w:rPr>
        <w:t xml:space="preserve">LEADERSHIP &amp; INTERNSHIP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City Representative, Indian Road Safety Campaign (IRSC)</w:t>
      </w:r>
      <w:r>
        <w:rPr>
          <w:i/>
          <w:iCs/>
          <w:sz w:val="20"/>
          <w:szCs w:val="20"/>
        </w:rPr>
        <w:t xml:space="preserve">	2016 – 2017</w:t>
      </w:r>
    </w:p>
    <w:p>
      <w:pPr>
        <w:spacing w:after="40"/>
      </w:pPr>
      <w:r>
        <w:rPr>
          <w:i/>
          <w:iCs/>
          <w:sz w:val="20"/>
          <w:szCs w:val="20"/>
        </w:rPr>
        <w:t xml:space="preserve">IIT Delhi &amp; Ministry of Road Transport and Highways, Government of India</w:t>
      </w:r>
    </w:p>
    <w:p>
      <w:pPr>
        <w:spacing w:after="100"/>
      </w:pPr>
      <w:r>
        <w:rPr>
          <w:sz w:val="20"/>
          <w:szCs w:val="20"/>
        </w:rPr>
        <w:t xml:space="preserve">Researched and helped implement on-ground solutions to mitigate traffic congestion, road accidents, and infrastructural deficiencies across Delhi, working with local stakeholders and government bodies.</w:t>
      </w:r>
    </w:p>
    <w:p>
      <w:pPr>
        <w:pBdr>
          <w:bottom w:val="single" w:color="888888" w:sz="6" w:space="2"/>
        </w:pBdr>
        <w:spacing w:after="100" w:before="260"/>
      </w:pPr>
      <w:r>
        <w:rPr>
          <w:b/>
          <w:bCs/>
          <w:color w:val="2b2b2b"/>
          <w:spacing w:val="20"/>
          <w:sz w:val="20"/>
          <w:szCs w:val="20"/>
        </w:rPr>
        <w:t xml:space="preserve">TEACHING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Educator, UPSC CSE – Indian Polity</w:t>
      </w:r>
      <w:r>
        <w:rPr>
          <w:i/>
          <w:iCs/>
          <w:sz w:val="20"/>
          <w:szCs w:val="20"/>
        </w:rPr>
        <w:t xml:space="preserve">	Nov 2023 – Jan 2024</w:t>
      </w:r>
    </w:p>
    <w:p>
      <w:pPr>
        <w:spacing w:after="40"/>
      </w:pPr>
      <w:r>
        <w:rPr>
          <w:i/>
          <w:iCs/>
          <w:sz w:val="20"/>
          <w:szCs w:val="20"/>
        </w:rPr>
        <w:t xml:space="preserve">Unacademy (Remote)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Educator, MPPSC – Indian Polity</w:t>
      </w:r>
      <w:r>
        <w:rPr>
          <w:i/>
          <w:iCs/>
          <w:sz w:val="20"/>
          <w:szCs w:val="20"/>
        </w:rPr>
        <w:t xml:space="preserve">	Mar – Jun 2023</w:t>
      </w:r>
    </w:p>
    <w:p>
      <w:pPr>
        <w:spacing w:after="40"/>
      </w:pPr>
      <w:r>
        <w:rPr>
          <w:i/>
          <w:iCs/>
          <w:sz w:val="20"/>
          <w:szCs w:val="20"/>
        </w:rPr>
        <w:t xml:space="preserve">Unacademy (Remote)</w:t>
      </w:r>
    </w:p>
    <w:p>
      <w:pPr>
        <w:pBdr>
          <w:bottom w:val="single" w:color="888888" w:sz="6" w:space="2"/>
        </w:pBdr>
        <w:spacing w:after="100" w:before="260"/>
      </w:pPr>
      <w:r>
        <w:rPr>
          <w:b/>
          <w:bCs/>
          <w:color w:val="2b2b2b"/>
          <w:spacing w:val="20"/>
          <w:sz w:val="20"/>
          <w:szCs w:val="20"/>
        </w:rPr>
        <w:t xml:space="preserve">RESEARCH INTERESTS</w:t>
      </w:r>
    </w:p>
    <w:p>
      <w:pPr>
        <w:spacing w:after="100"/>
      </w:pPr>
      <w:r>
        <w:rPr>
          <w:sz w:val="20"/>
          <w:szCs w:val="20"/>
        </w:rPr>
        <w:t xml:space="preserve">EU digital governance and norm diffusion | Brussels Effect and Regulatory Power Europe | India-EU relations | Digital platform regulation | Constructivist IR theory | Norm entrepreneurship</w:t>
      </w:r>
    </w:p>
    <w:p>
      <w:pPr>
        <w:pBdr>
          <w:bottom w:val="single" w:color="888888" w:sz="6" w:space="2"/>
        </w:pBdr>
        <w:spacing w:after="100" w:before="260"/>
      </w:pPr>
      <w:r>
        <w:rPr>
          <w:b/>
          <w:bCs/>
          <w:color w:val="2b2b2b"/>
          <w:spacing w:val="20"/>
          <w:sz w:val="20"/>
          <w:szCs w:val="20"/>
        </w:rPr>
        <w:t xml:space="preserve">LANGUAGES</w:t>
      </w:r>
    </w:p>
    <w:p>
      <w:pPr>
        <w:spacing w:after="100"/>
      </w:pPr>
      <w:r>
        <w:rPr>
          <w:sz w:val="20"/>
          <w:szCs w:val="20"/>
        </w:rPr>
        <w:t xml:space="preserve">English (Professional)    Hindi (Native)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2026-07-18T16:42:45.378Z</dcterms:created>
  <dcterms:modified xsi:type="dcterms:W3CDTF">2026-07-18T16:42:45.393Z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