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"Social Media Report Your Boss (or Client) Will Actually Read",</w:t>
      </w:r>
    </w:p>
    <w:p>
      <w:r>
        <w:t>"word_count": "3200"</w:t>
      </w:r>
    </w:p>
    <w:p>
      <w:r>
        <w:t>},</w:t>
      </w:r>
    </w:p>
    <w:p>
      <w:r>
        <w:t>"final_article": "# Social Media Report Your Boss (or Client) Will Actually Read\n\n## Introduction: Why Most Social Media Reports Fail (and How Yours Won't)\n\nFor many marketing professionals, the monthly or quarterly social media report can feel like a chore, a necessary evil often met with glazed eyes and polite nods from superiors or clients. The truth is, most social media reports fail to land because they're either too dense with irrelevant data, too focused on vanity metrics, or simply lack a clear connection to overarching business objectives. You've likely experienced the frustration: hours spent compiling data, only for your insights to be overlooked or misunderstood. This isn't just a waste of your time; it's a missed opportunity to showcase the real value of your social media efforts.\n\nImagine a world where your social media report isn't just read, but eagerly anticipated. A report that doesn't just present numbers, but tells a compelling story of growth, engagement, and tangible business impact. This article will guide you through transforming your social media reporting from a data dump into a strategic asset. We'll move beyond likes and shares to focus on metrics that matter, present them in a way that resonates with business leaders, and provide actionable insights that drive future decisions. Your goal isn't just to report; it's to inform, persuade, and demonstrate the undeniable return on investment of your social media strategy. Get ready to create a report that your boss or client will not only read, but actually understand and value.\n\n## Understanding Your Audience: What Your Boss/Client Cares About\n\nThe first step to creating a report that gets read is understanding who is reading it. Your boss, CEO, marketing director, or client isn't interested in a raw data dump of every single metric you can pull. They care about the bottom line: how social media contributes to revenue, brand reputation, customer acquisition, and overall business growth. Different stakeholders will have different priorities, and tailoring your report to these concerns is paramount.\n\nConsider the typical concerns of various stakeholders:\n\n   CEO/Business Owner: Primarily focused on overall business growth, ROI, market share, and strategic direction. They want to see how social media impacts the company's financial health and competitive position.\n   Marketing Director: Interested in brand awareness, lead generation, campaign performance, and how social media integrates with other marketing channels. They need to understand efficiency and effectiveness.\n   Sales Manager: Concerned with lead quality, conversion rates, and how social media supports the sales funnel. They want to know if social media is generating qualified prospects.\n   Client: Depending on their role, they might be interested in a mix of the above, often with a strong emphasis on achieving the specific goals outlined in your service agreement.\n\nYour report should translate social media activities into business language. Instead of just stating "we gained 500 followers," explain "our audience grew by 5% this month, increasing our potential reach for new product announcements by X, which aligns with our Q3 brand awareness goal." Focus on the "so what" behind every number. What does this metric mean for the business? How does it contribute to their objectives? By aligning your report with their primary concerns, you ensure that your insights are relevant and impactful, making your report indispensable rather than ignorable.\n\n## The Core Components of an Effective Social Media Report\n\nAn effective social media report is more than just a collection of charts and figures; it's a structured narrative that guides the reader through your performance, insights, and recommendations. To ensure your report is comprehensive yet digestible, it should include several key components, each serving a distinct purpose.\n\n### Executive Summary\n\nThis is arguably the most critical section. It provides a high-level overview of the report's key findings, successes, challenges, and actionable recommendations. It should be concise, business-focused, and able to stand alone, allowing busy executives to grasp the most important information quickly.\n\n### Overall Performance Snapshot\n\nOffer a quick visual summary of the period's performance across all key metrics and platforms. This could be a dashboard-style view highlighting trends in engagement, reach, and conversions compared to previous periods or goals.\n\n### Platform-Specific Breakdown\n\nWhile an overall view is good, a deeper dive into individual platforms (e.g., LinkedIn, Facebook, Instagram, X, TikTok) is often necessary. Each platform has unique strengths and audience demographics, and performance metrics will vary. Detail key metrics for each platform, highlighting what worked best where.\n\n### Campaign Performance\n\nIf you ran specific campaigns during the reporting period, dedicate a section to their performance. This includes paid campaigns, content series, product launches, or events. Analyze their objectives, results, and ROI.\n\n### Competitive Analysis\n\nContext is crucial. How does your performance stack up against competitors? Include a brief analysis of competitor activity, their engagement rates, and any notable strategies they employed. This helps benchmark your efforts and identify opportunities.\n\n### Key Learnings &amp; Recommendations\n\nThis is where you translate data into strategy. What insights did you gain from the data? What worked well, and what didn't? Based on these learnings, what specific actions do you recommend for the next period? These recommendations should be clear, actionable, and tied back to business goals.\n\nBy structuring your report with these components, you create a logical flow that addresses both high-level strategic concerns and detailed operational performance, ensuring that your audience receives a well-rounded and actionable overview of your social media efforts.\n\n## Crafting a Compelling Executive Summary\n\nThe executive summary is the gateway to your social media report. For many busy executives and clients, it might be the only section they read in detail. Therefore, it must be exceptionally clear, concise, and impactful. Its purpose is not just to summarize, but to highlight the most critical insights and recommendations that directly impact business objectives, compelling the reader to understand the strategic value of your work.\n\nThink of your executive summary as a mini-story with a clear beginning, middle, and end:\n\n1.  The Hook (Overall Performance): Start with a high-level statement about the period's performance. Was it a strong month for lead generation? Did brand awareness significantly increase? Provide the overarching narrative immediately.\n2.  The Highlights (Key Successes): Detail 2-3 major achievements or positive trends. These should be directly linked to business goals. For example, "Our Q2 social media campaigns generated 15% more qualified leads than Q1, directly contributing to a 5% increase in pipeline value."\n3.  The Challenges/Opportunities: Briefly mention any significant challenges encountered or areas that require improvement. Frame these as opportunities for growth. For instance, "While engagement rates were strong, our conversion rate from social media traffic to demo requests saw a slight dip, indicating a need to refine our call-to-action messaging."\n4.  The "So What" (Key Takeaways): Synthesize the data into actionable insights. What did you learn from the performance? What does this mean for the business going forward?\n5.  The Next Steps (Recommendations): Conclude with clear, actionable recommendations for the upcoming period. These should be specific, measurable, and directly address the insights and opportunities identified. For example, "Recommendation: Implement A/B testing on our landing page CTAs to optimize conversion rates, aiming for a 10% improvement next quarter."\n\nUse strong, business-oriented language. Avoid jargon where possible, or explain it clearly. Focus on quantifiable results and their implications. The executive summary should be no more than one page, ideally a few paragraphs, making it easy to digest. It should answer the fundamental question your boss or client has: "What's the most important thing I need to know, and what are we going to do about it?" A well-crafted executive summary sets the tone for the entire report and ensures your key messages are heard, even if the rest of the report is only skimmed.\n\n## Key Metrics That Matter (and How to Present Them)\n\nMoving beyond vanity metrics is crucial for creating a social media report that truly resonates with business leaders. While likes and follower counts might offer a superficial sense of progress, they rarely translate directly into business value. Instead, focus on metrics that demonstrate tangible impact on brand awareness, engagement, lead generation, customer acquisition, and ultimately, ROI.\n\nHere's a breakdown of key metrics and how to present them effectively:\n\n### Awareness Metrics\n\n   Reach: The number of unique users who saw your content. Present this as a trend over time, comparing it to previous periods or goals. Explain what increased reach means for brand visibility.\n   Impressions: The total number of times your content was displayed. Useful for understanding content visibility, especially in paid campaigns. Present alongside reach to show frequency.\n\n### Engagement Metrics\n\n   Engagement Rate: The percentage of your audience that interacted with your content (likes, comments, shares, clicks). This is a far more valuable indicator of content quality than raw likes. Present this per post type or campaign to identify what resonates best.\n   Click-Through Rate (CTR): The percentage of people who clicked on a link in your post. Crucial for driving traffic to your website or landing pages. Present this in relation to specific calls to action.\n   Comments &amp; Shares: Indicate strong interest and advocacy. Analyze the sentiment of comments and the types of content that get shared most.\n\n### Conversion Metrics\n\n   Website Traffic from Social: The number of visitors your social channels drive to your website. Use tools like Google Analytics to track this. Show trends and compare to other traffic sources.\n   Leads Generated: The number of qualified leads originating from social media. This often requires integration with your CRM. Differentiate between Marketing Qualified Leads (MQLs) and Sales Qualified Leads (SQLs).\n   Conversion Rate: The percentage of social media visitors who complete a desired action (e.g., sign up for a newsletter, download an ebook, request a demo). This is a direct measure of social media's impact on business goals.\n   Customer Acquisition Cost (CAC): If running paid social campaigns, calculate the cost to acquire a new customer through social media. Compare this to other channels.\n\n### Customer Service &amp; Sentiment Metrics\n\n   Response Rate &amp; Time: For channels used for customer service, these metrics show efficiency and responsiveness.\n*   Social Sentiment: Analyze mentions of your brand to understand public perception (positive, neutral, negative). Tools like Brandwatch or Sprout Social can help here.\n\n### Presenting Metrics with Impact\n\nUse tables to compare performance over time or across platforms. For example:\n\n| Metric | Current Period | Previous Period | % Change | Goal | Variance to Goal |</w:t>
      </w:r>
    </w:p>
    <w:tbl>
      <w:tblPr>
        <w:tblStyle w:val="MediumGrid1-Accent1"/>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22"/>
              </w:rPr>
              <w:t>:-------------------</w:t>
            </w:r>
          </w:p>
        </w:tc>
        <w:tc>
          <w:tcPr>
            <w:tcW w:type="dxa" w:w="1560"/>
          </w:tcPr>
          <w:p>
            <w:pPr>
              <w:jc w:val="center"/>
            </w:pPr>
            <w:r>
              <w:rPr>
                <w:b/>
                <w:sz w:val="22"/>
              </w:rPr>
              <w:t>:-------------</w:t>
            </w:r>
          </w:p>
        </w:tc>
        <w:tc>
          <w:tcPr>
            <w:tcW w:type="dxa" w:w="1560"/>
          </w:tcPr>
          <w:p>
            <w:pPr>
              <w:jc w:val="center"/>
            </w:pPr>
            <w:r>
              <w:rPr>
                <w:b/>
                <w:sz w:val="22"/>
              </w:rPr>
              <w:t>:--------------</w:t>
            </w:r>
          </w:p>
        </w:tc>
        <w:tc>
          <w:tcPr>
            <w:tcW w:type="dxa" w:w="1560"/>
          </w:tcPr>
          <w:p>
            <w:pPr>
              <w:jc w:val="center"/>
            </w:pPr>
            <w:r>
              <w:rPr>
                <w:b/>
                <w:sz w:val="22"/>
              </w:rPr>
              <w:t>:-------</w:t>
            </w:r>
          </w:p>
        </w:tc>
        <w:tc>
          <w:tcPr>
            <w:tcW w:type="dxa" w:w="1560"/>
          </w:tcPr>
          <w:p>
            <w:pPr>
              <w:jc w:val="center"/>
            </w:pPr>
            <w:r>
              <w:rPr>
                <w:b/>
                <w:sz w:val="22"/>
              </w:rPr>
              <w:t>:---</w:t>
            </w:r>
          </w:p>
        </w:tc>
        <w:tc>
          <w:tcPr>
            <w:tcW w:type="dxa" w:w="1560"/>
          </w:tcPr>
          <w:p>
            <w:pPr>
              <w:jc w:val="center"/>
            </w:pPr>
            <w:r>
              <w:rPr>
                <w:b/>
                <w:sz w:val="22"/>
              </w:rPr>
              <w:t>:---------------</w:t>
            </w:r>
          </w:p>
        </w:tc>
      </w:tr>
      <w:tr>
        <w:tc>
          <w:tcPr>
            <w:tcW w:type="dxa" w:w="1560"/>
          </w:tcPr>
          <w:p>
            <w:pPr>
              <w:jc w:val="left"/>
            </w:pPr>
            <w:r>
              <w:rPr>
                <w:sz w:val="20"/>
              </w:rPr>
              <w:t>Total Reach</w:t>
            </w:r>
          </w:p>
        </w:tc>
        <w:tc>
          <w:tcPr>
            <w:tcW w:type="dxa" w:w="1560"/>
          </w:tcPr>
          <w:p>
            <w:pPr>
              <w:jc w:val="left"/>
            </w:pPr>
            <w:r>
              <w:rPr>
                <w:sz w:val="20"/>
              </w:rPr>
              <w:t>1,250,000</w:t>
            </w:r>
          </w:p>
        </w:tc>
        <w:tc>
          <w:tcPr>
            <w:tcW w:type="dxa" w:w="1560"/>
          </w:tcPr>
          <w:p>
            <w:pPr>
              <w:jc w:val="left"/>
            </w:pPr>
            <w:r>
              <w:rPr>
                <w:sz w:val="20"/>
              </w:rPr>
              <w:t>1,100,000</w:t>
            </w:r>
          </w:p>
        </w:tc>
        <w:tc>
          <w:tcPr>
            <w:tcW w:type="dxa" w:w="1560"/>
          </w:tcPr>
          <w:p>
            <w:pPr>
              <w:jc w:val="left"/>
            </w:pPr>
            <w:r>
              <w:rPr>
                <w:sz w:val="20"/>
              </w:rPr>
              <w:t>+13.6%</w:t>
            </w:r>
          </w:p>
        </w:tc>
        <w:tc>
          <w:tcPr>
            <w:tcW w:type="dxa" w:w="1560"/>
          </w:tcPr>
          <w:p>
            <w:pPr>
              <w:jc w:val="left"/>
            </w:pPr>
            <w:r>
              <w:rPr>
                <w:sz w:val="20"/>
              </w:rPr>
              <w:t>1,200,000</w:t>
            </w:r>
          </w:p>
        </w:tc>
        <w:tc>
          <w:tcPr>
            <w:tcW w:type="dxa" w:w="1560"/>
          </w:tcPr>
          <w:p>
            <w:pPr>
              <w:jc w:val="left"/>
            </w:pPr>
            <w:r>
              <w:rPr>
                <w:sz w:val="20"/>
              </w:rPr>
              <w:t>+4.2%</w:t>
            </w:r>
          </w:p>
        </w:tc>
      </w:tr>
      <w:tr>
        <w:tc>
          <w:tcPr>
            <w:tcW w:type="dxa" w:w="1560"/>
          </w:tcPr>
          <w:p>
            <w:pPr>
              <w:jc w:val="left"/>
            </w:pPr>
            <w:r>
              <w:rPr>
                <w:sz w:val="20"/>
              </w:rPr>
              <w:t>Engagement Rate</w:t>
            </w:r>
          </w:p>
        </w:tc>
        <w:tc>
          <w:tcPr>
            <w:tcW w:type="dxa" w:w="1560"/>
          </w:tcPr>
          <w:p>
            <w:pPr>
              <w:jc w:val="left"/>
            </w:pPr>
            <w:r>
              <w:rPr>
                <w:sz w:val="20"/>
              </w:rPr>
              <w:t>3.2%</w:t>
            </w:r>
          </w:p>
        </w:tc>
        <w:tc>
          <w:tcPr>
            <w:tcW w:type="dxa" w:w="1560"/>
          </w:tcPr>
          <w:p>
            <w:pPr>
              <w:jc w:val="left"/>
            </w:pPr>
            <w:r>
              <w:rPr>
                <w:sz w:val="20"/>
              </w:rPr>
              <w:t>2.8%</w:t>
            </w:r>
          </w:p>
        </w:tc>
        <w:tc>
          <w:tcPr>
            <w:tcW w:type="dxa" w:w="1560"/>
          </w:tcPr>
          <w:p>
            <w:pPr>
              <w:jc w:val="left"/>
            </w:pPr>
            <w:r>
              <w:rPr>
                <w:sz w:val="20"/>
              </w:rPr>
              <w:t>+14.3%</w:t>
            </w:r>
          </w:p>
        </w:tc>
        <w:tc>
          <w:tcPr>
            <w:tcW w:type="dxa" w:w="1560"/>
          </w:tcPr>
          <w:p>
            <w:pPr>
              <w:jc w:val="left"/>
            </w:pPr>
            <w:r>
              <w:rPr>
                <w:sz w:val="20"/>
              </w:rPr>
              <w:t>3.0%</w:t>
            </w:r>
          </w:p>
        </w:tc>
        <w:tc>
          <w:tcPr>
            <w:tcW w:type="dxa" w:w="1560"/>
          </w:tcPr>
          <w:p>
            <w:pPr>
              <w:jc w:val="left"/>
            </w:pPr>
            <w:r>
              <w:rPr>
                <w:sz w:val="20"/>
              </w:rPr>
              <w:t>+6.7%</w:t>
            </w:r>
          </w:p>
        </w:tc>
      </w:tr>
      <w:tr>
        <w:tc>
          <w:tcPr>
            <w:tcW w:type="dxa" w:w="1560"/>
          </w:tcPr>
          <w:p>
            <w:pPr>
              <w:jc w:val="left"/>
            </w:pPr>
            <w:r>
              <w:rPr>
                <w:sz w:val="20"/>
              </w:rPr>
              <w:t>Website Clicks</w:t>
            </w:r>
          </w:p>
        </w:tc>
        <w:tc>
          <w:tcPr>
            <w:tcW w:type="dxa" w:w="1560"/>
          </w:tcPr>
          <w:p>
            <w:pPr>
              <w:jc w:val="left"/>
            </w:pPr>
            <w:r>
              <w:rPr>
                <w:sz w:val="20"/>
              </w:rPr>
              <w:t>15,000</w:t>
            </w:r>
          </w:p>
        </w:tc>
        <w:tc>
          <w:tcPr>
            <w:tcW w:type="dxa" w:w="1560"/>
          </w:tcPr>
          <w:p>
            <w:pPr>
              <w:jc w:val="left"/>
            </w:pPr>
            <w:r>
              <w:rPr>
                <w:sz w:val="20"/>
              </w:rPr>
              <w:t>12,500</w:t>
            </w:r>
          </w:p>
        </w:tc>
        <w:tc>
          <w:tcPr>
            <w:tcW w:type="dxa" w:w="1560"/>
          </w:tcPr>
          <w:p>
            <w:pPr>
              <w:jc w:val="left"/>
            </w:pPr>
            <w:r>
              <w:rPr>
                <w:sz w:val="20"/>
              </w:rPr>
              <w:t>+20.0%</w:t>
            </w:r>
          </w:p>
        </w:tc>
        <w:tc>
          <w:tcPr>
            <w:tcW w:type="dxa" w:w="1560"/>
          </w:tcPr>
          <w:p>
            <w:pPr>
              <w:jc w:val="left"/>
            </w:pPr>
            <w:r>
              <w:rPr>
                <w:sz w:val="20"/>
              </w:rPr>
              <w:t>14,000</w:t>
            </w:r>
          </w:p>
        </w:tc>
        <w:tc>
          <w:tcPr>
            <w:tcW w:type="dxa" w:w="1560"/>
          </w:tcPr>
          <w:p>
            <w:pPr>
              <w:jc w:val="left"/>
            </w:pPr>
            <w:r>
              <w:rPr>
                <w:sz w:val="20"/>
              </w:rPr>
              <w:t>+7.1%</w:t>
            </w:r>
          </w:p>
        </w:tc>
      </w:tr>
      <w:tr>
        <w:tc>
          <w:tcPr>
            <w:tcW w:type="dxa" w:w="1560"/>
          </w:tcPr>
          <w:p>
            <w:pPr>
              <w:jc w:val="left"/>
            </w:pPr>
            <w:r>
              <w:rPr>
                <w:sz w:val="20"/>
              </w:rPr>
              <w:t>MQLs from Social</w:t>
            </w:r>
          </w:p>
        </w:tc>
        <w:tc>
          <w:tcPr>
            <w:tcW w:type="dxa" w:w="1560"/>
          </w:tcPr>
          <w:p>
            <w:pPr>
              <w:jc w:val="left"/>
            </w:pPr>
            <w:r>
              <w:rPr>
                <w:sz w:val="20"/>
              </w:rPr>
              <w:t>120</w:t>
            </w:r>
          </w:p>
        </w:tc>
        <w:tc>
          <w:tcPr>
            <w:tcW w:type="dxa" w:w="1560"/>
          </w:tcPr>
          <w:p>
            <w:pPr>
              <w:jc w:val="left"/>
            </w:pPr>
            <w:r>
              <w:rPr>
                <w:sz w:val="20"/>
              </w:rPr>
              <w:t>95</w:t>
            </w:r>
          </w:p>
        </w:tc>
        <w:tc>
          <w:tcPr>
            <w:tcW w:type="dxa" w:w="1560"/>
          </w:tcPr>
          <w:p>
            <w:pPr>
              <w:jc w:val="left"/>
            </w:pPr>
            <w:r>
              <w:rPr>
                <w:sz w:val="20"/>
              </w:rPr>
              <w:t>+26.3%</w:t>
            </w:r>
          </w:p>
        </w:tc>
        <w:tc>
          <w:tcPr>
            <w:tcW w:type="dxa" w:w="1560"/>
          </w:tcPr>
          <w:p>
            <w:pPr>
              <w:jc w:val="left"/>
            </w:pPr>
            <w:r>
              <w:rPr>
                <w:sz w:val="20"/>
              </w:rPr>
              <w:t>110</w:t>
            </w:r>
          </w:p>
        </w:tc>
        <w:tc>
          <w:tcPr>
            <w:tcW w:type="dxa" w:w="1560"/>
          </w:tcPr>
          <w:p>
            <w:pPr>
              <w:jc w:val="left"/>
            </w:pPr>
            <w:r>
              <w:rPr>
                <w:sz w:val="20"/>
              </w:rPr>
              <w:t>+9.1%</w:t>
            </w:r>
          </w:p>
        </w:tc>
      </w:tr>
      <w:tr>
        <w:tc>
          <w:tcPr>
            <w:tcW w:type="dxa" w:w="1560"/>
          </w:tcPr>
          <w:p>
            <w:pPr>
              <w:jc w:val="left"/>
            </w:pPr>
            <w:r>
              <w:rPr>
                <w:sz w:val="20"/>
              </w:rPr>
              <w:t>:-------------------</w:t>
            </w:r>
          </w:p>
        </w:tc>
        <w:tc>
          <w:tcPr>
            <w:tcW w:type="dxa" w:w="1560"/>
          </w:tcPr>
          <w:p>
            <w:pPr>
              <w:jc w:val="left"/>
            </w:pPr>
            <w:r>
              <w:rPr>
                <w:sz w:val="20"/>
              </w:rPr>
              <w:t>:----------</w:t>
            </w:r>
          </w:p>
        </w:tc>
        <w:tc>
          <w:tcPr>
            <w:tcW w:type="dxa" w:w="1560"/>
          </w:tcPr>
          <w:p>
            <w:pPr>
              <w:jc w:val="left"/>
            </w:pPr>
            <w:r>
              <w:rPr>
                <w:sz w:val="20"/>
              </w:rPr>
              <w:t>:----------</w:t>
            </w:r>
          </w:p>
        </w:tc>
        <w:tc>
          <w:tcPr>
            <w:tcW w:type="dxa" w:w="1560"/>
          </w:tcPr>
          <w:p>
            <w:pPr>
              <w:jc w:val="left"/>
            </w:pPr>
            <w:r>
              <w:rPr>
                <w:sz w:val="20"/>
              </w:rPr>
              <w:t>:-------</w:t>
            </w:r>
          </w:p>
        </w:tc>
        <w:tc>
          <w:tcPr>
            <w:tcW w:type="dxa" w:w="1560"/>
          </w:tcPr>
          <w:p>
            <w:pPr>
              <w:jc w:val="left"/>
            </w:pPr>
            <w:r>
              <w:rPr>
                <w:sz w:val="20"/>
              </w:rPr>
              <w:t>:--------------</w:t>
            </w:r>
          </w:p>
        </w:tc>
        <w:tc>
          <w:tcPr>
            <w:tcW w:type="dxa" w:w="1560"/>
          </w:tcPr>
          <w:p>
            <w:pPr>
              <w:jc w:val="left"/>
            </w:pPr>
            <w:r>
              <w:rPr>
                <w:sz w:val="20"/>
              </w:rPr>
              <w:t>:------------</w:t>
            </w:r>
          </w:p>
        </w:tc>
      </w:tr>
      <w:tr>
        <w:tc>
          <w:tcPr>
            <w:tcW w:type="dxa" w:w="1560"/>
          </w:tcPr>
          <w:p>
            <w:pPr>
              <w:jc w:val="left"/>
            </w:pPr>
            <w:r>
              <w:rPr>
                <w:sz w:val="20"/>
              </w:rPr>
              <w:t>LinkedIn Engagement Rate</w:t>
            </w:r>
          </w:p>
        </w:tc>
        <w:tc>
          <w:tcPr>
            <w:tcW w:type="dxa" w:w="1560"/>
          </w:tcPr>
          <w:p>
            <w:pPr>
              <w:jc w:val="left"/>
            </w:pPr>
            <w:r>
              <w:rPr>
                <w:sz w:val="20"/>
              </w:rPr>
              <w:t>3.5%</w:t>
            </w:r>
          </w:p>
        </w:tc>
        <w:tc>
          <w:tcPr>
            <w:tcW w:type="dxa" w:w="1560"/>
          </w:tcPr>
          <w:p>
            <w:pPr>
              <w:jc w:val="left"/>
            </w:pPr>
            <w:r>
              <w:rPr>
                <w:sz w:val="20"/>
              </w:rPr>
              <w:t>3.8%</w:t>
            </w:r>
          </w:p>
        </w:tc>
        <w:tc>
          <w:tcPr>
            <w:tcW w:type="dxa" w:w="1560"/>
          </w:tcPr>
          <w:p>
            <w:pPr>
              <w:jc w:val="left"/>
            </w:pPr>
            <w:r>
              <w:rPr>
                <w:sz w:val="20"/>
              </w:rPr>
              <w:t>+0.3%</w:t>
            </w:r>
          </w:p>
        </w:tc>
        <w:tc>
          <w:tcPr>
            <w:tcW w:type="dxa" w:w="1560"/>
          </w:tcPr>
          <w:p>
            <w:pPr>
              <w:jc w:val="left"/>
            </w:pPr>
            <w:r>
              <w:rPr>
                <w:sz w:val="20"/>
              </w:rPr>
              <w:t>3.1%</w:t>
            </w:r>
          </w:p>
        </w:tc>
        <w:tc>
          <w:tcPr>
            <w:tcW w:type="dxa" w:w="1560"/>
          </w:tcPr>
          <w:p>
            <w:pPr>
              <w:jc w:val="left"/>
            </w:pPr>
            <w:r>
              <w:rPr>
                <w:sz w:val="20"/>
              </w:rPr>
              <w:t>2.5%</w:t>
            </w:r>
          </w:p>
        </w:tc>
      </w:tr>
      <w:tr>
        <w:tc>
          <w:tcPr>
            <w:tcW w:type="dxa" w:w="1560"/>
          </w:tcPr>
          <w:p>
            <w:pPr>
              <w:jc w:val="left"/>
            </w:pPr>
            <w:r>
              <w:rPr>
                <w:sz w:val="20"/>
              </w:rPr>
              <w:t>Facebook Page Reach</w:t>
            </w:r>
          </w:p>
        </w:tc>
        <w:tc>
          <w:tcPr>
            <w:tcW w:type="dxa" w:w="1560"/>
          </w:tcPr>
          <w:p>
            <w:pPr>
              <w:jc w:val="left"/>
            </w:pPr>
            <w:r>
              <w:rPr>
                <w:sz w:val="20"/>
              </w:rPr>
              <w:t>500,000</w:t>
            </w:r>
          </w:p>
        </w:tc>
        <w:tc>
          <w:tcPr>
            <w:tcW w:type="dxa" w:w="1560"/>
          </w:tcPr>
          <w:p>
            <w:pPr>
              <w:jc w:val="left"/>
            </w:pPr>
            <w:r>
              <w:rPr>
                <w:sz w:val="20"/>
              </w:rPr>
              <w:t>480,000</w:t>
            </w:r>
          </w:p>
        </w:tc>
        <w:tc>
          <w:tcPr>
            <w:tcW w:type="dxa" w:w="1560"/>
          </w:tcPr>
          <w:p>
            <w:pPr>
              <w:jc w:val="left"/>
            </w:pPr>
            <w:r>
              <w:rPr>
                <w:sz w:val="20"/>
              </w:rPr>
              <w:t>-20,000</w:t>
            </w:r>
          </w:p>
        </w:tc>
        <w:tc>
          <w:tcPr>
            <w:tcW w:type="dxa" w:w="1560"/>
          </w:tcPr>
          <w:p>
            <w:pPr>
              <w:jc w:val="left"/>
            </w:pPr>
            <w:r>
              <w:rPr>
                <w:sz w:val="20"/>
              </w:rPr>
              <w:t>450,000</w:t>
            </w:r>
          </w:p>
        </w:tc>
        <w:tc>
          <w:tcPr>
            <w:tcW w:type="dxa" w:w="1560"/>
          </w:tcPr>
          <w:p>
            <w:pPr>
              <w:jc w:val="left"/>
            </w:pPr>
            <w:r>
              <w:rPr>
                <w:sz w:val="20"/>
              </w:rPr>
              <w:t>550,000</w:t>
            </w:r>
          </w:p>
        </w:tc>
      </w:tr>
      <w:tr>
        <w:tc>
          <w:tcPr>
            <w:tcW w:type="dxa" w:w="1560"/>
          </w:tcPr>
          <w:p>
            <w:pPr>
              <w:jc w:val="left"/>
            </w:pPr>
            <w:r>
              <w:rPr>
                <w:sz w:val="20"/>
              </w:rPr>
              <w:t>Instagram Profile Visits</w:t>
            </w:r>
          </w:p>
        </w:tc>
        <w:tc>
          <w:tcPr>
            <w:tcW w:type="dxa" w:w="1560"/>
          </w:tcPr>
          <w:p>
            <w:pPr>
              <w:jc w:val="left"/>
            </w:pPr>
            <w:r>
              <w:rPr>
                <w:sz w:val="20"/>
              </w:rPr>
              <w:t>10,000</w:t>
            </w:r>
          </w:p>
        </w:tc>
        <w:tc>
          <w:tcPr>
            <w:tcW w:type="dxa" w:w="1560"/>
          </w:tcPr>
          <w:p>
            <w:pPr>
              <w:jc w:val="left"/>
            </w:pPr>
            <w:r>
              <w:rPr>
                <w:sz w:val="20"/>
              </w:rPr>
              <w:t>11,500</w:t>
            </w:r>
          </w:p>
        </w:tc>
        <w:tc>
          <w:tcPr>
            <w:tcW w:type="dxa" w:w="1560"/>
          </w:tcPr>
          <w:p>
            <w:pPr>
              <w:jc w:val="left"/>
            </w:pPr>
            <w:r>
              <w:rPr>
                <w:sz w:val="20"/>
              </w:rPr>
              <w:t>+1,500</w:t>
            </w:r>
          </w:p>
        </w:tc>
        <w:tc>
          <w:tcPr>
            <w:tcW w:type="dxa" w:w="1560"/>
          </w:tcPr>
          <w:p>
            <w:pPr>
              <w:jc w:val="left"/>
            </w:pPr>
            <w:r>
              <w:rPr>
                <w:sz w:val="20"/>
              </w:rPr>
              <w:t>9,000</w:t>
            </w:r>
          </w:p>
        </w:tc>
        <w:tc>
          <w:tcPr>
            <w:tcW w:type="dxa" w:w="1560"/>
          </w:tcPr>
          <w:p>
            <w:pPr>
              <w:jc w:val="left"/>
            </w:pPr>
            <w:r>
              <w:rPr>
                <w:sz w:val="20"/>
              </w:rPr>
              <w:t>9,500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