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46"/>
          <w:szCs w:val="46"/>
        </w:rPr>
      </w:pPr>
      <w:bookmarkStart w:colFirst="0" w:colLast="0" w:name="_o0v5wr7el6ow" w:id="0"/>
      <w:bookmarkEnd w:id="0"/>
      <w:r w:rsidDel="00000000" w:rsidR="00000000" w:rsidRPr="00000000">
        <w:rPr>
          <w:sz w:val="46"/>
          <w:szCs w:val="46"/>
          <w:rtl w:val="0"/>
        </w:rPr>
        <w:t xml:space="preserve">Project Documentation: TestSense AI</w:t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8yfufe1hshs9" w:id="1"/>
      <w:bookmarkEnd w:id="1"/>
      <w:r w:rsidDel="00000000" w:rsidR="00000000" w:rsidRPr="00000000">
        <w:rPr>
          <w:sz w:val="28"/>
          <w:szCs w:val="28"/>
          <w:rtl w:val="0"/>
        </w:rPr>
        <w:t xml:space="preserve">Unified QA &amp; Test Intelligence Engine for Macy's Web &amp; Mobile Applications</w:t>
      </w:r>
    </w:p>
    <w:p w:rsidR="00000000" w:rsidDel="00000000" w:rsidP="00000000" w:rsidRDefault="00000000" w:rsidRPr="00000000" w14:paraId="00000003">
      <w:pPr>
        <w:pStyle w:val="Heading1"/>
        <w:rPr>
          <w:sz w:val="32"/>
          <w:szCs w:val="32"/>
        </w:rPr>
      </w:pPr>
      <w:bookmarkStart w:colFirst="0" w:colLast="0" w:name="_bbyupk1o7imh" w:id="2"/>
      <w:bookmarkEnd w:id="2"/>
      <w:r w:rsidDel="00000000" w:rsidR="00000000" w:rsidRPr="00000000">
        <w:rPr>
          <w:sz w:val="32"/>
          <w:szCs w:val="32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TestSense AI</w:t>
      </w:r>
      <w:r w:rsidDel="00000000" w:rsidR="00000000" w:rsidRPr="00000000">
        <w:rPr>
          <w:rtl w:val="0"/>
        </w:rPr>
        <w:t xml:space="preserve"> is an intelligent, conversational QA bridge designed to streamline test automation, data management, and feature validation across Macy's web and mobile applications. It converts natural-language queries into instant backend API calls, shared test data lookups, visual feature knowledge searches, and cross-platform automation pipeline triggers.</w:t>
      </w:r>
    </w:p>
    <w:p w:rsidR="00000000" w:rsidDel="00000000" w:rsidP="00000000" w:rsidRDefault="00000000" w:rsidRPr="00000000" w14:paraId="00000005">
      <w:pPr>
        <w:pStyle w:val="Heading1"/>
        <w:rPr>
          <w:sz w:val="32"/>
          <w:szCs w:val="32"/>
        </w:rPr>
      </w:pPr>
      <w:bookmarkStart w:colFirst="0" w:colLast="0" w:name="_3om4nwh27xaa" w:id="3"/>
      <w:bookmarkEnd w:id="3"/>
      <w:r w:rsidDel="00000000" w:rsidR="00000000" w:rsidRPr="00000000">
        <w:rPr>
          <w:sz w:val="32"/>
          <w:szCs w:val="32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Fragmentation &amp; Invalidity:</w:t>
      </w:r>
      <w:r w:rsidDel="00000000" w:rsidR="00000000" w:rsidRPr="00000000">
        <w:rPr>
          <w:rtl w:val="0"/>
        </w:rPr>
        <w:t xml:space="preserve"> Test data (Web IDs, sandbox credit cards, addresses) remains trapped in static spreadsheets. Valid credentials created by one team are not systematically shared, forcing other teams to re-create data or work with stale records.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Setup Overhead:</w:t>
      </w:r>
      <w:r w:rsidDel="00000000" w:rsidR="00000000" w:rsidRPr="00000000">
        <w:rPr>
          <w:rtl w:val="0"/>
        </w:rPr>
        <w:t xml:space="preserve"> Executing setup routines such as funding loyalty accounts (M-Money, Star Money) or generating SUPC offer codes requires manual execution of Postman collections or CDE triggers, consuming 10–15 minutes per test cycle.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Gaps &amp; Missed KT Calls:</w:t>
      </w:r>
      <w:r w:rsidDel="00000000" w:rsidR="00000000" w:rsidRPr="00000000">
        <w:rPr>
          <w:rtl w:val="0"/>
        </w:rPr>
        <w:t xml:space="preserve"> QA engineers often lack full visibility into new feature requirements or legacy app behaviors, especially if they miss live Knowledge Transfer (KT) sessions.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Disjointed Automation Execution:</w:t>
      </w:r>
      <w:r w:rsidDel="00000000" w:rsidR="00000000" w:rsidRPr="00000000">
        <w:rPr>
          <w:rtl w:val="0"/>
        </w:rPr>
        <w:t xml:space="preserve"> Triggering cross-browser or mobile test suites across environments involves manual parameter configuration and complex pipeline setups.</w:t>
      </w:r>
    </w:p>
    <w:p w:rsidR="00000000" w:rsidDel="00000000" w:rsidP="00000000" w:rsidRDefault="00000000" w:rsidRPr="00000000" w14:paraId="0000000A">
      <w:pPr>
        <w:pStyle w:val="Heading1"/>
        <w:rPr>
          <w:sz w:val="32"/>
          <w:szCs w:val="32"/>
        </w:rPr>
      </w:pPr>
      <w:bookmarkStart w:colFirst="0" w:colLast="0" w:name="_6z1v5u9tujvb" w:id="4"/>
      <w:bookmarkEnd w:id="4"/>
      <w:r w:rsidDel="00000000" w:rsidR="00000000" w:rsidRPr="00000000">
        <w:rPr>
          <w:sz w:val="32"/>
          <w:szCs w:val="32"/>
          <w:rtl w:val="0"/>
        </w:rPr>
        <w:t xml:space="preserve">Key Features &amp; System Architecture</w:t>
      </w:r>
    </w:p>
    <w:p w:rsidR="00000000" w:rsidDel="00000000" w:rsidP="00000000" w:rsidRDefault="00000000" w:rsidRPr="00000000" w14:paraId="0000000B">
      <w:pPr>
        <w:pStyle w:val="Heading2"/>
        <w:rPr>
          <w:sz w:val="28"/>
          <w:szCs w:val="28"/>
        </w:rPr>
      </w:pPr>
      <w:bookmarkStart w:colFirst="0" w:colLast="0" w:name="_up3gj4p1yd42" w:id="5"/>
      <w:bookmarkEnd w:id="5"/>
      <w:r w:rsidDel="00000000" w:rsidR="00000000" w:rsidRPr="00000000">
        <w:rPr>
          <w:sz w:val="28"/>
          <w:szCs w:val="28"/>
          <w:rtl w:val="0"/>
        </w:rPr>
        <w:t xml:space="preserve">1. Instant Test Data Retrieval &amp; Collaborative Data Sharing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Converts plain-English queries into verified test data.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Features a dynamic ingestion engine where any team can add new test data, Web IDs, or cards to the central repository, making it instantly accessible across the organization.</w:t>
      </w:r>
    </w:p>
    <w:p w:rsidR="00000000" w:rsidDel="00000000" w:rsidP="00000000" w:rsidRDefault="00000000" w:rsidRPr="00000000" w14:paraId="0000000E">
      <w:pPr>
        <w:pStyle w:val="Heading2"/>
        <w:rPr>
          <w:sz w:val="28"/>
          <w:szCs w:val="28"/>
        </w:rPr>
      </w:pPr>
      <w:bookmarkStart w:colFirst="0" w:colLast="0" w:name="_lljplt9esb4k" w:id="6"/>
      <w:bookmarkEnd w:id="6"/>
      <w:r w:rsidDel="00000000" w:rsidR="00000000" w:rsidRPr="00000000">
        <w:rPr>
          <w:sz w:val="28"/>
          <w:szCs w:val="28"/>
          <w:rtl w:val="0"/>
        </w:rPr>
        <w:t xml:space="preserve">2. Automated Backend API Execution &amp; Mocking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Directly executes backend Postman collections and endpoints in real time: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Loyalty Account Funding:</w:t>
      </w:r>
      <w:r w:rsidDel="00000000" w:rsidR="00000000" w:rsidRPr="00000000">
        <w:rPr>
          <w:rtl w:val="0"/>
        </w:rPr>
        <w:t xml:space="preserve"> Funds M-Money/B-Money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/mbmoneycard/add</w:t>
      </w:r>
      <w:r w:rsidDel="00000000" w:rsidR="00000000" w:rsidRPr="00000000">
        <w:rPr>
          <w:rtl w:val="0"/>
        </w:rPr>
        <w:t xml:space="preserve">) and Star Money rewards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/loyalty/setup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Promotions &amp; Offers:</w:t>
      </w:r>
      <w:r w:rsidDel="00000000" w:rsidR="00000000" w:rsidRPr="00000000">
        <w:rPr>
          <w:rtl w:val="0"/>
        </w:rPr>
        <w:t xml:space="preserve"> Configures campaigns and SUPC offer 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/offer/addOffers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/campaign/setup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API Mocking:</w:t>
      </w:r>
      <w:r w:rsidDel="00000000" w:rsidR="00000000" w:rsidRPr="00000000">
        <w:rPr>
          <w:rtl w:val="0"/>
        </w:rPr>
        <w:t xml:space="preserve"> Generates mocked order creation and checkout response payloads for isolated offline testing.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built-in parameter validation that prompts users automatically if mandatory inputs are missing.</w:t>
      </w:r>
    </w:p>
    <w:p w:rsidR="00000000" w:rsidDel="00000000" w:rsidP="00000000" w:rsidRDefault="00000000" w:rsidRPr="00000000" w14:paraId="00000014">
      <w:pPr>
        <w:pStyle w:val="Heading2"/>
        <w:rPr>
          <w:sz w:val="28"/>
          <w:szCs w:val="28"/>
        </w:rPr>
      </w:pPr>
      <w:bookmarkStart w:colFirst="0" w:colLast="0" w:name="_j1xz0v8g7vcv" w:id="7"/>
      <w:bookmarkEnd w:id="7"/>
      <w:r w:rsidDel="00000000" w:rsidR="00000000" w:rsidRPr="00000000">
        <w:rPr>
          <w:sz w:val="28"/>
          <w:szCs w:val="28"/>
          <w:rtl w:val="0"/>
        </w:rPr>
        <w:t xml:space="preserve">3. Feature Knowledge Hub (Visual &amp; Textual)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Serves as a unified source of truth for legacy site behaviors and newly released features.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Ingests feature specifications, acceptance criteria, edge-case guides, screenshots, and video walkthroughs.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QA engineers to query expected behaviors or generate test scenarios with complete visual context.</w:t>
      </w:r>
    </w:p>
    <w:p w:rsidR="00000000" w:rsidDel="00000000" w:rsidP="00000000" w:rsidRDefault="00000000" w:rsidRPr="00000000" w14:paraId="00000018">
      <w:pPr>
        <w:pStyle w:val="Heading2"/>
        <w:rPr>
          <w:sz w:val="28"/>
          <w:szCs w:val="28"/>
        </w:rPr>
      </w:pPr>
      <w:bookmarkStart w:colFirst="0" w:colLast="0" w:name="_mvhz4ukjj415" w:id="8"/>
      <w:bookmarkEnd w:id="8"/>
      <w:r w:rsidDel="00000000" w:rsidR="00000000" w:rsidRPr="00000000">
        <w:rPr>
          <w:sz w:val="28"/>
          <w:szCs w:val="28"/>
          <w:rtl w:val="0"/>
        </w:rPr>
        <w:t xml:space="preserve">4. Automated Pipeline Triggering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Executes natural-language commands to launch test suites on automation platforms like LambdaTest, while verifying available instances and requesting user confirmation prior to execution.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Parses branch, channel, and environment parameters automatically.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f8nzslqrdb6h" w:id="9"/>
      <w:bookmarkEnd w:id="9"/>
      <w:r w:rsidDel="00000000" w:rsidR="00000000" w:rsidRPr="00000000">
        <w:rPr>
          <w:rtl w:val="0"/>
        </w:rPr>
        <w:t xml:space="preserve">System Architecture &amp; Workflow Flowchart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653088" cy="3562944"/>
            <wp:effectExtent b="0" l="0" r="0" t="0"/>
            <wp:docPr descr="A professional, high-level architecture diagram for TestSense AI. At the top, a 'User Input' block (representing plain-language queries) points down to a central 'TestSense AI Engine' (Intent Parsing &amp; Parameter Validation). From the central engine, three arrows branch out to 'Backend APIs (Postman/CDE)', 'Feature Knowledge Hub (Specs, Media)', and 'LambdaTest Automation Engine'. All three blocks then converge at the bottom into a 'Unified Response/Execution' block, which lists API responses, visual scenarios, and pipeline logs." id="1" name="image1.jpg"/>
            <a:graphic>
              <a:graphicData uri="http://schemas.openxmlformats.org/drawingml/2006/picture">
                <pic:pic>
                  <pic:nvPicPr>
                    <pic:cNvPr descr="A professional, high-level architecture diagram for TestSense AI. At the top, a 'User Input' block (representing plain-language queries) points down to a central 'TestSense AI Engine' (Intent Parsing &amp; Parameter Validation). From the central engine, three arrows branch out to 'Backend APIs (Postman/CDE)', 'Feature Knowledge Hub (Specs, Media)', and 'LambdaTest Automation Engine'. All three blocks then converge at the bottom into a 'Unified Response/Execution' block, which lists API responses, visual scenarios, and pipeline logs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56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3747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ir78n5ygxhn9" w:id="10"/>
      <w:bookmarkEnd w:id="10"/>
      <w:r w:rsidDel="00000000" w:rsidR="00000000" w:rsidRPr="00000000">
        <w:rPr>
          <w:rtl w:val="0"/>
        </w:rPr>
        <w:t xml:space="preserve">Business Impact &amp; ROI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750"/>
        <w:gridCol w:w="2750"/>
        <w:gridCol w:w="2750"/>
        <w:gridCol w:w="2750"/>
        <w:tblGridChange w:id="0">
          <w:tblGrid>
            <w:gridCol w:w="2750"/>
            <w:gridCol w:w="2750"/>
            <w:gridCol w:w="2750"/>
            <w:gridCol w:w="27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Before TestSense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With TestSense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Overall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Prep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10–15 Minutes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10 Seconds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98% Time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Setup 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Frequent Manual Errors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Execution Errors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Fragmented Spreadsheets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Single Shared Platform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Eliminated Data Silos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Reliance on Live KT Calls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Instant Visual Search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Delay on KT Gaps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e9a8iusj5ufv" w:id="11"/>
      <w:bookmarkEnd w:id="11"/>
      <w:r w:rsidDel="00000000" w:rsidR="00000000" w:rsidRPr="00000000">
        <w:rPr>
          <w:rtl w:val="0"/>
        </w:rPr>
        <w:t xml:space="preserve">User Interaction Examples</w:t>
      </w:r>
    </w:p>
    <w:tbl>
      <w:tblPr>
        <w:tblStyle w:val="Table2"/>
        <w:tblW w:w="1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4000"/>
        <w:gridCol w:w="7000"/>
        <w:tblGridChange w:id="0">
          <w:tblGrid>
            <w:gridCol w:w="4000"/>
            <w:gridCol w:w="7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User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Agent Response &amp; System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"Add M-Money to account testuser@macys.com"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Endpoint:</w:t>
            </w:r>
            <w:r w:rsidDel="00000000" w:rsidR="00000000" w:rsidRPr="00000000">
              <w:rPr>
                <w:rtl w:val="0"/>
              </w:rPr>
              <w:t xml:space="preserve"> POST /loyaltyautomation/mbmoneycard/add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Status:</w:t>
            </w:r>
            <w:r w:rsidDel="00000000" w:rsidR="00000000" w:rsidRPr="00000000">
              <w:rPr>
                <w:color w:val="188038"/>
                <w:rtl w:val="0"/>
              </w:rPr>
              <w:t xml:space="preserve"> 200 OK -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Successfully funded account testuser@macys.com with $30 Macy's Money (4 cards added) in environment mcom-131.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"What is the expected behavior for the new Loyalty Star Money enhancement on iOS?"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Summary:</w:t>
            </w:r>
            <w:r w:rsidDel="00000000" w:rsidR="00000000" w:rsidRPr="00000000">
              <w:rPr>
                <w:rtl w:val="0"/>
              </w:rPr>
              <w:t xml:space="preserve"> Star Money Rewards Display Enhancement v2.1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Active Star Rewards balance must render below the user greeting.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Rewards expiring within 30 days display an orange warning badge.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Assets:</w:t>
            </w:r>
            <w:r w:rsidDel="00000000" w:rsidR="00000000" w:rsidRPr="00000000">
              <w:rPr>
                <w:rtl w:val="0"/>
              </w:rPr>
              <w:t xml:space="preserve"> Screenshot_IOS_Header.png, Walkthrough_Video_Loyalty.mp4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"Trigger pipeline for PDP using branch spatil on MCOM iOS in mcom-170"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Analysis:</w:t>
            </w:r>
            <w:r w:rsidDel="00000000" w:rsidR="00000000" w:rsidRPr="00000000">
              <w:rPr>
                <w:rtl w:val="0"/>
              </w:rPr>
              <w:t xml:space="preserve"> Scanning environment mcom-170 for available instances... Found 2 idle VMs.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 Identified:</w:t>
            </w:r>
            <w:r w:rsidDel="00000000" w:rsidR="00000000" w:rsidRPr="00000000">
              <w:rPr>
                <w:rtl w:val="0"/>
              </w:rPr>
              <w:t xml:space="preserve"> Feature: PDP | Branch: spatil | Channel: MCOM iOS | Env: mcom-170 | Test Classes: LoginTests, CheckoutFlow.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Required:</w:t>
            </w:r>
            <w:r w:rsidDel="00000000" w:rsidR="00000000" w:rsidRPr="00000000">
              <w:rPr>
                <w:rtl w:val="0"/>
              </w:rPr>
              <w:t xml:space="preserve"> Are you ready to trigger the build on the identified instances? (Yes/No)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"Save new BOPS Web ID 9876543 for category Home Goods"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Base Updated:</w:t>
            </w:r>
            <w:r w:rsidDel="00000000" w:rsidR="00000000" w:rsidRPr="00000000">
              <w:rPr>
                <w:rtl w:val="0"/>
              </w:rPr>
              <w:t xml:space="preserve"> Added Web ID 9876543 under BOPS -&gt; Home Goods. Entry is now available to all QA teams.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74f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303f9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</w:tblPr>
    <w:tblStylePr w:type="firstRow">
      <w:tcPr>
        <w:tcBorders>
          <w:bottom w:color="1a237e" w:space="0" w:sz="12" w:val="single"/>
        </w:tcBorders>
        <w:shd w:fill="e8eaf6" w:val="clear"/>
      </w:tcPr>
    </w:tblStylePr>
  </w:style>
  <w:style w:type="table" w:styleId="Table2">
    <w:basedOn w:val="TableNormal"/>
    <w:tblPr>
      <w:tblStyleRowBandSize w:val="1"/>
      <w:tblStyleColBandSize w:val="1"/>
    </w:tblPr>
    <w:tblStylePr w:type="firstRow">
      <w:tcPr>
        <w:tcBorders>
          <w:bottom w:color="1a237e" w:space="0" w:sz="12" w:val="single"/>
        </w:tcBorders>
        <w:shd w:fill="e8eaf6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