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40"/>
          <w:szCs w:val="40"/>
        </w:rPr>
        <w:t xml:space="preserve">DIRECT DEMAND MODELING OF INTERCITY</w:t>
      </w:r>
    </w:p>
    <w:p>
      <w:pPr>
        <w:spacing w:after="480"/>
        <w:jc w:val="center"/>
      </w:pPr>
      <w:r>
        <w:rPr>
          <w:rFonts w:ascii="Calibri" w:cs="Calibri" w:eastAsia="Calibri" w:hAnsi="Calibri"/>
          <w:b/>
          <w:bCs/>
          <w:color w:val="1F3864"/>
          <w:sz w:val="40"/>
          <w:szCs w:val="40"/>
        </w:rPr>
        <w:t xml:space="preserve">TRANSIT CORRIDOR RIDERSHIP</w:t>
      </w:r>
    </w:p>
    <w:p>
      <w:pPr>
        <w:spacing w:after="120"/>
        <w:jc w:val="center"/>
      </w:pPr>
      <w:r>
        <w:rPr>
          <w:rFonts w:ascii="Calibri" w:cs="Calibri" w:eastAsia="Calibri" w:hAnsi="Calibri"/>
          <w:i/>
          <w:iCs/>
          <w:color w:val="2E5395"/>
          <w:sz w:val="24"/>
          <w:szCs w:val="24"/>
        </w:rPr>
        <w:t xml:space="preserve">Economy and 1st Class Passenger Segments, with an Investigation of Lagged Demand</w:t>
      </w:r>
    </w:p>
    <w:p>
      <w:pPr>
        <w:pBdr>
          <w:top w:val="single" w:color="B7C6E0" w:sz="6" w:space="8"/>
        </w:pBdr>
        <w:spacing w:after="80" w:before="900"/>
        <w:jc w:val="center"/>
      </w:pPr>
    </w:p>
    <w:p>
      <w:pPr>
        <w:spacing w:after="40"/>
        <w:jc w:val="center"/>
      </w:pPr>
      <w:r>
        <w:rPr>
          <w:rFonts w:ascii="Calibri" w:cs="Calibri" w:eastAsia="Calibri" w:hAnsi="Calibri"/>
          <w:sz w:val="22"/>
          <w:szCs w:val="22"/>
        </w:rPr>
        <w:t xml:space="preserve">Prepared by: [Your Name]</w:t>
      </w:r>
    </w:p>
    <w:p>
      <w:pPr>
        <w:spacing w:after="40"/>
        <w:jc w:val="center"/>
      </w:pPr>
      <w:r>
        <w:rPr>
          <w:rFonts w:ascii="Calibri" w:cs="Calibri" w:eastAsia="Calibri" w:hAnsi="Calibri"/>
          <w:sz w:val="22"/>
          <w:szCs w:val="22"/>
        </w:rPr>
        <w:t xml:space="preserve">Course: [Course Name / Number]</w:t>
      </w:r>
    </w:p>
    <w:p>
      <w:pPr>
        <w:spacing w:after="40"/>
        <w:jc w:val="center"/>
      </w:pPr>
      <w:r>
        <w:rPr>
          <w:rFonts w:ascii="Calibri" w:cs="Calibri" w:eastAsia="Calibri" w:hAnsi="Calibri"/>
          <w:sz w:val="22"/>
          <w:szCs w:val="22"/>
        </w:rPr>
        <w:t xml:space="preserve">Instructor: [Instructor Name]</w:t>
      </w:r>
    </w:p>
    <w:p>
      <w:pPr>
        <w:spacing w:after="40"/>
        <w:jc w:val="center"/>
      </w:pPr>
      <w:r>
        <w:rPr>
          <w:rFonts w:ascii="Calibri" w:cs="Calibri" w:eastAsia="Calibri" w:hAnsi="Calibri"/>
          <w:sz w:val="22"/>
          <w:szCs w:val="22"/>
        </w:rPr>
        <w:t xml:space="preserve">Date: [Submission Date]</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1. Introduction</w:t>
      </w:r>
    </w:p>
    <w:p>
      <w:pPr>
        <w:pStyle w:val="Heading2"/>
        <w:spacing w:after="120" w:before="280"/>
      </w:pPr>
      <w:r>
        <w:rPr>
          <w:rFonts w:ascii="Calibri" w:cs="Calibri" w:eastAsia="Calibri" w:hAnsi="Calibri"/>
          <w:b/>
          <w:bCs/>
          <w:color w:val="2E5395"/>
          <w:sz w:val="24"/>
          <w:szCs w:val="24"/>
        </w:rPr>
        <w:t xml:space="preserve">1.1 Objectives</w:t>
      </w:r>
    </w:p>
    <w:p>
      <w:pPr>
        <w:spacing w:after="160" w:line="276"/>
        <w:jc w:val="both"/>
      </w:pPr>
      <w:r>
        <w:rPr>
          <w:rFonts w:ascii="Calibri" w:cs="Calibri" w:eastAsia="Calibri" w:hAnsi="Calibri"/>
          <w:sz w:val="21"/>
          <w:szCs w:val="21"/>
        </w:rPr>
        <w:t xml:space="preserve">Transit agencies rely on </w:t>
      </w:r>
      <w:r>
        <w:rPr>
          <w:rFonts w:ascii="Calibri" w:cs="Calibri" w:eastAsia="Calibri" w:hAnsi="Calibri"/>
          <w:b/>
          <w:bCs/>
          <w:sz w:val="21"/>
          <w:szCs w:val="21"/>
        </w:rPr>
        <w:t xml:space="preserve">direct demand models (DDMs)</w:t>
      </w:r>
      <w:r>
        <w:rPr>
          <w:rFonts w:ascii="Calibri" w:cs="Calibri" w:eastAsia="Calibri" w:hAnsi="Calibri"/>
          <w:sz w:val="21"/>
          <w:szCs w:val="21"/>
        </w:rPr>
        <w:t xml:space="preserve"> — reduced-form econometric models that regress ridership directly on the socio-economic, price, and service-quality factors believed to drive it — to forecast ridership and evaluate the sensitivity of demand to fares, competing modes, and service quality without the overhead of a full four-step travel demand model. This report develops and evaluates direct demand models for quarterly ridership along an intercity rail corridor, disaggregated by service class, using nine years (36 quarters) of corridor-level data. The analysis has two objectives:</w:t>
      </w:r>
    </w:p>
    <w:p>
      <w:pPr>
        <w:pStyle w:val="ListParagraph"/>
        <w:numPr>
          <w:ilvl w:val="0"/>
          <w:numId w:val="2"/>
        </w:numPr>
        <w:spacing w:after="80"/>
      </w:pPr>
      <w:r>
        <w:rPr>
          <w:rFonts w:ascii="Calibri" w:cs="Calibri" w:eastAsia="Calibri" w:hAnsi="Calibri"/>
          <w:sz w:val="21"/>
          <w:szCs w:val="21"/>
        </w:rPr>
        <w:t xml:space="preserve">Formulate, estimate, and select a direct demand model for each of the two passenger segments served on the corridor — Economy Class and 1st Class — explaining ridership as a function of own and cross fares, competing-mode costs, regional economic activity, on-time service performance, and seasonality.</w:t>
      </w:r>
    </w:p>
    <w:p>
      <w:pPr>
        <w:pStyle w:val="ListParagraph"/>
        <w:numPr>
          <w:ilvl w:val="0"/>
          <w:numId w:val="2"/>
        </w:numPr>
        <w:spacing w:after="80"/>
      </w:pPr>
      <w:r>
        <w:rPr>
          <w:rFonts w:ascii="Calibri" w:cs="Calibri" w:eastAsia="Calibri" w:hAnsi="Calibri"/>
          <w:sz w:val="21"/>
          <w:szCs w:val="21"/>
        </w:rPr>
        <w:t xml:space="preserve">Investigate the role of lagged demand in each model: whether current-quarter ridership depends not only on current-quarter conditions but also, through habit persistence or a gradual (partial) adjustment process, on the previous quarter's ridership level — and, if so, how this changes the short-run versus long-run responsiveness of demand to its drivers.</w:t>
      </w:r>
    </w:p>
    <w:p>
      <w:pPr>
        <w:pStyle w:val="Heading2"/>
        <w:spacing w:after="120" w:before="280"/>
      </w:pPr>
      <w:r>
        <w:rPr>
          <w:rFonts w:ascii="Calibri" w:cs="Calibri" w:eastAsia="Calibri" w:hAnsi="Calibri"/>
          <w:b/>
          <w:bCs/>
          <w:color w:val="2E5395"/>
          <w:sz w:val="24"/>
          <w:szCs w:val="24"/>
        </w:rPr>
        <w:t xml:space="preserve">1.2 Structure of the Analysis</w:t>
      </w:r>
    </w:p>
    <w:p>
      <w:pPr>
        <w:spacing w:after="160" w:line="276"/>
        <w:jc w:val="both"/>
      </w:pPr>
      <w:r>
        <w:rPr>
          <w:rFonts w:ascii="Calibri" w:cs="Calibri" w:eastAsia="Calibri" w:hAnsi="Calibri"/>
          <w:sz w:val="21"/>
          <w:szCs w:val="21"/>
        </w:rPr>
        <w:t xml:space="preserve">The remainder of this report is organized into three main parts, followed by a discussion of limitations:</w:t>
      </w:r>
    </w:p>
    <w:p>
      <w:pPr>
        <w:pStyle w:val="ListParagraph"/>
        <w:numPr>
          <w:ilvl w:val="0"/>
          <w:numId w:val="2"/>
        </w:numPr>
        <w:spacing w:after="80"/>
      </w:pPr>
      <w:r>
        <w:rPr>
          <w:rFonts w:ascii="Calibri" w:cs="Calibri" w:eastAsia="Calibri" w:hAnsi="Calibri"/>
          <w:sz w:val="21"/>
          <w:szCs w:val="21"/>
        </w:rPr>
        <w:t xml:space="preserve">Section 2 — Model Formulation: presents the general functional form used for both demand tasks and justifies each independent variable on economic/behavioral grounds, for both the static (no-lag) and dynamic (lagged-demand) specifications.</w:t>
      </w:r>
    </w:p>
    <w:p>
      <w:pPr>
        <w:pStyle w:val="ListParagraph"/>
        <w:numPr>
          <w:ilvl w:val="0"/>
          <w:numId w:val="2"/>
        </w:numPr>
        <w:spacing w:after="80"/>
      </w:pPr>
      <w:r>
        <w:rPr>
          <w:rFonts w:ascii="Calibri" w:cs="Calibri" w:eastAsia="Calibri" w:hAnsi="Calibri"/>
          <w:sz w:val="21"/>
          <w:szCs w:val="21"/>
        </w:rPr>
        <w:t xml:space="preserve">Section 3 — Estimation and Model Selection: reports the estimated static and dynamic models for each class, evaluates them against standard diagnostic criteria (goodness of fit, information criteria, multicollinearity, residual autocorrelation, and the statistical significance of the lagged-demand term), and selects one final specification per class.</w:t>
      </w:r>
    </w:p>
    <w:p>
      <w:pPr>
        <w:pStyle w:val="ListParagraph"/>
        <w:numPr>
          <w:ilvl w:val="0"/>
          <w:numId w:val="2"/>
        </w:numPr>
        <w:spacing w:after="80"/>
      </w:pPr>
      <w:r>
        <w:rPr>
          <w:rFonts w:ascii="Calibri" w:cs="Calibri" w:eastAsia="Calibri" w:hAnsi="Calibri"/>
          <w:sz w:val="21"/>
          <w:szCs w:val="21"/>
        </w:rPr>
        <w:t xml:space="preserve">Section 4 — Elasticity Discussion: interprets the elasticities and semi-elasticities of the final selected models, compares the two passenger segments' sensitivities, and draws out the practical implications.</w:t>
      </w:r>
    </w:p>
    <w:p>
      <w:pPr>
        <w:pStyle w:val="ListParagraph"/>
        <w:numPr>
          <w:ilvl w:val="0"/>
          <w:numId w:val="2"/>
        </w:numPr>
        <w:spacing w:after="80"/>
      </w:pPr>
      <w:r>
        <w:rPr>
          <w:rFonts w:ascii="Calibri" w:cs="Calibri" w:eastAsia="Calibri" w:hAnsi="Calibri"/>
          <w:sz w:val="21"/>
          <w:szCs w:val="21"/>
        </w:rPr>
        <w:t xml:space="preserve">Section 5 — Limitations and Conclusion: summarizes the main findings, is explicit about where the evidence is weak, and notes directions for further work.</w:t>
      </w:r>
    </w:p>
    <w:p>
      <w:pPr>
        <w:pStyle w:val="Heading2"/>
        <w:spacing w:after="120" w:before="280"/>
      </w:pPr>
      <w:r>
        <w:rPr>
          <w:rFonts w:ascii="Calibri" w:cs="Calibri" w:eastAsia="Calibri" w:hAnsi="Calibri"/>
          <w:b/>
          <w:bCs/>
          <w:color w:val="2E5395"/>
          <w:sz w:val="24"/>
          <w:szCs w:val="24"/>
        </w:rPr>
        <w:t xml:space="preserve">1.3 Data</w:t>
      </w:r>
    </w:p>
    <w:p>
      <w:pPr>
        <w:spacing w:after="160" w:line="276"/>
        <w:jc w:val="both"/>
      </w:pPr>
      <w:r>
        <w:rPr>
          <w:rFonts w:ascii="Calibri" w:cs="Calibri" w:eastAsia="Calibri" w:hAnsi="Calibri"/>
          <w:sz w:val="21"/>
          <w:szCs w:val="21"/>
        </w:rPr>
        <w:t xml:space="preserve">The dataset covers a single intercity corridor over 9 years of quarterly observations (N = 36), with the following variables used in the modeling below:</w:t>
      </w:r>
    </w:p>
    <w:tbl>
      <w:tblPr>
        <w:tblW w:type="dxa" w:w="10600"/>
        <w:tblBorders>
          <w:top w:val="single" w:color="B7C6E0" w:sz="4"/>
          <w:left w:val="single" w:color="B7C6E0" w:sz="4"/>
          <w:bottom w:val="single" w:color="B7C6E0" w:sz="4"/>
          <w:right w:val="single" w:color="B7C6E0" w:sz="4"/>
          <w:insideH w:val="single" w:color="B7C6E0" w:sz="2"/>
          <w:insideV w:val="single" w:color="B7C6E0" w:sz="2"/>
        </w:tblBorders>
      </w:tblPr>
      <w:tblGrid>
        <w:gridCol w:w="2400"/>
        <w:gridCol w:w="5600"/>
        <w:gridCol w:w="2600"/>
      </w:tblGrid>
      <w:tr>
        <w:trPr>
          <w:tblHeader/>
        </w:trPr>
        <w:tc>
          <w:tcPr>
            <w:tcW w:type="dxa" w:w="24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56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6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Role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Q_econ, Q_1st</w:t>
            </w:r>
          </w:p>
        </w:tc>
        <w:tc>
          <w:tcPr>
            <w:tcW w:type="dxa" w:w="5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Total passengers carried per quarter, Economy / 1st Class</w:t>
            </w:r>
          </w:p>
        </w:tc>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Dependent variable (one model per class)</w:t>
            </w:r>
          </w:p>
        </w:tc>
      </w:tr>
      <w:tr>
        <w:tc>
          <w:tcPr>
            <w:tcW w:type="dxa" w:w="2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Fare_econ, Fare_1st</w:t>
            </w:r>
          </w:p>
        </w:tc>
        <w:tc>
          <w:tcPr>
            <w:tcW w:type="dxa" w:w="5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Average fare per km, Economy / 1st Class</w:t>
            </w:r>
          </w:p>
        </w:tc>
        <w:tc>
          <w:tcPr>
            <w:tcW w:type="dxa" w:w="2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Own-price and cross-price regressor</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AirFare</w:t>
            </w:r>
          </w:p>
        </w:tc>
        <w:tc>
          <w:tcPr>
            <w:tcW w:type="dxa" w:w="5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Average competing-airline fare per km along the corridor</w:t>
            </w:r>
          </w:p>
        </w:tc>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Intermodal competition regressor</w:t>
            </w:r>
          </w:p>
        </w:tc>
      </w:tr>
      <w:tr>
        <w:tc>
          <w:tcPr>
            <w:tcW w:type="dxa" w:w="2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GasPrice</w:t>
            </w:r>
          </w:p>
        </w:tc>
        <w:tc>
          <w:tcPr>
            <w:tcW w:type="dxa" w:w="5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Average gas price along the corridor</w:t>
            </w:r>
          </w:p>
        </w:tc>
        <w:tc>
          <w:tcPr>
            <w:tcW w:type="dxa" w:w="2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Auto-travel cost / competition regressor</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Employment</w:t>
            </w:r>
          </w:p>
        </w:tc>
        <w:tc>
          <w:tcPr>
            <w:tcW w:type="dxa" w:w="5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Total employment in the region along the corridor</w:t>
            </w:r>
          </w:p>
        </w:tc>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Regional economic-activity / income proxy</w:t>
            </w:r>
          </w:p>
        </w:tc>
      </w:tr>
      <w:tr>
        <w:tc>
          <w:tcPr>
            <w:tcW w:type="dxa" w:w="2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5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Number of schedule-delay incidents per quarter</w:t>
            </w:r>
          </w:p>
        </w:tc>
        <w:tc>
          <w:tcPr>
            <w:tcW w:type="dxa" w:w="2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Service-quality regressor</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Quarter (Q2, Q3, Q4)</w:t>
            </w:r>
          </w:p>
        </w:tc>
        <w:tc>
          <w:tcPr>
            <w:tcW w:type="dxa" w:w="5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Calendar quarter, Q1 held out as reference</w:t>
            </w:r>
          </w:p>
        </w:tc>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Seasonal control (dummy variables)</w:t>
            </w:r>
          </w:p>
        </w:tc>
      </w:tr>
      <w:tr>
        <w:tc>
          <w:tcPr>
            <w:tcW w:type="dxa" w:w="24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Q_lag1</w:t>
            </w:r>
          </w:p>
        </w:tc>
        <w:tc>
          <w:tcPr>
            <w:tcW w:type="dxa" w:w="5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Own ridership in the previous quarter (Economy or 1st Class)</w:t>
            </w:r>
          </w:p>
        </w:tc>
        <w:tc>
          <w:tcPr>
            <w:tcW w:type="dxa" w:w="2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Lagged-demand regressor, dynamic specification only</w:t>
            </w:r>
          </w:p>
        </w:tc>
      </w:tr>
    </w:tbl>
    <w:p>
      <w:pPr>
        <w:spacing w:after="200" w:before="80"/>
      </w:pPr>
      <w:r>
        <w:rPr>
          <w:rFonts w:ascii="Calibri" w:cs="Calibri" w:eastAsia="Calibri" w:hAnsi="Calibri"/>
          <w:i/>
          <w:iCs/>
          <w:color w:val="595959"/>
          <w:sz w:val="18"/>
          <w:szCs w:val="18"/>
        </w:rPr>
        <w:t xml:space="preserve">Source: TransitRidershipData.xlsx (corridor-level quarterly data, Years 1-9, Quarters 1-4). All monetary variables are already fare/price-per-km measures as provided in the source data.</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2. Model Formulation and Justification of Independent Variables</w:t>
      </w:r>
    </w:p>
    <w:p>
      <w:pPr>
        <w:pStyle w:val="Heading2"/>
        <w:spacing w:after="120" w:before="280"/>
      </w:pPr>
      <w:r>
        <w:rPr>
          <w:rFonts w:ascii="Calibri" w:cs="Calibri" w:eastAsia="Calibri" w:hAnsi="Calibri"/>
          <w:b/>
          <w:bCs/>
          <w:color w:val="2E5395"/>
          <w:sz w:val="24"/>
          <w:szCs w:val="24"/>
        </w:rPr>
        <w:t xml:space="preserve">2.1 General Functional Form</w:t>
      </w:r>
    </w:p>
    <w:p>
      <w:pPr>
        <w:spacing w:after="160" w:line="276"/>
        <w:jc w:val="both"/>
      </w:pPr>
      <w:r>
        <w:rPr>
          <w:rFonts w:ascii="Calibri" w:cs="Calibri" w:eastAsia="Calibri" w:hAnsi="Calibri"/>
          <w:sz w:val="21"/>
          <w:szCs w:val="21"/>
        </w:rPr>
        <w:t xml:space="preserve">Both demand tasks use a </w:t>
      </w:r>
      <w:r>
        <w:rPr>
          <w:rFonts w:ascii="Calibri" w:cs="Calibri" w:eastAsia="Calibri" w:hAnsi="Calibri"/>
          <w:b/>
          <w:bCs/>
          <w:sz w:val="21"/>
          <w:szCs w:val="21"/>
        </w:rPr>
        <w:t xml:space="preserve">log-log (constant-elasticity) specification</w:t>
      </w:r>
      <w:r>
        <w:rPr>
          <w:rFonts w:ascii="Calibri" w:cs="Calibri" w:eastAsia="Calibri" w:hAnsi="Calibri"/>
          <w:sz w:val="21"/>
          <w:szCs w:val="21"/>
        </w:rPr>
        <w:t xml:space="preserve">, the standard functional form for direct demand models because it lets every coefficient be read directly as an elasticity, and because demand responses to price and income are more plausibly multiplicative (a given percentage change in fare produces a given percentage change in ridership) than additive. The static (no-lag) specification for class </w:t>
      </w:r>
      <w:r>
        <w:rPr>
          <w:rFonts w:ascii="Calibri" w:cs="Calibri" w:eastAsia="Calibri" w:hAnsi="Calibri"/>
          <w:i/>
          <w:iCs/>
          <w:sz w:val="21"/>
          <w:szCs w:val="21"/>
        </w:rPr>
        <w:t xml:space="preserve">i</w:t>
      </w:r>
      <w:r>
        <w:rPr>
          <w:rFonts w:ascii="Calibri" w:cs="Calibri" w:eastAsia="Calibri" w:hAnsi="Calibri"/>
          <w:sz w:val="21"/>
          <w:szCs w:val="21"/>
        </w:rPr>
        <w:t xml:space="preserve"> (Economy or 1st Class) in quarter </w:t>
      </w:r>
      <w:r>
        <w:rPr>
          <w:rFonts w:ascii="Calibri" w:cs="Calibri" w:eastAsia="Calibri" w:hAnsi="Calibri"/>
          <w:i/>
          <w:iCs/>
          <w:sz w:val="21"/>
          <w:szCs w:val="21"/>
        </w:rPr>
        <w:t xml:space="preserve">t</w:t>
      </w:r>
      <w:r>
        <w:rPr>
          <w:rFonts w:ascii="Calibri" w:cs="Calibri" w:eastAsia="Calibri" w:hAnsi="Calibri"/>
          <w:sz w:val="21"/>
          <w:szCs w:val="21"/>
        </w:rPr>
        <w:t xml:space="preserve"> is:</w:t>
      </w:r>
    </w:p>
    <w:p>
      <w:pPr>
        <w:spacing w:after="160" w:before="80"/>
        <w:jc w:val="center"/>
      </w:pPr>
      <w:r>
        <w:rPr>
          <w:rFonts w:ascii="Cambria Math" w:cs="Cambria Math" w:eastAsia="Cambria Math" w:hAnsi="Cambria Math"/>
          <w:i/>
          <w:iCs/>
          <w:color w:val="202020"/>
          <w:sz w:val="22"/>
          <w:szCs w:val="22"/>
        </w:rPr>
        <w:t xml:space="preserve">ln(Qi,t) = β0 + β1·ln(Fareown,t) + β2·ln(Farecross,t) + β3·ln(AirFaret) + β4·ln(GasPricet) + β5·ln(Employmentt) + β6·Delayst + β7·Q2 + β8·Q3 + β9·Q4 + εt</w:t>
      </w:r>
    </w:p>
    <w:p>
      <w:pPr>
        <w:spacing w:after="160" w:line="276"/>
        <w:jc w:val="both"/>
      </w:pPr>
      <w:r>
        <w:rPr>
          <w:rFonts w:ascii="Calibri" w:cs="Calibri" w:eastAsia="Calibri" w:hAnsi="Calibri"/>
          <w:sz w:val="21"/>
          <w:szCs w:val="21"/>
        </w:rPr>
        <w:t xml:space="preserve">The dynamic (lagged-demand / partial-adjustment) specification adds one regressor — the class's own log-ridership lagged one quarter:</w:t>
      </w:r>
    </w:p>
    <w:p>
      <w:pPr>
        <w:spacing w:after="160" w:before="80"/>
        <w:jc w:val="center"/>
      </w:pPr>
      <w:r>
        <w:rPr>
          <w:rFonts w:ascii="Cambria Math" w:cs="Cambria Math" w:eastAsia="Cambria Math" w:hAnsi="Cambria Math"/>
          <w:i/>
          <w:iCs/>
          <w:color w:val="202020"/>
          <w:sz w:val="22"/>
          <w:szCs w:val="22"/>
        </w:rPr>
        <w:t xml:space="preserve">ln(Qi,t) = β0 + γ·ln(Qi,t−1) + β1·ln(Fareown,t) + β2·ln(Farecross,t) + β3·ln(AirFaret) + β4·ln(GasPricet) + β5·ln(Employmentt) + β6·Delayst + β7·Q2 + β8·Q3 + β9·Q4 + εt</w:t>
      </w:r>
    </w:p>
    <w:p>
      <w:pPr>
        <w:spacing w:after="160" w:line="276"/>
        <w:jc w:val="both"/>
      </w:pPr>
      <w:r>
        <w:rPr>
          <w:rFonts w:ascii="Calibri" w:cs="Calibri" w:eastAsia="Calibri" w:hAnsi="Calibri"/>
          <w:sz w:val="21"/>
          <w:szCs w:val="21"/>
        </w:rPr>
        <w:t xml:space="preserve">Here γ is the </w:t>
      </w:r>
      <w:r>
        <w:rPr>
          <w:rFonts w:ascii="Calibri" w:cs="Calibri" w:eastAsia="Calibri" w:hAnsi="Calibri"/>
          <w:i/>
          <w:iCs/>
          <w:sz w:val="21"/>
          <w:szCs w:val="21"/>
        </w:rPr>
        <w:t xml:space="preserve">adjustment-speed parameter</w:t>
      </w:r>
      <w:r>
        <w:rPr>
          <w:rFonts w:ascii="Calibri" w:cs="Calibri" w:eastAsia="Calibri" w:hAnsi="Calibri"/>
          <w:sz w:val="21"/>
          <w:szCs w:val="21"/>
        </w:rPr>
        <w:t xml:space="preserve">: a value close to 0 means ridership adjusts to a new equilibrium almost fully within one quarter (weak habit persistence), while a value close to 1 means adjustment is slow and today's ridership is strongly anchored to last quarter's level. When γ is statistically significant, the model also yields long-run elasticities — the eventual, fully-adjusted effect of each driver — obtained by dividing each short-run coefficient βk by (1 − γ).</w:t>
      </w:r>
    </w:p>
    <w:p>
      <w:pPr>
        <w:pStyle w:val="Heading2"/>
        <w:spacing w:after="120" w:before="280"/>
      </w:pPr>
      <w:r>
        <w:rPr>
          <w:rFonts w:ascii="Calibri" w:cs="Calibri" w:eastAsia="Calibri" w:hAnsi="Calibri"/>
          <w:b/>
          <w:bCs/>
          <w:color w:val="2E5395"/>
          <w:sz w:val="24"/>
          <w:szCs w:val="24"/>
        </w:rPr>
        <w:t xml:space="preserve">2.2 Justification of Independent Variables</w:t>
      </w:r>
    </w:p>
    <w:p>
      <w:pPr>
        <w:spacing w:after="160" w:line="276"/>
        <w:jc w:val="both"/>
      </w:pPr>
      <w:r>
        <w:rPr>
          <w:rFonts w:ascii="Calibri" w:cs="Calibri" w:eastAsia="Calibri" w:hAnsi="Calibri"/>
          <w:sz w:val="21"/>
          <w:szCs w:val="21"/>
        </w:rPr>
        <w:t xml:space="preserve">Each regressor is included on the following economic or behavioral grounds, applied identically to both the Economy and 1st Class model (with the two fare variables swapping which is "own" and which is "cross"):</w:t>
      </w:r>
    </w:p>
    <w:p>
      <w:pPr>
        <w:pStyle w:val="Heading3"/>
        <w:spacing w:after="100" w:before="200"/>
      </w:pPr>
      <w:r>
        <w:rPr>
          <w:rFonts w:ascii="Calibri" w:cs="Calibri" w:eastAsia="Calibri" w:hAnsi="Calibri"/>
          <w:b/>
          <w:bCs/>
          <w:i/>
          <w:iCs/>
          <w:color w:val="595959"/>
          <w:sz w:val="21"/>
          <w:szCs w:val="21"/>
        </w:rPr>
        <w:t xml:space="preserve">Own fare — Fareown (elasticity β1)</w:t>
      </w:r>
    </w:p>
    <w:p>
      <w:pPr>
        <w:spacing w:after="160" w:line="276"/>
        <w:jc w:val="both"/>
      </w:pPr>
      <w:r>
        <w:rPr>
          <w:rFonts w:ascii="Calibri" w:cs="Calibri" w:eastAsia="Calibri" w:hAnsi="Calibri"/>
          <w:sz w:val="21"/>
          <w:szCs w:val="21"/>
        </w:rPr>
        <w:t xml:space="preserve">Standard price theory: a higher own fare raises the effective cost of travel on that class and should reduce demand for it, so the expected sign is negative.</w:t>
      </w:r>
    </w:p>
    <w:p>
      <w:pPr>
        <w:pStyle w:val="Heading3"/>
        <w:spacing w:after="100" w:before="200"/>
      </w:pPr>
      <w:r>
        <w:rPr>
          <w:rFonts w:ascii="Calibri" w:cs="Calibri" w:eastAsia="Calibri" w:hAnsi="Calibri"/>
          <w:b/>
          <w:bCs/>
          <w:i/>
          <w:iCs/>
          <w:color w:val="595959"/>
          <w:sz w:val="21"/>
          <w:szCs w:val="21"/>
        </w:rPr>
        <w:t xml:space="preserve">Cross fare — Farecross (elasticity β2)</w:t>
      </w:r>
    </w:p>
    <w:p>
      <w:pPr>
        <w:spacing w:after="160" w:line="276"/>
        <w:jc w:val="both"/>
      </w:pPr>
      <w:r>
        <w:rPr>
          <w:rFonts w:ascii="Calibri" w:cs="Calibri" w:eastAsia="Calibri" w:hAnsi="Calibri"/>
          <w:sz w:val="21"/>
          <w:szCs w:val="21"/>
        </w:rPr>
        <w:t xml:space="preserve">Economy and 1st Class are substitute products on the same service. A higher fare in the other class should push some riders toward the class being modeled, so the expected sign is positive (a positive cross-price elasticity is the standard test for substitutability).</w:t>
      </w:r>
    </w:p>
    <w:p>
      <w:pPr>
        <w:pStyle w:val="Heading3"/>
        <w:spacing w:after="100" w:before="200"/>
      </w:pPr>
      <w:r>
        <w:rPr>
          <w:rFonts w:ascii="Calibri" w:cs="Calibri" w:eastAsia="Calibri" w:hAnsi="Calibri"/>
          <w:b/>
          <w:bCs/>
          <w:i/>
          <w:iCs/>
          <w:color w:val="595959"/>
          <w:sz w:val="21"/>
          <w:szCs w:val="21"/>
        </w:rPr>
        <w:t xml:space="preserve">Competing air fare — AirFare (elasticity β3)</w:t>
      </w:r>
    </w:p>
    <w:p>
      <w:pPr>
        <w:spacing w:after="160" w:line="276"/>
        <w:jc w:val="both"/>
      </w:pPr>
      <w:r>
        <w:rPr>
          <w:rFonts w:ascii="Calibri" w:cs="Calibri" w:eastAsia="Calibri" w:hAnsi="Calibri"/>
          <w:sz w:val="21"/>
          <w:szCs w:val="21"/>
        </w:rPr>
        <w:t xml:space="preserve">Intercity air travel is the corridor's main competing mode for longer-distance, time-sensitive trips. A higher air fare makes rail relatively more attractive, so the expected sign is positive.</w:t>
      </w:r>
    </w:p>
    <w:p>
      <w:pPr>
        <w:pStyle w:val="Heading3"/>
        <w:spacing w:after="100" w:before="200"/>
      </w:pPr>
      <w:r>
        <w:rPr>
          <w:rFonts w:ascii="Calibri" w:cs="Calibri" w:eastAsia="Calibri" w:hAnsi="Calibri"/>
          <w:b/>
          <w:bCs/>
          <w:i/>
          <w:iCs/>
          <w:color w:val="595959"/>
          <w:sz w:val="21"/>
          <w:szCs w:val="21"/>
        </w:rPr>
        <w:t xml:space="preserve">Gas price — GasPrice (elasticity β4)</w:t>
      </w:r>
    </w:p>
    <w:p>
      <w:pPr>
        <w:spacing w:after="160" w:line="276"/>
        <w:jc w:val="both"/>
      </w:pPr>
      <w:r>
        <w:rPr>
          <w:rFonts w:ascii="Calibri" w:cs="Calibri" w:eastAsia="Calibri" w:hAnsi="Calibri"/>
          <w:sz w:val="21"/>
          <w:szCs w:val="21"/>
        </w:rPr>
        <w:t xml:space="preserve">Proxies the cost of the private-vehicle alternative. A higher gas price raises the cost of driving the corridor and should divert some trips to rail, so the expected sign is positive.</w:t>
      </w:r>
    </w:p>
    <w:p>
      <w:pPr>
        <w:pStyle w:val="Heading3"/>
        <w:spacing w:after="100" w:before="200"/>
      </w:pPr>
      <w:r>
        <w:rPr>
          <w:rFonts w:ascii="Calibri" w:cs="Calibri" w:eastAsia="Calibri" w:hAnsi="Calibri"/>
          <w:b/>
          <w:bCs/>
          <w:i/>
          <w:iCs/>
          <w:color w:val="595959"/>
          <w:sz w:val="21"/>
          <w:szCs w:val="21"/>
        </w:rPr>
        <w:t xml:space="preserve">Regional employment — Employment (elasticity β5)</w:t>
      </w:r>
    </w:p>
    <w:p>
      <w:pPr>
        <w:spacing w:after="160" w:line="276"/>
        <w:jc w:val="both"/>
      </w:pPr>
      <w:r>
        <w:rPr>
          <w:rFonts w:ascii="Calibri" w:cs="Calibri" w:eastAsia="Calibri" w:hAnsi="Calibri"/>
          <w:sz w:val="21"/>
          <w:szCs w:val="21"/>
        </w:rPr>
        <w:t xml:space="preserve">A proxy for regional economic activity and income along the corridor. More employment means more commuting, business, and discretionary travel, so the expected sign is positive; this variable also absorbs much of the corridor's underlying multi-year growth trend.</w:t>
      </w:r>
    </w:p>
    <w:p>
      <w:pPr>
        <w:pStyle w:val="Heading3"/>
        <w:spacing w:after="100" w:before="200"/>
      </w:pPr>
      <w:r>
        <w:rPr>
          <w:rFonts w:ascii="Calibri" w:cs="Calibri" w:eastAsia="Calibri" w:hAnsi="Calibri"/>
          <w:b/>
          <w:bCs/>
          <w:i/>
          <w:iCs/>
          <w:color w:val="595959"/>
          <w:sz w:val="21"/>
          <w:szCs w:val="21"/>
        </w:rPr>
        <w:t xml:space="preserve">Schedule delays — Delays (semi-elasticity β6)</w:t>
      </w:r>
    </w:p>
    <w:p>
      <w:pPr>
        <w:spacing w:after="160" w:line="276"/>
        <w:jc w:val="both"/>
      </w:pPr>
      <w:r>
        <w:rPr>
          <w:rFonts w:ascii="Calibri" w:cs="Calibri" w:eastAsia="Calibri" w:hAnsi="Calibri"/>
          <w:sz w:val="21"/>
          <w:szCs w:val="21"/>
        </w:rPr>
        <w:t xml:space="preserve">A direct measure of on-time service quality. More frequent delays should discourage ridership through lower reliability, so the expected sign is negative. Because this variable is left in levels rather than logged, its coefficient is a semi-elasticity (the approximate percentage change in ridership per one additional delay incident), not a full elasticity.</w:t>
      </w:r>
    </w:p>
    <w:p>
      <w:pPr>
        <w:pStyle w:val="Heading3"/>
        <w:spacing w:after="100" w:before="200"/>
      </w:pPr>
      <w:r>
        <w:rPr>
          <w:rFonts w:ascii="Calibri" w:cs="Calibri" w:eastAsia="Calibri" w:hAnsi="Calibri"/>
          <w:b/>
          <w:bCs/>
          <w:i/>
          <w:iCs/>
          <w:color w:val="595959"/>
          <w:sz w:val="21"/>
          <w:szCs w:val="21"/>
        </w:rPr>
        <w:t xml:space="preserve">Seasonal dummies — Q2, Q3, Q4 (reference: Q1)</w:t>
      </w:r>
    </w:p>
    <w:p>
      <w:pPr>
        <w:spacing w:after="160" w:line="276"/>
        <w:jc w:val="both"/>
      </w:pPr>
      <w:r>
        <w:rPr>
          <w:rFonts w:ascii="Calibri" w:cs="Calibri" w:eastAsia="Calibri" w:hAnsi="Calibri"/>
          <w:sz w:val="21"/>
          <w:szCs w:val="21"/>
        </w:rPr>
        <w:t xml:space="preserve">Quarterly ridership shows a within-year seasonal pattern independent of price or income. Including calendar-quarter dummies prevents this purely seasonal variation from being wrongly attributed to the price and economic regressors, which would bias their elasticity estimates.</w:t>
      </w:r>
    </w:p>
    <w:p>
      <w:pPr>
        <w:pStyle w:val="Heading3"/>
        <w:spacing w:after="100" w:before="200"/>
      </w:pPr>
      <w:r>
        <w:rPr>
          <w:rFonts w:ascii="Calibri" w:cs="Calibri" w:eastAsia="Calibri" w:hAnsi="Calibri"/>
          <w:b/>
          <w:bCs/>
          <w:i/>
          <w:iCs/>
          <w:color w:val="595959"/>
          <w:sz w:val="21"/>
          <w:szCs w:val="21"/>
        </w:rPr>
        <w:t xml:space="preserve">Lagged own ridership — Qi,t−1 (γ, dynamic specification only)</w:t>
      </w:r>
    </w:p>
    <w:p>
      <w:pPr>
        <w:spacing w:after="160" w:line="276"/>
        <w:jc w:val="both"/>
      </w:pPr>
      <w:r>
        <w:rPr>
          <w:rFonts w:ascii="Calibri" w:cs="Calibri" w:eastAsia="Calibri" w:hAnsi="Calibri"/>
          <w:sz w:val="21"/>
          <w:szCs w:val="21"/>
        </w:rPr>
        <w:t xml:space="preserve">Included to test for habit persistence and partial adjustment: travelers who rode a given class last quarter are more likely to do so again (loyalty, season passes, established routines), and markets may take more than one quarter to fully respond to a fare or service change. This term is the object of the lagged-demand investigation set out in Section 1.1.</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3. Model Estimation and Selection of Final Specification</w:t>
      </w:r>
    </w:p>
    <w:p>
      <w:pPr>
        <w:spacing w:after="160" w:line="276"/>
        <w:jc w:val="both"/>
      </w:pPr>
      <w:r>
        <w:rPr>
          <w:rFonts w:ascii="Calibri" w:cs="Calibri" w:eastAsia="Calibri" w:hAnsi="Calibri"/>
          <w:sz w:val="21"/>
          <w:szCs w:val="21"/>
        </w:rPr>
        <w:t xml:space="preserve">For each passenger segment, the static and dynamic specifications from Section 2 were estimated by ordinary least squares (OLS). Building the one-quarter lag costs each dynamic model its first observation, so the dynamic models are estimated on N = 35 quarters versus N = 36 for the static models. Significance codes: *** p&lt;0.01, ** p&lt;0.05, * p&lt;0.10.</w:t>
      </w:r>
    </w:p>
    <w:p>
      <w:pPr>
        <w:pStyle w:val="Heading2"/>
        <w:spacing w:after="120" w:before="280"/>
      </w:pPr>
      <w:r>
        <w:rPr>
          <w:rFonts w:ascii="Calibri" w:cs="Calibri" w:eastAsia="Calibri" w:hAnsi="Calibri"/>
          <w:b/>
          <w:bCs/>
          <w:color w:val="2E5395"/>
          <w:sz w:val="24"/>
          <w:szCs w:val="24"/>
        </w:rPr>
        <w:t xml:space="preserve">3.1 Economy Class</w:t>
      </w:r>
    </w:p>
    <w:p>
      <w:pPr>
        <w:pStyle w:val="Heading3"/>
        <w:spacing w:after="100" w:before="200"/>
      </w:pPr>
      <w:r>
        <w:rPr>
          <w:rFonts w:ascii="Calibri" w:cs="Calibri" w:eastAsia="Calibri" w:hAnsi="Calibri"/>
          <w:b/>
          <w:bCs/>
          <w:i/>
          <w:iCs/>
          <w:color w:val="595959"/>
          <w:sz w:val="21"/>
          <w:szCs w:val="21"/>
        </w:rPr>
        <w:t xml:space="preserve">Static specification</w:t>
      </w:r>
    </w:p>
    <w:tbl>
      <w:tblPr>
        <w:tblW w:type="dxa" w:w="8600"/>
        <w:tblBorders>
          <w:top w:val="single" w:color="B7C6E0" w:sz="4"/>
          <w:left w:val="single" w:color="B7C6E0" w:sz="4"/>
          <w:bottom w:val="single" w:color="B7C6E0" w:sz="4"/>
          <w:right w:val="single" w:color="B7C6E0" w:sz="4"/>
          <w:insideH w:val="single" w:color="B7C6E0" w:sz="2"/>
          <w:insideV w:val="single" w:color="B7C6E0" w:sz="2"/>
        </w:tblBorders>
      </w:tblPr>
      <w:tblGrid>
        <w:gridCol w:w="3600"/>
        <w:gridCol w:w="2200"/>
        <w:gridCol w:w="1800"/>
        <w:gridCol w:w="1000"/>
      </w:tblGrid>
      <w:tr>
        <w:trPr>
          <w:tblHeader/>
        </w:trPr>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Coefficient</w:t>
            </w:r>
          </w:p>
        </w:tc>
        <w:tc>
          <w:tcPr>
            <w:tcW w:type="dxa" w:w="18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Sig.</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Intercept</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-11.559</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0.132</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ln(Fare_econ) — own fare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+0.144</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0.652</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 — cross fare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-0.550</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0.141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ln(AirFare)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+0.185</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0.013</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ln(GasPrice)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+0.055</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0.546</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ln(Employment)</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+0.918</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0.005</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-0.0003</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0.602</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-0.118</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-0.053</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0.049</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+0.065</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0.004</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bl>
    <w:p>
      <w:pPr>
        <w:spacing w:after="200" w:before="80"/>
        <w:jc w:val="both"/>
      </w:pPr>
      <w:r>
        <w:rPr>
          <w:rFonts w:ascii="Calibri" w:cs="Calibri" w:eastAsia="Calibri" w:hAnsi="Calibri"/>
          <w:sz w:val="21"/>
          <w:szCs w:val="21"/>
        </w:rPr>
        <w:t xml:space="preserve">R² = 0.934, Adj. R² = 0.911, F = 40.69 (p &lt; 0.001), AIC = −134.22, BIC = −118.39, Durbin−Watson = 2.075.</w:t>
      </w:r>
    </w:p>
    <w:p>
      <w:pPr>
        <w:pStyle w:val="Heading3"/>
        <w:spacing w:after="100" w:before="200"/>
      </w:pPr>
      <w:r>
        <w:rPr>
          <w:rFonts w:ascii="Calibri" w:cs="Calibri" w:eastAsia="Calibri" w:hAnsi="Calibri"/>
          <w:b/>
          <w:bCs/>
          <w:i/>
          <w:iCs/>
          <w:color w:val="595959"/>
          <w:sz w:val="21"/>
          <w:szCs w:val="21"/>
        </w:rPr>
        <w:t xml:space="preserve">Dynamic specification (with lagged demand)</w:t>
      </w:r>
    </w:p>
    <w:tbl>
      <w:tblPr>
        <w:tblW w:type="dxa" w:w="8600"/>
        <w:tblBorders>
          <w:top w:val="single" w:color="B7C6E0" w:sz="4"/>
          <w:left w:val="single" w:color="B7C6E0" w:sz="4"/>
          <w:bottom w:val="single" w:color="B7C6E0" w:sz="4"/>
          <w:right w:val="single" w:color="B7C6E0" w:sz="4"/>
          <w:insideH w:val="single" w:color="B7C6E0" w:sz="2"/>
          <w:insideV w:val="single" w:color="B7C6E0" w:sz="2"/>
        </w:tblBorders>
      </w:tblPr>
      <w:tblGrid>
        <w:gridCol w:w="3600"/>
        <w:gridCol w:w="2200"/>
        <w:gridCol w:w="1800"/>
        <w:gridCol w:w="1000"/>
      </w:tblGrid>
      <w:tr>
        <w:trPr>
          <w:tblHeader/>
        </w:trPr>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Coefficient</w:t>
            </w:r>
          </w:p>
        </w:tc>
        <w:tc>
          <w:tcPr>
            <w:tcW w:type="dxa" w:w="18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Sig.</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ln(Q_econ, t−1)  [γ]</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+0.099</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0.623</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Intercept</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-10.642</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0.190</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ln(Fare_econ) — own fare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+0.161</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0.632</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 — cross fare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-0.571</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0.165</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ln(AirFare)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+0.179</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0.030</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ln(GasPrice)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+0.043</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0.661</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ln(Employment)</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+0.837</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0.022</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-0.0003</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0.610</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-0.113</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-0.038</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0.433</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+0.071</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0.014</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bl>
    <w:p>
      <w:pPr>
        <w:spacing w:after="200" w:before="80"/>
        <w:jc w:val="both"/>
      </w:pPr>
      <w:r>
        <w:rPr>
          <w:rFonts w:ascii="Calibri" w:cs="Calibri" w:eastAsia="Calibri" w:hAnsi="Calibri"/>
          <w:sz w:val="21"/>
          <w:szCs w:val="21"/>
        </w:rPr>
        <w:t xml:space="preserve">R² = 0.933, Adj. R² = 0.905, F = 33.49 (p &lt; 0.001), AIC = −127.37, BIC = −110.27, Durbin−Watson = 2.123.</w:t>
      </w:r>
    </w:p>
    <w:p>
      <w:pPr>
        <w:pStyle w:val="Heading2"/>
        <w:spacing w:after="120" w:before="280"/>
      </w:pPr>
      <w:r>
        <w:rPr>
          <w:rFonts w:ascii="Calibri" w:cs="Calibri" w:eastAsia="Calibri" w:hAnsi="Calibri"/>
          <w:b/>
          <w:bCs/>
          <w:color w:val="2E5395"/>
          <w:sz w:val="24"/>
          <w:szCs w:val="24"/>
        </w:rPr>
        <w:t xml:space="preserve">3.2 1st Class</w:t>
      </w:r>
    </w:p>
    <w:p>
      <w:pPr>
        <w:pStyle w:val="Heading3"/>
        <w:spacing w:after="100" w:before="200"/>
      </w:pPr>
      <w:r>
        <w:rPr>
          <w:rFonts w:ascii="Calibri" w:cs="Calibri" w:eastAsia="Calibri" w:hAnsi="Calibri"/>
          <w:b/>
          <w:bCs/>
          <w:i/>
          <w:iCs/>
          <w:color w:val="595959"/>
          <w:sz w:val="21"/>
          <w:szCs w:val="21"/>
        </w:rPr>
        <w:t xml:space="preserve">Static specification</w:t>
      </w:r>
    </w:p>
    <w:tbl>
      <w:tblPr>
        <w:tblW w:type="dxa" w:w="8600"/>
        <w:tblBorders>
          <w:top w:val="single" w:color="B7C6E0" w:sz="4"/>
          <w:left w:val="single" w:color="B7C6E0" w:sz="4"/>
          <w:bottom w:val="single" w:color="B7C6E0" w:sz="4"/>
          <w:right w:val="single" w:color="B7C6E0" w:sz="4"/>
          <w:insideH w:val="single" w:color="B7C6E0" w:sz="2"/>
          <w:insideV w:val="single" w:color="B7C6E0" w:sz="2"/>
        </w:tblBorders>
      </w:tblPr>
      <w:tblGrid>
        <w:gridCol w:w="3600"/>
        <w:gridCol w:w="2200"/>
        <w:gridCol w:w="1800"/>
        <w:gridCol w:w="1000"/>
      </w:tblGrid>
      <w:tr>
        <w:trPr>
          <w:tblHeader/>
        </w:trPr>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Coefficient</w:t>
            </w:r>
          </w:p>
        </w:tc>
        <w:tc>
          <w:tcPr>
            <w:tcW w:type="dxa" w:w="18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Sig.</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Intercept</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+23.179</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0.130</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ln(Fare_econ) — cross fare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+0.478</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0.454</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 — own fare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+1.145</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0.124</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ln(AirFare)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+0.136</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0.335</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ln(GasPrice)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-0.059</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0.745</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ln(Employment)</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-0.495</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0.409</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-0.0013</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0.263</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-0.066</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0.086</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-0.167</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0.003</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+0.096</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0.025</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bl>
    <w:p>
      <w:pPr>
        <w:spacing w:after="200" w:before="80"/>
        <w:jc w:val="both"/>
      </w:pPr>
      <w:r>
        <w:rPr>
          <w:rFonts w:ascii="Calibri" w:cs="Calibri" w:eastAsia="Calibri" w:hAnsi="Calibri"/>
          <w:sz w:val="21"/>
          <w:szCs w:val="21"/>
        </w:rPr>
        <w:t xml:space="preserve">R² = 0.867, Adj. R² = 0.821, F = 18.82 (p &lt; 0.001), AIC = −84.61, BIC = −68.77, Durbin−Watson = 1.293.</w:t>
      </w:r>
    </w:p>
    <w:p>
      <w:pPr>
        <w:pStyle w:val="Heading3"/>
        <w:spacing w:after="100" w:before="200"/>
      </w:pPr>
      <w:r>
        <w:rPr>
          <w:rFonts w:ascii="Calibri" w:cs="Calibri" w:eastAsia="Calibri" w:hAnsi="Calibri"/>
          <w:b/>
          <w:bCs/>
          <w:i/>
          <w:iCs/>
          <w:color w:val="595959"/>
          <w:sz w:val="21"/>
          <w:szCs w:val="21"/>
        </w:rPr>
        <w:t xml:space="preserve">Dynamic specification (with lagged demand)</w:t>
      </w:r>
    </w:p>
    <w:tbl>
      <w:tblPr>
        <w:tblW w:type="dxa" w:w="8600"/>
        <w:tblBorders>
          <w:top w:val="single" w:color="B7C6E0" w:sz="4"/>
          <w:left w:val="single" w:color="B7C6E0" w:sz="4"/>
          <w:bottom w:val="single" w:color="B7C6E0" w:sz="4"/>
          <w:right w:val="single" w:color="B7C6E0" w:sz="4"/>
          <w:insideH w:val="single" w:color="B7C6E0" w:sz="2"/>
          <w:insideV w:val="single" w:color="B7C6E0" w:sz="2"/>
        </w:tblBorders>
      </w:tblPr>
      <w:tblGrid>
        <w:gridCol w:w="3600"/>
        <w:gridCol w:w="2200"/>
        <w:gridCol w:w="1800"/>
        <w:gridCol w:w="1000"/>
      </w:tblGrid>
      <w:tr>
        <w:trPr>
          <w:tblHeader/>
        </w:trPr>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Coefficient</w:t>
            </w:r>
          </w:p>
        </w:tc>
        <w:tc>
          <w:tcPr>
            <w:tcW w:type="dxa" w:w="18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0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Sig.</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ln(Q_1st, t−1)  [γ]</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+0.281</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0.131</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Intercept</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+15.282</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0.326</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ln(Fare_econ) — cross fare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+0.679</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0.308</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 — own fare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+0.758</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0.374</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ln(AirFare)</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+0.071</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0.623</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ln(GasPrice)</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-0.034</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0.851</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ln(Employment)</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-0.290</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0.628</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-0.0013</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0.262</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 (vs Q1)</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-0.048</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0.239</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
            </w:r>
          </w:p>
        </w:tc>
      </w:tr>
      <w:tr>
        <w:tc>
          <w:tcPr>
            <w:tcW w:type="dxa" w:w="36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 (vs Q1)</w:t>
            </w:r>
          </w:p>
        </w:tc>
        <w:tc>
          <w:tcPr>
            <w:tcW w:type="dxa" w:w="2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-0.134</w:t>
            </w:r>
          </w:p>
        </w:tc>
        <w:tc>
          <w:tcPr>
            <w:tcW w:type="dxa" w:w="18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0.027</w:t>
            </w:r>
          </w:p>
        </w:tc>
        <w:tc>
          <w:tcPr>
            <w:tcW w:type="dxa" w:w="10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 (vs Q1)</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+0.185</w:t>
            </w:r>
          </w:p>
        </w:tc>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0.010</w:t>
            </w:r>
          </w:p>
        </w:tc>
        <w:tc>
          <w:tcPr>
            <w:tcW w:type="dxa" w:w="1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t>
            </w:r>
          </w:p>
        </w:tc>
      </w:tr>
    </w:tbl>
    <w:p>
      <w:pPr>
        <w:spacing w:after="200" w:before="80"/>
        <w:jc w:val="both"/>
      </w:pPr>
      <w:r>
        <w:rPr>
          <w:rFonts w:ascii="Calibri" w:cs="Calibri" w:eastAsia="Calibri" w:hAnsi="Calibri"/>
          <w:sz w:val="21"/>
          <w:szCs w:val="21"/>
        </w:rPr>
        <w:t xml:space="preserve">R² = 0.881, Adj. R² = 0.832, F = 17.83 (p &lt; 0.001), AIC = −82.79, BIC = −65.68, Durbin−Watson = 1.723.</w:t>
      </w:r>
    </w:p>
    <w:p>
      <w:pPr>
        <w:pStyle w:val="Heading2"/>
        <w:spacing w:after="120" w:before="280"/>
      </w:pPr>
      <w:r>
        <w:rPr>
          <w:rFonts w:ascii="Calibri" w:cs="Calibri" w:eastAsia="Calibri" w:hAnsi="Calibri"/>
          <w:b/>
          <w:bCs/>
          <w:color w:val="2E5395"/>
          <w:sz w:val="24"/>
          <w:szCs w:val="24"/>
        </w:rPr>
        <w:t xml:space="preserve">3.3 Diagnostics</w:t>
      </w:r>
    </w:p>
    <w:p>
      <w:pPr>
        <w:pStyle w:val="Heading3"/>
        <w:spacing w:after="100" w:before="200"/>
      </w:pPr>
      <w:r>
        <w:rPr>
          <w:rFonts w:ascii="Calibri" w:cs="Calibri" w:eastAsia="Calibri" w:hAnsi="Calibri"/>
          <w:b/>
          <w:bCs/>
          <w:i/>
          <w:iCs/>
          <w:color w:val="595959"/>
          <w:sz w:val="21"/>
          <w:szCs w:val="21"/>
        </w:rPr>
        <w:t xml:space="preserve">Multicollinearity (Variance Inflation Factors, static regressor set)</w:t>
      </w:r>
    </w:p>
    <w:tbl>
      <w:tblPr>
        <w:tblW w:type="dxa" w:w="10400"/>
        <w:tblBorders>
          <w:top w:val="single" w:color="B7C6E0" w:sz="4"/>
          <w:left w:val="single" w:color="B7C6E0" w:sz="4"/>
          <w:bottom w:val="single" w:color="B7C6E0" w:sz="4"/>
          <w:right w:val="single" w:color="B7C6E0" w:sz="4"/>
          <w:insideH w:val="single" w:color="B7C6E0" w:sz="2"/>
          <w:insideV w:val="single" w:color="B7C6E0" w:sz="2"/>
        </w:tblBorders>
      </w:tblPr>
      <w:tblGrid>
        <w:gridCol w:w="5200"/>
        <w:gridCol w:w="5200"/>
      </w:tblGrid>
      <w:tr>
        <w:trPr>
          <w:tblHeader/>
        </w:trPr>
        <w:tc>
          <w:tcPr>
            <w:tcW w:type="dxa" w:w="5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5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VIF</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ln(Fare_econ)</w:t>
            </w:r>
          </w:p>
        </w:tc>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3.67</w:t>
            </w:r>
          </w:p>
        </w:tc>
      </w:tr>
      <w:tr>
        <w:tc>
          <w:tcPr>
            <w:tcW w:type="dxa" w:w="52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ln(Fare_1st)</w:t>
            </w:r>
          </w:p>
        </w:tc>
        <w:tc>
          <w:tcPr>
            <w:tcW w:type="dxa" w:w="5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11.67</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ln(AirFare)</w:t>
            </w:r>
          </w:p>
        </w:tc>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5.41</w:t>
            </w:r>
          </w:p>
        </w:tc>
      </w:tr>
      <w:tr>
        <w:tc>
          <w:tcPr>
            <w:tcW w:type="dxa" w:w="52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ln(GasPrice)</w:t>
            </w:r>
          </w:p>
        </w:tc>
        <w:tc>
          <w:tcPr>
            <w:tcW w:type="dxa" w:w="5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5.14</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ln(Employment)</w:t>
            </w:r>
          </w:p>
        </w:tc>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13.37</w:t>
            </w:r>
          </w:p>
        </w:tc>
      </w:tr>
      <w:tr>
        <w:tc>
          <w:tcPr>
            <w:tcW w:type="dxa" w:w="52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w:t>
            </w:r>
          </w:p>
        </w:tc>
        <w:tc>
          <w:tcPr>
            <w:tcW w:type="dxa" w:w="5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1.66</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Q2</w:t>
            </w:r>
          </w:p>
        </w:tc>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2.09</w:t>
            </w:r>
          </w:p>
        </w:tc>
      </w:tr>
      <w:tr>
        <w:tc>
          <w:tcPr>
            <w:tcW w:type="dxa" w:w="52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Q3</w:t>
            </w:r>
          </w:p>
        </w:tc>
        <w:tc>
          <w:tcPr>
            <w:tcW w:type="dxa" w:w="52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4.02</w:t>
            </w:r>
          </w:p>
        </w:tc>
      </w:tr>
      <w:tr>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Q4</w:t>
            </w:r>
          </w:p>
        </w:tc>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2.49</w:t>
            </w:r>
          </w:p>
        </w:tc>
      </w:tr>
    </w:tbl>
    <w:p>
      <w:pPr>
        <w:spacing w:after="200" w:before="80"/>
      </w:pPr>
      <w:r>
        <w:rPr>
          <w:rFonts w:ascii="Calibri" w:cs="Calibri" w:eastAsia="Calibri" w:hAnsi="Calibri"/>
          <w:i/>
          <w:iCs/>
          <w:color w:val="595959"/>
          <w:sz w:val="18"/>
          <w:szCs w:val="18"/>
        </w:rPr>
        <w:t xml:space="preserve">Rule of thumb: VIF &gt; 10 signals problematic multicollinearity. ln(Fare_1st) and ln(Employment) exceed this threshold, meaning fares and regional employment move together closely across the 9-year sample. This inflates their standard errors and is the most likely reason the own-fare and cross-fare coefficients are statistically insignificant in both models despite plausible magnitudes and, in most cases, plausible signs.</w:t>
      </w:r>
    </w:p>
    <w:p>
      <w:pPr>
        <w:pStyle w:val="Heading3"/>
        <w:spacing w:after="100" w:before="200"/>
      </w:pPr>
      <w:r>
        <w:rPr>
          <w:rFonts w:ascii="Calibri" w:cs="Calibri" w:eastAsia="Calibri" w:hAnsi="Calibri"/>
          <w:b/>
          <w:bCs/>
          <w:i/>
          <w:iCs/>
          <w:color w:val="595959"/>
          <w:sz w:val="21"/>
          <w:szCs w:val="21"/>
        </w:rPr>
        <w:t xml:space="preserve">Residual autocorrelation</w:t>
      </w:r>
    </w:p>
    <w:p>
      <w:pPr>
        <w:spacing w:after="160" w:line="276"/>
        <w:jc w:val="both"/>
      </w:pPr>
      <w:r>
        <w:rPr>
          <w:rFonts w:ascii="Calibri" w:cs="Calibri" w:eastAsia="Calibri" w:hAnsi="Calibri"/>
          <w:sz w:val="21"/>
          <w:szCs w:val="21"/>
        </w:rPr>
        <w:t xml:space="preserve">Durbin−Watson values near 2 indicate no residual autocorrelation. The Economy models (2.08 static, 2.12 dynamic) show none. The 1st Class static model's DW of 1.29 signals mild positive autocorrelation, which improves to 1.72 once the lagged-demand term is added — consistent with the lagged dependent variable absorbing some of the persistence that was otherwise left in the error term. (Because DW is biased toward 2 once a lagged dependent variable is included, this comparison is only suggestive; Durbin's h-test, the formally correct diagnostic in that case, could not be computed here as the small-sample condition for the test statistic was not met.)</w:t>
      </w:r>
    </w:p>
    <w:p>
      <w:pPr>
        <w:pStyle w:val="Heading2"/>
        <w:spacing w:after="120" w:before="280"/>
      </w:pPr>
      <w:r>
        <w:rPr>
          <w:rFonts w:ascii="Calibri" w:cs="Calibri" w:eastAsia="Calibri" w:hAnsi="Calibri"/>
          <w:b/>
          <w:bCs/>
          <w:color w:val="2E5395"/>
          <w:sz w:val="24"/>
          <w:szCs w:val="24"/>
        </w:rPr>
        <w:t xml:space="preserve">3.4 Final Model Selection</w:t>
      </w:r>
    </w:p>
    <w:p>
      <w:pPr>
        <w:spacing w:after="160" w:line="276"/>
        <w:jc w:val="both"/>
      </w:pPr>
      <w:r>
        <w:rPr>
          <w:rFonts w:ascii="Calibri" w:cs="Calibri" w:eastAsia="Calibri" w:hAnsi="Calibri"/>
          <w:sz w:val="21"/>
          <w:szCs w:val="21"/>
        </w:rPr>
        <w:t xml:space="preserve">Three criteria were used to choose between the static and dynamic specification for each class: (i) statistical significance of the lagged-demand coefficient γ, (ii) whether adding the lag improves fit after penalizing for the extra parameter (AIC/BIC), and (iii) parsimony — a simpler model is preferred unless the added complexity is justified by the data.</w:t>
      </w:r>
    </w:p>
    <w:tbl>
      <w:tblPr>
        <w:tblW w:type="dxa" w:w="10000"/>
        <w:tblBorders>
          <w:top w:val="single" w:color="B7C6E0" w:sz="4"/>
          <w:left w:val="single" w:color="B7C6E0" w:sz="4"/>
          <w:bottom w:val="single" w:color="B7C6E0" w:sz="4"/>
          <w:right w:val="single" w:color="B7C6E0" w:sz="4"/>
          <w:insideH w:val="single" w:color="B7C6E0" w:sz="2"/>
          <w:insideV w:val="single" w:color="B7C6E0" w:sz="2"/>
        </w:tblBorders>
      </w:tblPr>
      <w:tblGrid>
        <w:gridCol w:w="3200"/>
        <w:gridCol w:w="3400"/>
        <w:gridCol w:w="3400"/>
      </w:tblGrid>
      <w:tr>
        <w:trPr>
          <w:tblHeader/>
        </w:trPr>
        <w:tc>
          <w:tcPr>
            <w:tcW w:type="dxa" w:w="3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Criterion</w:t>
            </w:r>
          </w:p>
        </w:tc>
        <w:tc>
          <w:tcPr>
            <w:tcW w:type="dxa" w:w="3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Economy</w:t>
            </w:r>
          </w:p>
        </w:tc>
        <w:tc>
          <w:tcPr>
            <w:tcW w:type="dxa" w:w="3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1st Class</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γ (lag coefficient)</w:t>
            </w:r>
          </w:p>
        </w:tc>
        <w:tc>
          <w:tcPr>
            <w:tcW w:type="dxa" w:w="3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0.099</w:t>
            </w:r>
          </w:p>
        </w:tc>
        <w:tc>
          <w:tcPr>
            <w:tcW w:type="dxa" w:w="3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0.281</w:t>
            </w:r>
          </w:p>
        </w:tc>
      </w:tr>
      <w:tr>
        <w:tc>
          <w:tcPr>
            <w:tcW w:type="dxa" w:w="32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p-value of γ</w:t>
            </w:r>
          </w:p>
        </w:tc>
        <w:tc>
          <w:tcPr>
            <w:tcW w:type="dxa" w:w="3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0.623 (n.s.)</w:t>
            </w:r>
          </w:p>
        </w:tc>
        <w:tc>
          <w:tcPr>
            <w:tcW w:type="dxa" w:w="3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0.131 (n.s.)</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Adj. R²: static vs dynamic</w:t>
            </w:r>
          </w:p>
        </w:tc>
        <w:tc>
          <w:tcPr>
            <w:tcW w:type="dxa" w:w="3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0.911 vs 0.905</w:t>
            </w:r>
          </w:p>
        </w:tc>
        <w:tc>
          <w:tcPr>
            <w:tcW w:type="dxa" w:w="3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0.821 vs 0.832</w:t>
            </w:r>
          </w:p>
        </w:tc>
      </w:tr>
      <w:tr>
        <w:tc>
          <w:tcPr>
            <w:tcW w:type="dxa" w:w="32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AIC: static vs dynamic</w:t>
            </w:r>
          </w:p>
        </w:tc>
        <w:tc>
          <w:tcPr>
            <w:tcW w:type="dxa" w:w="3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−134.22 vs −127.37</w:t>
            </w:r>
          </w:p>
        </w:tc>
        <w:tc>
          <w:tcPr>
            <w:tcW w:type="dxa" w:w="3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−84.61 vs −82.79</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BIC: static vs dynamic</w:t>
            </w:r>
          </w:p>
        </w:tc>
        <w:tc>
          <w:tcPr>
            <w:tcW w:type="dxa" w:w="3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−118.39 vs −110.27</w:t>
            </w:r>
          </w:p>
        </w:tc>
        <w:tc>
          <w:tcPr>
            <w:tcW w:type="dxa" w:w="3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−68.77 vs −65.68</w:t>
            </w:r>
          </w:p>
        </w:tc>
      </w:tr>
      <w:tr>
        <w:tc>
          <w:tcPr>
            <w:tcW w:type="dxa" w:w="32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Lower AIC/BIC favors</w:t>
            </w:r>
          </w:p>
        </w:tc>
        <w:tc>
          <w:tcPr>
            <w:tcW w:type="dxa" w:w="3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Static</w:t>
            </w:r>
          </w:p>
        </w:tc>
        <w:tc>
          <w:tcPr>
            <w:tcW w:type="dxa" w:w="3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Static</w:t>
            </w:r>
          </w:p>
        </w:tc>
      </w:tr>
    </w:tbl>
    <w:p>
      <w:pPr>
        <w:spacing w:after="160" w:before="120"/>
        <w:jc w:val="both"/>
      </w:pPr>
      <w:r>
        <w:rPr>
          <w:rFonts w:ascii="Calibri" w:cs="Calibri" w:eastAsia="Calibri" w:hAnsi="Calibri"/>
          <w:sz w:val="21"/>
          <w:szCs w:val="21"/>
        </w:rPr>
        <w:t xml:space="preserve">Selected final model — both classes: the </w:t>
      </w:r>
      <w:r>
        <w:rPr>
          <w:rFonts w:ascii="Calibri" w:cs="Calibri" w:eastAsia="Calibri" w:hAnsi="Calibri"/>
          <w:b/>
          <w:bCs/>
          <w:sz w:val="21"/>
          <w:szCs w:val="21"/>
        </w:rPr>
        <w:t xml:space="preserve">static (no-lag) specification</w:t>
      </w:r>
      <w:r>
        <w:rPr>
          <w:rFonts w:ascii="Calibri" w:cs="Calibri" w:eastAsia="Calibri" w:hAnsi="Calibri"/>
          <w:sz w:val="21"/>
          <w:szCs w:val="21"/>
        </w:rPr>
        <w:t xml:space="preserve">.</w:t>
      </w:r>
    </w:p>
    <w:p>
      <w:pPr>
        <w:spacing w:after="160" w:line="276"/>
        <w:jc w:val="both"/>
      </w:pPr>
      <w:r>
        <w:rPr>
          <w:rFonts w:ascii="Calibri" w:cs="Calibri" w:eastAsia="Calibri" w:hAnsi="Calibri"/>
          <w:sz w:val="21"/>
          <w:szCs w:val="21"/>
        </w:rPr>
        <w:t xml:space="preserve">For Economy, the lag coefficient is small (0.099) and far from significant (p = 0.623); adjusted R² and both information criteria are uniformly better for the static model, so there is no statistical support for a lagged-demand effect in this segment — Economy ridership appears to adjust to changing conditions essentially within the same quarter.</w:t>
      </w:r>
    </w:p>
    <w:p>
      <w:pPr>
        <w:spacing w:after="160" w:line="276"/>
        <w:jc w:val="both"/>
      </w:pPr>
      <w:r>
        <w:rPr>
          <w:rFonts w:ascii="Calibri" w:cs="Calibri" w:eastAsia="Calibri" w:hAnsi="Calibri"/>
          <w:sz w:val="21"/>
          <w:szCs w:val="21"/>
        </w:rPr>
        <w:t xml:space="preserve">For 1st Class, the case is closer: γ = 0.281 is larger and has the theoretically expected positive sign, adjusted R² is marginally higher for the dynamic model, and the Durbin−Watson statistic improves noticeably (1.29 → 1.72), suggesting the lag is soaking up some genuine persistence. However, γ is still not statistically significant at conventional levels (p = 0.131), and both AIC and BIC — which penalize the extra parameter — favor the static model. Given this, the static specification is selected as the final model for 1st Class as well, but this is reported as a comparatively weaker conclusion: with a larger sample, or a specification that reduces the multicollinearity noted above, a genuine partial-adjustment effect for 1st Class riders (plausible on the grounds that this segment includes more habitual, e.g. business, travelers) might well turn out to be significant.</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4. Elasticity Discussion of the Final Models</w:t>
      </w:r>
    </w:p>
    <w:p>
      <w:pPr>
        <w:spacing w:after="160" w:line="276"/>
        <w:jc w:val="both"/>
      </w:pPr>
      <w:r>
        <w:rPr>
          <w:rFonts w:ascii="Calibri" w:cs="Calibri" w:eastAsia="Calibri" w:hAnsi="Calibri"/>
          <w:sz w:val="21"/>
          <w:szCs w:val="21"/>
        </w:rPr>
        <w:t xml:space="preserve">Because both final models are static log-log specifications, every continuous-variable coefficient is directly a price/income elasticity, the Delays coefficient is a semi-elasticity, and each quarter dummy's effect is converted to a percentage via (e^coefficient − 1) × 100 for interpretability. Only statistically significant elasticities should be treated as reliable evidence of an effect; the rest are reported for completeness but flagged as inconclusive.</w:t>
      </w:r>
    </w:p>
    <w:p>
      <w:pPr>
        <w:pStyle w:val="Heading2"/>
        <w:spacing w:after="120" w:before="280"/>
      </w:pPr>
      <w:r>
        <w:rPr>
          <w:rFonts w:ascii="Calibri" w:cs="Calibri" w:eastAsia="Calibri" w:hAnsi="Calibri"/>
          <w:b/>
          <w:bCs/>
          <w:color w:val="2E5395"/>
          <w:sz w:val="24"/>
          <w:szCs w:val="24"/>
        </w:rPr>
        <w:t xml:space="preserve">4.1 Economy Class</w:t>
      </w:r>
    </w:p>
    <w:tbl>
      <w:tblPr>
        <w:tblW w:type="dxa" w:w="10600"/>
        <w:tblBorders>
          <w:top w:val="single" w:color="B7C6E0" w:sz="4"/>
          <w:left w:val="single" w:color="B7C6E0" w:sz="4"/>
          <w:bottom w:val="single" w:color="B7C6E0" w:sz="4"/>
          <w:right w:val="single" w:color="B7C6E0" w:sz="4"/>
          <w:insideH w:val="single" w:color="B7C6E0" w:sz="2"/>
          <w:insideV w:val="single" w:color="B7C6E0" w:sz="2"/>
        </w:tblBorders>
      </w:tblPr>
      <w:tblGrid>
        <w:gridCol w:w="2000"/>
        <w:gridCol w:w="1400"/>
        <w:gridCol w:w="1100"/>
        <w:gridCol w:w="1600"/>
        <w:gridCol w:w="4500"/>
      </w:tblGrid>
      <w:tr>
        <w:trPr>
          <w:tblHeader/>
        </w:trPr>
        <w:tc>
          <w:tcPr>
            <w:tcW w:type="dxa" w:w="2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1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Elasticity</w:t>
            </w:r>
          </w:p>
        </w:tc>
        <w:tc>
          <w:tcPr>
            <w:tcW w:type="dxa" w:w="11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6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Significance</w:t>
            </w:r>
          </w:p>
        </w:tc>
        <w:tc>
          <w:tcPr>
            <w:tcW w:type="dxa" w:w="45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Interpretation</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Own fare (Fare_econ)</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+0.14</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0.652</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Statistically inconclusive; sign is even wrong-signed (positive), most likely a multicollinearity artifact rather than genuine price-insensitivity.</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Cross fare (Fare_1st)</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-0.55</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0.141</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 is opposite to the expected substitution effect, though imprecisely estimated; not usable for inference given multicollinearity with Employment.</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Air fare</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+0.19</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0.013</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Inelastic but genuine competitive effect: a 10% rise in air fares raises Economy ridership by about 1.9%, consistent with some diversion from air to rail.</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Gas price</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+0.06</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0.546</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Correct sign but too imprecise to conclude driving costs materially affect Economy ridership in this sample.</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Regional employment</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+0.92</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0.005</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Close to unit-elastic: a 10% rise in regional employment is associated with roughly a 9.2% rise in Economy ridership — the dominant driver of Economy demand in this model.</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 (semi-elasticity)</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-0.03% per delay</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0.602</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Correct sign but negligible and imprecisely estimated over the observed range of delay counts.</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Quarter 2 vs Quarter 1</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-11.1%</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&lt;0.001</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Economy ridership is reliably lowest in Q2.</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Quarter 3 vs Quarter 1</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-5.2%</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0.049</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Partial recovery in Q3, still below the Q1 baseline.</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Quarter 4 vs Quarter 1</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+6.7%</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0.004</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Q4 is the peak season for Economy ridership.</w:t>
            </w:r>
          </w:p>
        </w:tc>
      </w:tr>
    </w:tbl>
    <w:p>
      <w:pPr>
        <w:spacing w:after="160" w:before="160"/>
        <w:jc w:val="both"/>
      </w:pPr>
      <w:r>
        <w:rPr>
          <w:rFonts w:ascii="Calibri" w:cs="Calibri" w:eastAsia="Calibri" w:hAnsi="Calibri"/>
          <w:sz w:val="21"/>
          <w:szCs w:val="21"/>
        </w:rPr>
        <w:t xml:space="preserve">The Economy model is dominated by two significant effects: regional employment (elasticity ≈ 0.92, essentially proportional to economic activity — the strongest driver in the model) and competing air fare (elasticity ≈ 0.19, a modest but real diversion effect from air to rail). Neither the own-fare nor the cross-fare elasticity is statistically reliable in this specification, which — combined with the VIF results in Section 3.3 — should be read as "the data cannot cleanly separate the effect of Economy's own fare from the effect of regional employment and the 1st Class fare it moves with," not as evidence that Economy riders are insensitive to price. Seasonality is precisely estimated and economically meaningful: Economy ridership is about 11% below its Q1 baseline in Q2, recovers to about 5% below baseline in Q3, and peaks about 7% above baseline in Q4.</w:t>
      </w:r>
    </w:p>
    <w:p>
      <w:pPr>
        <w:pStyle w:val="Heading2"/>
        <w:spacing w:after="120" w:before="280"/>
      </w:pPr>
      <w:r>
        <w:rPr>
          <w:rFonts w:ascii="Calibri" w:cs="Calibri" w:eastAsia="Calibri" w:hAnsi="Calibri"/>
          <w:b/>
          <w:bCs/>
          <w:color w:val="2E5395"/>
          <w:sz w:val="24"/>
          <w:szCs w:val="24"/>
        </w:rPr>
        <w:t xml:space="preserve">4.2 1st Class</w:t>
      </w:r>
    </w:p>
    <w:tbl>
      <w:tblPr>
        <w:tblW w:type="dxa" w:w="10600"/>
        <w:tblBorders>
          <w:top w:val="single" w:color="B7C6E0" w:sz="4"/>
          <w:left w:val="single" w:color="B7C6E0" w:sz="4"/>
          <w:bottom w:val="single" w:color="B7C6E0" w:sz="4"/>
          <w:right w:val="single" w:color="B7C6E0" w:sz="4"/>
          <w:insideH w:val="single" w:color="B7C6E0" w:sz="2"/>
          <w:insideV w:val="single" w:color="B7C6E0" w:sz="2"/>
        </w:tblBorders>
      </w:tblPr>
      <w:tblGrid>
        <w:gridCol w:w="2000"/>
        <w:gridCol w:w="1400"/>
        <w:gridCol w:w="1100"/>
        <w:gridCol w:w="1600"/>
        <w:gridCol w:w="4500"/>
      </w:tblGrid>
      <w:tr>
        <w:trPr>
          <w:tblHeader/>
        </w:trPr>
        <w:tc>
          <w:tcPr>
            <w:tcW w:type="dxa" w:w="2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Variable</w:t>
            </w:r>
          </w:p>
        </w:tc>
        <w:tc>
          <w:tcPr>
            <w:tcW w:type="dxa" w:w="14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Elasticity</w:t>
            </w:r>
          </w:p>
        </w:tc>
        <w:tc>
          <w:tcPr>
            <w:tcW w:type="dxa" w:w="11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p-value</w:t>
            </w:r>
          </w:p>
        </w:tc>
        <w:tc>
          <w:tcPr>
            <w:tcW w:type="dxa" w:w="16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Significance</w:t>
            </w:r>
          </w:p>
        </w:tc>
        <w:tc>
          <w:tcPr>
            <w:tcW w:type="dxa" w:w="45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Interpretation</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Own fare (Fare_1st)</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+1.15</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0.124</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Point estimate implies elastic demand with the wrong sign (positive), but the estimate is imprecise and confounded with Fare_econ — cannot be used as a reliable price-sensitivity estimate.</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Cross fare (Fare_econ)</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+0.48</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0.454</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Correct sign for a substitute good but statistically inconclusive.</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Air fare</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+0.14</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0.335</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Correct sign (competitive effect) but not statistically distinguishable from zero in this sample.</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Gas price</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-0.06</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0.745</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Wrong sign and statistically inconclusive.</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Regional employment</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-0.50</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0.409</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Wrong sign; likely a multicollinearity artifact (VIF = 13.4) rather than a genuine negative income effect.</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Delays (semi-elasticity)</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-0.13% per delay</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0.263</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Not 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Correct sign, plausibly larger in magnitude than for Economy (1st Class travelers may be more schedule-sensitive), but not significant here.</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Quarter 2 vs Quarter 1</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-6.4%</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0.086</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Marginal (10% level)</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1st Class ridership is somewhat lower in Q2.</w:t>
            </w:r>
          </w:p>
        </w:tc>
      </w:tr>
      <w:tr>
        <w:tc>
          <w:tcPr>
            <w:tcW w:type="dxa" w:w="2000"/>
            <w:shd w:fill="EAF0F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Quarter 3 vs Quarter 1</w:t>
            </w:r>
          </w:p>
        </w:tc>
        <w:tc>
          <w:tcPr>
            <w:tcW w:type="dxa" w:w="14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-15.3%</w:t>
            </w:r>
          </w:p>
        </w:tc>
        <w:tc>
          <w:tcPr>
            <w:tcW w:type="dxa" w:w="11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0.003</w:t>
            </w:r>
          </w:p>
        </w:tc>
        <w:tc>
          <w:tcPr>
            <w:tcW w:type="dxa" w:w="16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4500"/>
            <w:shd w:fill="EAF0F9"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Q3 is the low season for 1st Class — a materially larger seasonal swing than Economy shows.</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Quarter 4 vs Quarter 1</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+10.1%</w:t>
            </w:r>
          </w:p>
        </w:tc>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0.025</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Significant</w:t>
            </w:r>
          </w:p>
        </w:tc>
        <w:tc>
          <w:tcPr>
            <w:tcW w:type="dxa" w:w="4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Q4 is the peak season for 1st Class, and the peak-to-trough seasonal swing (≈25 percentage points, Q3 to Q4) is much wider than Economy's (≈12 points).</w:t>
            </w:r>
          </w:p>
        </w:tc>
      </w:tr>
    </w:tbl>
    <w:p>
      <w:pPr>
        <w:spacing w:after="160" w:before="160"/>
        <w:jc w:val="both"/>
      </w:pPr>
      <w:r>
        <w:rPr>
          <w:rFonts w:ascii="Calibri" w:cs="Calibri" w:eastAsia="Calibri" w:hAnsi="Calibri"/>
          <w:sz w:val="21"/>
          <w:szCs w:val="21"/>
        </w:rPr>
        <w:t xml:space="preserve">No price, competition, or economic-activity elasticity is statistically significant for 1st Class in this model — only the seasonal dummies are reliably estimated. This is consistent with the lower overall explanatory power of the 1st Class model (Adj. R² = 0.82 vs. 0.91 for Economy) and with the same multicollinearity problem seen in the Economy model. What is clear and reliable is that 1st Class ridership is far more seasonal than Economy: it swings by roughly 25 percentage points from its Q3 trough to its Q4 peak, versus roughly 12 points for Economy, suggesting 1st Class travel is more concentrated in specific high-demand periods (e.g. holiday or peak business travel) rather than being spread evenly across the year.</w:t>
      </w:r>
    </w:p>
    <w:p>
      <w:pPr>
        <w:pStyle w:val="Heading2"/>
        <w:spacing w:after="120" w:before="280"/>
      </w:pPr>
      <w:r>
        <w:rPr>
          <w:rFonts w:ascii="Calibri" w:cs="Calibri" w:eastAsia="Calibri" w:hAnsi="Calibri"/>
          <w:b/>
          <w:bCs/>
          <w:color w:val="2E5395"/>
          <w:sz w:val="24"/>
          <w:szCs w:val="24"/>
        </w:rPr>
        <w:t xml:space="preserve">4.3 Comparison and Implications</w:t>
      </w:r>
    </w:p>
    <w:p>
      <w:pPr>
        <w:spacing w:after="160" w:line="276"/>
        <w:jc w:val="both"/>
      </w:pPr>
      <w:r>
        <w:rPr>
          <w:rFonts w:ascii="Calibri" w:cs="Calibri" w:eastAsia="Calibri" w:hAnsi="Calibri"/>
          <w:sz w:val="21"/>
          <w:szCs w:val="21"/>
        </w:rPr>
        <w:t xml:space="preserve">Two practical conclusions follow from the elasticity results that are statistically reliable:</w:t>
      </w:r>
    </w:p>
    <w:p>
      <w:pPr>
        <w:pStyle w:val="ListParagraph"/>
        <w:numPr>
          <w:ilvl w:val="0"/>
          <w:numId w:val="2"/>
        </w:numPr>
        <w:spacing w:after="80"/>
      </w:pPr>
      <w:r>
        <w:rPr>
          <w:rFonts w:ascii="Calibri" w:cs="Calibri" w:eastAsia="Calibri" w:hAnsi="Calibri"/>
          <w:sz w:val="21"/>
          <w:szCs w:val="21"/>
        </w:rPr>
        <w:t xml:space="preserve">Economy demand is primarily driven by the strength of the regional economy (near-unit employment elasticity) and, secondarily, by competitive pressure from air travel — not, on this evidence, by Economy's own fare. This suggests that, within the range of fares observed in the data, Economy ridership is largely insulated from moderate own-fare changes and is far more exposed to macroeconomic conditions along the corridor and to airline pricing.</w:t>
      </w:r>
    </w:p>
    <w:p>
      <w:pPr>
        <w:pStyle w:val="ListParagraph"/>
        <w:numPr>
          <w:ilvl w:val="0"/>
          <w:numId w:val="2"/>
        </w:numPr>
        <w:spacing w:after="80"/>
      </w:pPr>
      <w:r>
        <w:rPr>
          <w:rFonts w:ascii="Calibri" w:cs="Calibri" w:eastAsia="Calibri" w:hAnsi="Calibri"/>
          <w:sz w:val="21"/>
          <w:szCs w:val="21"/>
        </w:rPr>
        <w:t xml:space="preserve">Both classes exhibit strong, statistically reliable seasonality, but 1st Class swings roughly twice as much across the year as Economy does. This has direct capacity-planning implications: 1st Class capacity (rolling stock allocation, staffing) may need to flex more aggressively between Q3 and Q4 than Economy capacity does.</w:t>
      </w:r>
    </w:p>
    <w:p>
      <w:pPr>
        <w:spacing w:after="160" w:line="276"/>
        <w:jc w:val="both"/>
      </w:pPr>
      <w:r>
        <w:rPr>
          <w:rFonts w:ascii="Calibri" w:cs="Calibri" w:eastAsia="Calibri" w:hAnsi="Calibri"/>
          <w:sz w:val="21"/>
          <w:szCs w:val="21"/>
        </w:rPr>
        <w:t xml:space="preserve">Because none of the price elasticities reached significance for either class, this report does not make a reliable quantitative recommendation on fare policy from these models alone; that would require addressing the multicollinearity identified in Section 3.3 (e.g., dropping or combining the correlated regressors) before the own- and cross-price elasticities can be trusted.</w:t>
      </w:r>
    </w:p>
    <w:p>
      <w:pPr>
        <w:pageBreakBefore/>
      </w:pPr>
    </w:p>
    <w:p>
      <w:pPr>
        <w:pStyle w:val="Heading1"/>
        <w:pBdr>
          <w:bottom w:val="single" w:color="1F3864" w:sz="8" w:space="4"/>
        </w:pBdr>
        <w:spacing w:after="160" w:before="360"/>
      </w:pPr>
      <w:r>
        <w:rPr>
          <w:rFonts w:ascii="Calibri" w:cs="Calibri" w:eastAsia="Calibri" w:hAnsi="Calibri"/>
          <w:b/>
          <w:bCs/>
          <w:color w:val="1F3864"/>
          <w:sz w:val="28"/>
          <w:szCs w:val="28"/>
        </w:rPr>
        <w:t xml:space="preserve">5. Limitations and Conclusion</w:t>
      </w:r>
    </w:p>
    <w:p>
      <w:pPr>
        <w:pStyle w:val="Heading2"/>
        <w:spacing w:after="120" w:before="280"/>
      </w:pPr>
      <w:r>
        <w:rPr>
          <w:rFonts w:ascii="Calibri" w:cs="Calibri" w:eastAsia="Calibri" w:hAnsi="Calibri"/>
          <w:b/>
          <w:bCs/>
          <w:color w:val="2E5395"/>
          <w:sz w:val="24"/>
          <w:szCs w:val="24"/>
        </w:rPr>
        <w:t xml:space="preserve">5.1 Limitations</w:t>
      </w:r>
    </w:p>
    <w:p>
      <w:pPr>
        <w:pStyle w:val="ListParagraph"/>
        <w:numPr>
          <w:ilvl w:val="0"/>
          <w:numId w:val="2"/>
        </w:numPr>
        <w:spacing w:after="80"/>
      </w:pPr>
      <w:r>
        <w:rPr>
          <w:rFonts w:ascii="Calibri" w:cs="Calibri" w:eastAsia="Calibri" w:hAnsi="Calibri"/>
          <w:sz w:val="21"/>
          <w:szCs w:val="21"/>
        </w:rPr>
        <w:t xml:space="preserve">Multicollinearity: ln(Employment) and ln(Fare_1st) both exceed the VIF = 10 threshold, and ln(Employment) is highly correlated (r &gt; 0.75) with ln(AirFare), ln(GasPrice), and Economy ridership itself. This is the most likely reason several theoretically well-signed variables (own fare, cross fare) are statistically insignificant, and it should be resolved — e.g., by dropping GasPrice or replacing Employment with a simple time trend — before the price elasticities are used for policy analysis.</w:t>
      </w:r>
    </w:p>
    <w:p>
      <w:pPr>
        <w:pStyle w:val="ListParagraph"/>
        <w:numPr>
          <w:ilvl w:val="0"/>
          <w:numId w:val="2"/>
        </w:numPr>
        <w:spacing w:after="80"/>
      </w:pPr>
      <w:r>
        <w:rPr>
          <w:rFonts w:ascii="Calibri" w:cs="Calibri" w:eastAsia="Calibri" w:hAnsi="Calibri"/>
          <w:sz w:val="21"/>
          <w:szCs w:val="21"/>
        </w:rPr>
        <w:t xml:space="preserve">Sample size: 36 quarterly observations (35 for the dynamic models) is a small sample for a 9-10 parameter regression, limiting statistical power — particularly relevant to the lagged-demand test, where the 1st Class model's γ = 0.281 is economically suggestive but falls short of significance (p = 0.131) partly because standard errors are wide in a sample this size.</w:t>
      </w:r>
    </w:p>
    <w:p>
      <w:pPr>
        <w:pStyle w:val="ListParagraph"/>
        <w:numPr>
          <w:ilvl w:val="0"/>
          <w:numId w:val="2"/>
        </w:numPr>
        <w:spacing w:after="80"/>
      </w:pPr>
      <w:r>
        <w:rPr>
          <w:rFonts w:ascii="Calibri" w:cs="Calibri" w:eastAsia="Calibri" w:hAnsi="Calibri"/>
          <w:sz w:val="21"/>
          <w:szCs w:val="21"/>
        </w:rPr>
        <w:t xml:space="preserve">Seasonality is assumed constant across years: the quarter dummies estimate one average seasonal effect pooled across all 9 years, and do not allow the seasonal pattern itself to have changed over time.</w:t>
      </w:r>
    </w:p>
    <w:p>
      <w:pPr>
        <w:pStyle w:val="ListParagraph"/>
        <w:numPr>
          <w:ilvl w:val="0"/>
          <w:numId w:val="2"/>
        </w:numPr>
        <w:spacing w:after="80"/>
      </w:pPr>
      <w:r>
        <w:rPr>
          <w:rFonts w:ascii="Calibri" w:cs="Calibri" w:eastAsia="Calibri" w:hAnsi="Calibri"/>
          <w:sz w:val="21"/>
          <w:szCs w:val="21"/>
        </w:rPr>
        <w:t xml:space="preserve">Static model selected despite a suggestive dynamic signal for 1st Class: the final 1st Class model is static because γ did not reach significance and AIC/BIC favored the simpler model, but the positive coefficient, its improved Durbin−Watson statistic, and the segment's plausibly more habitual rider base together suggest this conclusion should be revisited with a larger sample rather than treated as a settled finding that lagged demand plays no role.</w:t>
      </w:r>
    </w:p>
    <w:p>
      <w:pPr>
        <w:pStyle w:val="Heading2"/>
        <w:spacing w:after="120" w:before="280"/>
      </w:pPr>
      <w:r>
        <w:rPr>
          <w:rFonts w:ascii="Calibri" w:cs="Calibri" w:eastAsia="Calibri" w:hAnsi="Calibri"/>
          <w:b/>
          <w:bCs/>
          <w:color w:val="2E5395"/>
          <w:sz w:val="24"/>
          <w:szCs w:val="24"/>
        </w:rPr>
        <w:t xml:space="preserve">5.2 Conclusion</w:t>
      </w:r>
    </w:p>
    <w:p>
      <w:pPr>
        <w:spacing w:after="160" w:line="276"/>
        <w:jc w:val="both"/>
      </w:pPr>
      <w:r>
        <w:rPr>
          <w:rFonts w:ascii="Calibri" w:cs="Calibri" w:eastAsia="Calibri" w:hAnsi="Calibri"/>
          <w:sz w:val="21"/>
          <w:szCs w:val="21"/>
        </w:rPr>
        <w:t xml:space="preserve">This report formulated and estimated direct demand models for Economy and 1st Class ridership on the corridor, tested a dynamic extension incorporating lagged own-ridership in each, and selected the static specification as the final model for both segments on statistical grounds (insignificant lag coefficients; AIC/BIC favoring parsimony). The final Economy model shows ridership driven mainly by regional employment and, to a lesser extent, competing air fares, with pronounced and reliably estimated seasonality. The final 1st Class model is less informative about its price and economic drivers — none reach significance — but reveals materially stronger seasonality than Economy. Lagged demand does not show statistically reliable evidence of mattering in either segment in this sample, though the larger, positively-signed, near-significant coefficient for 1st Class leaves open the possibility of genuine habit persistence in that segment that a larger dataset or a less collinear specification could confirm.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E0" w:sz="4" w:space="4"/>
      </w:pBdr>
      <w:jc w:val="right"/>
    </w:pPr>
    <w:r>
      <w:rPr>
        <w:rFonts w:ascii="Calibri" w:cs="Calibri" w:eastAsia="Calibri" w:hAnsi="Calibri"/>
        <w:i/>
        <w:iCs/>
        <w:color w:val="595959"/>
        <w:sz w:val="16"/>
        <w:szCs w:val="16"/>
      </w:rPr>
      <w:t xml:space="preserve">Direct Demand Model — Corridor Ridership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2026-09-21T21:26:29.168Z</dcterms:created>
  <dcterms:modified xsi:type="dcterms:W3CDTF">2026-09-21T21:26:29.178Z</dcterms:modified>
</cp:coreProperties>
</file>

<file path=docProps/custom.xml><?xml version="1.0" encoding="utf-8"?>
<Properties xmlns="http://schemas.openxmlformats.org/officeDocument/2006/custom-properties" xmlns:vt="http://schemas.openxmlformats.org/officeDocument/2006/docPropsVTypes"/>
</file>