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rFonts w:ascii="Calibri" w:cs="Calibri" w:eastAsia="Calibri" w:hAnsi="Calibri"/>
          <w:b/>
          <w:bCs/>
          <w:color w:val="1F3864"/>
          <w:sz w:val="40"/>
          <w:szCs w:val="40"/>
        </w:rPr>
        <w:t xml:space="preserve">DIRECT DEMAND MODELING OF INTERCITY</w:t>
      </w:r>
    </w:p>
    <w:p>
      <w:pPr>
        <w:spacing w:after="480"/>
        <w:jc w:val="center"/>
      </w:pPr>
      <w:r>
        <w:rPr>
          <w:rFonts w:ascii="Calibri" w:cs="Calibri" w:eastAsia="Calibri" w:hAnsi="Calibri"/>
          <w:b/>
          <w:bCs/>
          <w:color w:val="1F3864"/>
          <w:sz w:val="40"/>
          <w:szCs w:val="40"/>
        </w:rPr>
        <w:t xml:space="preserve">TRANSIT CORRIDOR RIDERSHIP</w:t>
      </w:r>
    </w:p>
    <w:p>
      <w:pPr>
        <w:spacing w:after="120"/>
        <w:jc w:val="center"/>
      </w:pPr>
      <w:r>
        <w:rPr>
          <w:rFonts w:ascii="Calibri" w:cs="Calibri" w:eastAsia="Calibri" w:hAnsi="Calibri"/>
          <w:i/>
          <w:iCs/>
          <w:color w:val="2E5395"/>
          <w:sz w:val="24"/>
          <w:szCs w:val="24"/>
        </w:rPr>
        <w:t xml:space="preserve">Economy and 1st Class Passenger Segments, with an Investigation of Lagged Demand</w:t>
      </w:r>
    </w:p>
    <w:p>
      <w:pPr>
        <w:pBdr>
          <w:top w:val="single" w:color="B7C6E0" w:sz="6" w:space="8"/>
        </w:pBdr>
        <w:spacing w:after="80" w:before="900"/>
        <w:jc w:val="center"/>
      </w:pPr>
    </w:p>
    <w:p>
      <w:pPr>
        <w:spacing w:after="40"/>
        <w:jc w:val="center"/>
      </w:pPr>
      <w:r>
        <w:rPr>
          <w:rFonts w:ascii="Calibri" w:cs="Calibri" w:eastAsia="Calibri" w:hAnsi="Calibri"/>
          <w:sz w:val="22"/>
          <w:szCs w:val="22"/>
        </w:rPr>
        <w:t xml:space="preserve">Prepared by: [Your Name]</w:t>
      </w:r>
    </w:p>
    <w:p>
      <w:pPr>
        <w:spacing w:after="40"/>
        <w:jc w:val="center"/>
      </w:pPr>
      <w:r>
        <w:rPr>
          <w:rFonts w:ascii="Calibri" w:cs="Calibri" w:eastAsia="Calibri" w:hAnsi="Calibri"/>
          <w:sz w:val="22"/>
          <w:szCs w:val="22"/>
        </w:rPr>
        <w:t xml:space="preserve">Course: [Course Name / Number]</w:t>
      </w:r>
    </w:p>
    <w:p>
      <w:pPr>
        <w:spacing w:after="40"/>
        <w:jc w:val="center"/>
      </w:pPr>
      <w:r>
        <w:rPr>
          <w:rFonts w:ascii="Calibri" w:cs="Calibri" w:eastAsia="Calibri" w:hAnsi="Calibri"/>
          <w:sz w:val="22"/>
          <w:szCs w:val="22"/>
        </w:rPr>
        <w:t xml:space="preserve">Instructor: [Instructor Name]</w:t>
      </w:r>
    </w:p>
    <w:p>
      <w:pPr>
        <w:spacing w:after="40"/>
        <w:jc w:val="center"/>
      </w:pPr>
      <w:r>
        <w:rPr>
          <w:rFonts w:ascii="Calibri" w:cs="Calibri" w:eastAsia="Calibri" w:hAnsi="Calibri"/>
          <w:sz w:val="22"/>
          <w:szCs w:val="22"/>
        </w:rPr>
        <w:t xml:space="preserve">Date: [Submission Date]</w:t>
      </w:r>
    </w:p>
    <w:p>
      <w:pPr>
        <w:pageBreakBefore/>
      </w:pPr>
    </w:p>
    <w:p>
      <w:pPr>
        <w:pStyle w:val="Heading1"/>
        <w:pBdr>
          <w:bottom w:val="single" w:color="1F3864" w:sz="8" w:space="4"/>
        </w:pBdr>
        <w:spacing w:after="160" w:before="360"/>
      </w:pPr>
      <w:r>
        <w:rPr>
          <w:rFonts w:ascii="Calibri" w:cs="Calibri" w:eastAsia="Calibri" w:hAnsi="Calibri"/>
          <w:b/>
          <w:bCs/>
          <w:color w:val="1F3864"/>
          <w:sz w:val="28"/>
          <w:szCs w:val="28"/>
        </w:rPr>
        <w:t xml:space="preserve">1. Introduction</w:t>
      </w:r>
    </w:p>
    <w:p>
      <w:pPr>
        <w:pStyle w:val="Heading2"/>
        <w:spacing w:after="120" w:before="280"/>
      </w:pPr>
      <w:r>
        <w:rPr>
          <w:rFonts w:ascii="Calibri" w:cs="Calibri" w:eastAsia="Calibri" w:hAnsi="Calibri"/>
          <w:b/>
          <w:bCs/>
          <w:color w:val="2E5395"/>
          <w:sz w:val="24"/>
          <w:szCs w:val="24"/>
        </w:rPr>
        <w:t xml:space="preserve">1.1 Objectives</w:t>
      </w:r>
    </w:p>
    <w:p>
      <w:pPr>
        <w:spacing w:after="160" w:line="276"/>
        <w:jc w:val="both"/>
      </w:pPr>
      <w:r>
        <w:rPr>
          <w:rFonts w:ascii="Calibri" w:cs="Calibri" w:eastAsia="Calibri" w:hAnsi="Calibri"/>
          <w:sz w:val="21"/>
          <w:szCs w:val="21"/>
        </w:rPr>
        <w:t xml:space="preserve">Transit agencies use </w:t>
      </w:r>
      <w:r>
        <w:rPr>
          <w:rFonts w:ascii="Calibri" w:cs="Calibri" w:eastAsia="Calibri" w:hAnsi="Calibri"/>
          <w:b/>
          <w:bCs/>
          <w:sz w:val="21"/>
          <w:szCs w:val="21"/>
        </w:rPr>
        <w:t xml:space="preserve">direct demand models (DDMs)</w:t>
      </w:r>
      <w:r>
        <w:rPr>
          <w:rFonts w:ascii="Calibri" w:cs="Calibri" w:eastAsia="Calibri" w:hAnsi="Calibri"/>
          <w:sz w:val="21"/>
          <w:szCs w:val="21"/>
        </w:rPr>
        <w:t xml:space="preserve"> — reduced-form econometric models that regress ridership directly on the price, competition, economic and service-quality factors believed to drive it — to forecast ridership and to gauge how sensitive demand is to fares, competing modes and service quality, without the overhead of a full four-step travel demand model. This report develops direct demand models for quarterly ridership on an intercity rail corridor, disaggregated by service class, using nine years (36 quarters) of corridor-level data. It has three objectives:</w:t>
      </w:r>
    </w:p>
    <w:p>
      <w:pPr>
        <w:pStyle w:val="ListParagraph"/>
        <w:numPr>
          <w:ilvl w:val="0"/>
          <w:numId w:val="2"/>
        </w:numPr>
        <w:spacing w:after="80"/>
      </w:pPr>
      <w:r>
        <w:rPr>
          <w:rFonts w:ascii="Calibri" w:cs="Calibri" w:eastAsia="Calibri" w:hAnsi="Calibri"/>
          <w:sz w:val="21"/>
          <w:szCs w:val="21"/>
        </w:rPr>
        <w:t xml:space="preserve">Formulate and estimate a direct demand model for each passenger segment — Economy Class and 1st Class — explaining quarterly ridership by own and cross fares, competing-mode costs, regional economic activity, on-time performance and seasonality.</w:t>
      </w:r>
    </w:p>
    <w:p>
      <w:pPr>
        <w:pStyle w:val="ListParagraph"/>
        <w:numPr>
          <w:ilvl w:val="0"/>
          <w:numId w:val="2"/>
        </w:numPr>
        <w:spacing w:after="80"/>
      </w:pPr>
      <w:r>
        <w:rPr>
          <w:rFonts w:ascii="Calibri" w:cs="Calibri" w:eastAsia="Calibri" w:hAnsi="Calibri"/>
          <w:sz w:val="21"/>
          <w:szCs w:val="21"/>
        </w:rPr>
        <w:t xml:space="preserve">Investigate the role of lagged demand: whether current ridership depends not only on current conditions but also, through habit persistence or gradual (partial) adjustment, on the previous quarter's ridership — and how this changes short-run versus long-run responsiveness.</w:t>
      </w:r>
    </w:p>
    <w:p>
      <w:pPr>
        <w:pStyle w:val="ListParagraph"/>
        <w:numPr>
          <w:ilvl w:val="0"/>
          <w:numId w:val="2"/>
        </w:numPr>
        <w:spacing w:after="80"/>
      </w:pPr>
      <w:r>
        <w:rPr>
          <w:rFonts w:ascii="Calibri" w:cs="Calibri" w:eastAsia="Calibri" w:hAnsi="Calibri"/>
          <w:sz w:val="21"/>
          <w:szCs w:val="21"/>
        </w:rPr>
        <w:t xml:space="preserve">Diagnose and address multicollinearity among the explanatory variables, and use that evidence to select one final model specification per segment.</w:t>
      </w:r>
    </w:p>
    <w:p>
      <w:pPr>
        <w:pStyle w:val="Heading2"/>
        <w:spacing w:after="120" w:before="280"/>
      </w:pPr>
      <w:r>
        <w:rPr>
          <w:rFonts w:ascii="Calibri" w:cs="Calibri" w:eastAsia="Calibri" w:hAnsi="Calibri"/>
          <w:b/>
          <w:bCs/>
          <w:color w:val="2E5395"/>
          <w:sz w:val="24"/>
          <w:szCs w:val="24"/>
        </w:rPr>
        <w:t xml:space="preserve">1.2 Structure of the Analysis</w:t>
      </w:r>
    </w:p>
    <w:p>
      <w:pPr>
        <w:pStyle w:val="ListParagraph"/>
        <w:numPr>
          <w:ilvl w:val="0"/>
          <w:numId w:val="2"/>
        </w:numPr>
        <w:spacing w:after="80"/>
      </w:pPr>
      <w:r>
        <w:rPr>
          <w:rFonts w:ascii="Calibri" w:cs="Calibri" w:eastAsia="Calibri" w:hAnsi="Calibri"/>
          <w:sz w:val="21"/>
          <w:szCs w:val="21"/>
        </w:rPr>
        <w:t xml:space="preserve">Section 2 — Model Formulation: the log-log functional form for the static and lagged-demand (dynamic) models, a justification of every independent variable, and a check of the seasonality assumption.</w:t>
      </w:r>
    </w:p>
    <w:p>
      <w:pPr>
        <w:pStyle w:val="ListParagraph"/>
        <w:numPr>
          <w:ilvl w:val="0"/>
          <w:numId w:val="2"/>
        </w:numPr>
        <w:spacing w:after="80"/>
      </w:pPr>
      <w:r>
        <w:rPr>
          <w:rFonts w:ascii="Calibri" w:cs="Calibri" w:eastAsia="Calibri" w:hAnsi="Calibri"/>
          <w:sz w:val="21"/>
          <w:szCs w:val="21"/>
        </w:rPr>
        <w:t>Section 3 — Estimation and Model Selection: baseline estimates and diagnostics; a first-stage decision, per segment, between the static and dynamic (lagged-demand) form; backward elimination of the remaining regressors within whichever form was chosen; and the resulting final models.</w:t>
      </w:r>
    </w:p>
    <w:p>
      <w:pPr>
        <w:pStyle w:val="ListParagraph"/>
        <w:numPr>
          <w:ilvl w:val="0"/>
          <w:numId w:val="2"/>
        </w:numPr>
        <w:spacing w:after="80"/>
      </w:pPr>
      <w:r>
        <w:rPr>
          <w:rFonts w:ascii="Calibri" w:cs="Calibri" w:eastAsia="Calibri" w:hAnsi="Calibri"/>
          <w:sz w:val="21"/>
          <w:szCs w:val="21"/>
        </w:rPr>
        <w:t xml:space="preserve">Section 4 — Elasticity Discussion: interpretation of the elasticities and semi-elasticities of the two final models and comparison of the segments.</w:t>
      </w:r>
    </w:p>
    <w:p>
      <w:pPr>
        <w:pStyle w:val="ListParagraph"/>
        <w:numPr>
          <w:ilvl w:val="0"/>
          <w:numId w:val="2"/>
        </w:numPr>
        <w:spacing w:after="80"/>
      </w:pPr>
      <w:r>
        <w:rPr>
          <w:rFonts w:ascii="Calibri" w:cs="Calibri" w:eastAsia="Calibri" w:hAnsi="Calibri"/>
          <w:sz w:val="21"/>
          <w:szCs w:val="21"/>
        </w:rPr>
        <w:t xml:space="preserve">Section 5 — Limitations and Conclusion.</w:t>
      </w:r>
    </w:p>
    <w:p>
      <w:pPr>
        <w:pStyle w:val="Heading2"/>
        <w:spacing w:after="120" w:before="280"/>
      </w:pPr>
      <w:r>
        <w:rPr>
          <w:rFonts w:ascii="Calibri" w:cs="Calibri" w:eastAsia="Calibri" w:hAnsi="Calibri"/>
          <w:b/>
          <w:bCs/>
          <w:color w:val="2E5395"/>
          <w:sz w:val="24"/>
          <w:szCs w:val="24"/>
        </w:rPr>
        <w:t xml:space="preserve">1.3 Data</w:t>
      </w:r>
    </w:p>
    <w:p>
      <w:pPr>
        <w:spacing w:after="160" w:line="276"/>
        <w:jc w:val="both"/>
      </w:pPr>
      <w:r>
        <w:rPr>
          <w:rFonts w:ascii="Calibri" w:cs="Calibri" w:eastAsia="Calibri" w:hAnsi="Calibri"/>
          <w:sz w:val="21"/>
          <w:szCs w:val="21"/>
        </w:rPr>
        <w:t xml:space="preserve">The dataset covers a single intercity corridor over 9 years of quarterly observations (N = 36):</w:t>
      </w:r>
    </w:p>
    <w:tbl>
      <w:tblPr>
        <w:tblW w:type="dxa" w:w="10080"/>
        <w:tblBorders>
          <w:top w:val="single" w:color="B7C6E0" w:sz="4"/>
          <w:left w:val="single" w:color="B7C6E0" w:sz="4"/>
          <w:bottom w:val="single" w:color="B7C6E0" w:sz="4"/>
          <w:right w:val="single" w:color="B7C6E0" w:sz="4"/>
          <w:insideH w:val="single" w:color="B7C6E0" w:sz="2"/>
          <w:insideV w:val="single" w:color="B7C6E0" w:sz="2"/>
        </w:tblBorders>
      </w:tblPr>
      <w:tblGrid>
        <w:gridCol w:w="2300"/>
        <w:gridCol w:w="4300"/>
        <w:gridCol w:w="3480"/>
      </w:tblGrid>
      <w:tr>
        <w:trPr>
          <w:tblHeader/>
        </w:trPr>
        <w:tc>
          <w:tcPr>
            <w:tcW w:type="dxa" w:w="2300"/>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Variable</w:t>
            </w:r>
          </w:p>
        </w:tc>
        <w:tc>
          <w:tcPr>
            <w:tcW w:type="dxa" w:w="430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Description</w:t>
            </w:r>
          </w:p>
        </w:tc>
        <w:tc>
          <w:tcPr>
            <w:tcW w:type="dxa" w:w="348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Role</w:t>
            </w:r>
          </w:p>
        </w:tc>
      </w:tr>
      <w:tr>
        <w:tc>
          <w:tcPr>
            <w:tcW w:type="dxa" w:w="23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Q_econ, Q_1st</w:t>
            </w:r>
          </w:p>
        </w:tc>
        <w:tc>
          <w:tcPr>
            <w:tcW w:type="dxa" w:w="43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Total passengers per quarter, Economy / 1st Class</w:t>
            </w:r>
          </w:p>
        </w:tc>
        <w:tc>
          <w:tcPr>
            <w:tcW w:type="dxa" w:w="348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Dependent variable (one model per class)</w:t>
            </w:r>
          </w:p>
        </w:tc>
      </w:tr>
      <w:tr>
        <w:tc>
          <w:tcPr>
            <w:tcW w:type="dxa" w:w="2300"/>
            <w:shd w:fill="EAF0F9"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Fare_econ, Fare_1st</w:t>
            </w:r>
          </w:p>
        </w:tc>
        <w:tc>
          <w:tcPr>
            <w:tcW w:type="dxa" w:w="43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Average fare per km, Economy / 1st Class</w:t>
            </w:r>
          </w:p>
        </w:tc>
        <w:tc>
          <w:tcPr>
            <w:tcW w:type="dxa" w:w="348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Own-price and cross-price regressors</w:t>
            </w:r>
          </w:p>
        </w:tc>
      </w:tr>
      <w:tr>
        <w:tc>
          <w:tcPr>
            <w:tcW w:type="dxa" w:w="23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AirFare</w:t>
            </w:r>
          </w:p>
        </w:tc>
        <w:tc>
          <w:tcPr>
            <w:tcW w:type="dxa" w:w="43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Average competing air fare per km along the corridor</w:t>
            </w:r>
          </w:p>
        </w:tc>
        <w:tc>
          <w:tcPr>
            <w:tcW w:type="dxa" w:w="348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Intermodal competition</w:t>
            </w:r>
          </w:p>
        </w:tc>
      </w:tr>
      <w:tr>
        <w:tc>
          <w:tcPr>
            <w:tcW w:type="dxa" w:w="2300"/>
            <w:shd w:fill="EAF0F9"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GasPrice</w:t>
            </w:r>
          </w:p>
        </w:tc>
        <w:tc>
          <w:tcPr>
            <w:tcW w:type="dxa" w:w="43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Average gas price along the corridor</w:t>
            </w:r>
          </w:p>
        </w:tc>
        <w:tc>
          <w:tcPr>
            <w:tcW w:type="dxa" w:w="348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Auto-travel cost (candidate regressor; see Section 3.2)</w:t>
            </w:r>
          </w:p>
        </w:tc>
      </w:tr>
      <w:tr>
        <w:tc>
          <w:tcPr>
            <w:tcW w:type="dxa" w:w="23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Employment</w:t>
            </w:r>
          </w:p>
        </w:tc>
        <w:tc>
          <w:tcPr>
            <w:tcW w:type="dxa" w:w="43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Total employment in the region along the corridor</w:t>
            </w:r>
          </w:p>
        </w:tc>
        <w:tc>
          <w:tcPr>
            <w:tcW w:type="dxa" w:w="348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Regional economic activity / income proxy</w:t>
            </w:r>
          </w:p>
        </w:tc>
      </w:tr>
      <w:tr>
        <w:tc>
          <w:tcPr>
            <w:tcW w:type="dxa" w:w="2300"/>
            <w:shd w:fill="EAF0F9"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Delays</w:t>
            </w:r>
          </w:p>
        </w:tc>
        <w:tc>
          <w:tcPr>
            <w:tcW w:type="dxa" w:w="43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Number of schedule-delay incidents per quarter</w:t>
            </w:r>
          </w:p>
        </w:tc>
        <w:tc>
          <w:tcPr>
            <w:tcW w:type="dxa" w:w="348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Service quality</w:t>
            </w:r>
          </w:p>
        </w:tc>
      </w:tr>
      <w:tr>
        <w:tc>
          <w:tcPr>
            <w:tcW w:type="dxa" w:w="23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Q2, Q3, Q4</w:t>
            </w:r>
          </w:p>
        </w:tc>
        <w:tc>
          <w:tcPr>
            <w:tcW w:type="dxa" w:w="43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Calendar-quarter dummies (Q1 = reference)</w:t>
            </w:r>
          </w:p>
        </w:tc>
        <w:tc>
          <w:tcPr>
            <w:tcW w:type="dxa" w:w="348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Seasonality</w:t>
            </w:r>
          </w:p>
        </w:tc>
      </w:tr>
      <w:tr>
        <w:tc>
          <w:tcPr>
            <w:tcW w:type="dxa" w:w="2300"/>
            <w:shd w:fill="EAF0F9"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Q_lag1</w:t>
            </w:r>
          </w:p>
        </w:tc>
        <w:tc>
          <w:tcPr>
            <w:tcW w:type="dxa" w:w="43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Own ridership in the previous quarter</w:t>
            </w:r>
          </w:p>
        </w:tc>
        <w:tc>
          <w:tcPr>
            <w:tcW w:type="dxa" w:w="348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Lagged demand (dynamic models only)</w:t>
            </w:r>
          </w:p>
        </w:tc>
      </w:tr>
    </w:tbl>
    <w:p>
      <w:pPr>
        <w:spacing w:after="200" w:before="80"/>
      </w:pPr>
      <w:r>
        <w:rPr>
          <w:rFonts w:ascii="Calibri" w:cs="Calibri" w:eastAsia="Calibri" w:hAnsi="Calibri"/>
          <w:i/>
          <w:iCs/>
          <w:color w:val="595959"/>
          <w:sz w:val="18"/>
          <w:szCs w:val="18"/>
        </w:rPr>
        <w:t xml:space="preserve">Source: TransitRidershipData.xlsx (Years 1-9, Quarters 1-4). Fares and prices are per-km measures as provided.</w:t>
      </w:r>
    </w:p>
    <w:p>
      <w:pPr>
        <w:pageBreakBefore/>
      </w:pPr>
    </w:p>
    <w:p>
      <w:pPr>
        <w:pStyle w:val="Heading1"/>
        <w:pBdr>
          <w:bottom w:val="single" w:color="1F3864" w:sz="8" w:space="4"/>
        </w:pBdr>
        <w:spacing w:after="160" w:before="360"/>
      </w:pPr>
      <w:r>
        <w:rPr>
          <w:rFonts w:ascii="Calibri" w:cs="Calibri" w:eastAsia="Calibri" w:hAnsi="Calibri"/>
          <w:b/>
          <w:bCs/>
          <w:color w:val="1F3864"/>
          <w:sz w:val="28"/>
          <w:szCs w:val="28"/>
        </w:rPr>
        <w:t xml:space="preserve">2. Model Formulation and Justification of Independent Variables</w:t>
      </w:r>
    </w:p>
    <w:p>
      <w:pPr>
        <w:pStyle w:val="Heading2"/>
        <w:spacing w:after="120" w:before="280"/>
      </w:pPr>
      <w:r>
        <w:rPr>
          <w:rFonts w:ascii="Calibri" w:cs="Calibri" w:eastAsia="Calibri" w:hAnsi="Calibri"/>
          <w:b/>
          <w:bCs/>
          <w:color w:val="2E5395"/>
          <w:sz w:val="24"/>
          <w:szCs w:val="24"/>
        </w:rPr>
        <w:t xml:space="preserve">2.1 General Functional Form</w:t>
      </w:r>
    </w:p>
    <w:p>
      <w:pPr>
        <w:spacing w:after="160" w:line="276"/>
        <w:jc w:val="both"/>
      </w:pPr>
      <w:r>
        <w:rPr>
          <w:rFonts w:ascii="Calibri" w:cs="Calibri" w:eastAsia="Calibri" w:hAnsi="Calibri"/>
          <w:sz w:val="21"/>
          <w:szCs w:val="21"/>
        </w:rPr>
        <w:t xml:space="preserve">Both demand tasks use a </w:t>
      </w:r>
      <w:r>
        <w:rPr>
          <w:rFonts w:ascii="Calibri" w:cs="Calibri" w:eastAsia="Calibri" w:hAnsi="Calibri"/>
          <w:b/>
          <w:bCs/>
          <w:sz w:val="21"/>
          <w:szCs w:val="21"/>
        </w:rPr>
        <w:t xml:space="preserve">log-log (constant-elasticity) specification</w:t>
      </w:r>
      <w:r>
        <w:rPr>
          <w:rFonts w:ascii="Calibri" w:cs="Calibri" w:eastAsia="Calibri" w:hAnsi="Calibri"/>
          <w:sz w:val="21"/>
          <w:szCs w:val="21"/>
        </w:rPr>
        <w:t xml:space="preserve">: ridership responses to price and income are more plausibly multiplicative than additive, and every coefficient is directly an elasticity. The static specification for class </w:t>
      </w:r>
      <w:r>
        <w:rPr>
          <w:rFonts w:ascii="Calibri" w:cs="Calibri" w:eastAsia="Calibri" w:hAnsi="Calibri"/>
          <w:i/>
          <w:iCs/>
          <w:sz w:val="21"/>
          <w:szCs w:val="21"/>
        </w:rPr>
        <w:t xml:space="preserve">i</w:t>
      </w:r>
      <w:r>
        <w:rPr>
          <w:rFonts w:ascii="Calibri" w:cs="Calibri" w:eastAsia="Calibri" w:hAnsi="Calibri"/>
          <w:sz w:val="21"/>
          <w:szCs w:val="21"/>
        </w:rPr>
        <w:t xml:space="preserve"> in quarter </w:t>
      </w:r>
      <w:r>
        <w:rPr>
          <w:rFonts w:ascii="Calibri" w:cs="Calibri" w:eastAsia="Calibri" w:hAnsi="Calibri"/>
          <w:i/>
          <w:iCs/>
          <w:sz w:val="21"/>
          <w:szCs w:val="21"/>
        </w:rPr>
        <w:t xml:space="preserve">t</w:t>
      </w:r>
      <w:r>
        <w:rPr>
          <w:rFonts w:ascii="Calibri" w:cs="Calibri" w:eastAsia="Calibri" w:hAnsi="Calibri"/>
          <w:sz w:val="21"/>
          <w:szCs w:val="21"/>
        </w:rPr>
        <w:t xml:space="preserve"> is:</w:t>
      </w:r>
    </w:p>
    <w:p>
      <w:pPr>
        <w:spacing w:after="160" w:before="80"/>
        <w:jc w:val="center"/>
      </w:pPr>
      <w:r>
        <w:rPr>
          <w:rFonts w:ascii="Cambria Math" w:cs="Cambria Math" w:eastAsia="Cambria Math" w:hAnsi="Cambria Math"/>
          <w:i/>
          <w:iCs/>
          <w:color w:val="202020"/>
          <w:sz w:val="22"/>
          <w:szCs w:val="22"/>
        </w:rPr>
        <w:t xml:space="preserve">ln(Qi,t) = β0 + β1·ln(Fareown,t) + β2·ln(Farecross,t) + β3·ln(AirFaret) + β4·ln(GasPricet) + β5·ln(Employmentt) + β6·Delayst + β7·Q2 + β8·Q3 + β9·Q4 + εt</w:t>
      </w:r>
    </w:p>
    <w:p>
      <w:pPr>
        <w:spacing w:after="160" w:line="276"/>
        <w:jc w:val="both"/>
      </w:pPr>
      <w:r>
        <w:rPr>
          <w:rFonts w:ascii="Calibri" w:cs="Calibri" w:eastAsia="Calibri" w:hAnsi="Calibri"/>
          <w:sz w:val="21"/>
          <w:szCs w:val="21"/>
        </w:rPr>
        <w:t xml:space="preserve">The dynamic (partial-adjustment) specification adds the class's own log-ridership lagged one quarter:</w:t>
      </w:r>
    </w:p>
    <w:p>
      <w:pPr>
        <w:spacing w:after="160" w:before="80"/>
        <w:jc w:val="center"/>
      </w:pPr>
      <w:r>
        <w:rPr>
          <w:rFonts w:ascii="Cambria Math" w:cs="Cambria Math" w:eastAsia="Cambria Math" w:hAnsi="Cambria Math"/>
          <w:i/>
          <w:iCs/>
          <w:color w:val="202020"/>
          <w:sz w:val="22"/>
          <w:szCs w:val="22"/>
        </w:rPr>
        <w:t xml:space="preserve">ln(Qi,t) = β0 + γ·ln(Qi,t−1) + β1·ln(Fareown,t) + … + β9·Q4 + εt</w:t>
      </w:r>
    </w:p>
    <w:p>
      <w:pPr>
        <w:spacing w:after="160" w:line="276"/>
        <w:jc w:val="both"/>
      </w:pPr>
      <w:r>
        <w:rPr>
          <w:rFonts w:ascii="Calibri" w:cs="Calibri" w:eastAsia="Calibri" w:hAnsi="Calibri"/>
          <w:sz w:val="21"/>
          <w:szCs w:val="21"/>
        </w:rPr>
        <w:t xml:space="preserve">Here γ is the </w:t>
      </w:r>
      <w:r>
        <w:rPr>
          <w:rFonts w:ascii="Calibri" w:cs="Calibri" w:eastAsia="Calibri" w:hAnsi="Calibri"/>
          <w:i/>
          <w:iCs/>
          <w:sz w:val="21"/>
          <w:szCs w:val="21"/>
        </w:rPr>
        <w:t xml:space="preserve">adjustment-speed parameter</w:t>
      </w:r>
      <w:r>
        <w:rPr>
          <w:rFonts w:ascii="Calibri" w:cs="Calibri" w:eastAsia="Calibri" w:hAnsi="Calibri"/>
          <w:sz w:val="21"/>
          <w:szCs w:val="21"/>
        </w:rPr>
        <w:t xml:space="preserve">: near 0, ridership adjusts almost fully within one quarter; near 1, adjustment is slow and ridership is strongly anchored to last quarter's level. When γ matters, the long-run elasticity of a driver is its short-run coefficient divided by (1 − γ).</w:t>
      </w:r>
    </w:p>
    <w:p>
      <w:pPr>
        <w:pStyle w:val="Heading2"/>
        <w:spacing w:after="120" w:before="280"/>
      </w:pPr>
      <w:r>
        <w:rPr>
          <w:rFonts w:ascii="Calibri" w:cs="Calibri" w:eastAsia="Calibri" w:hAnsi="Calibri"/>
          <w:b/>
          <w:bCs/>
          <w:color w:val="2E5395"/>
          <w:sz w:val="24"/>
          <w:szCs w:val="24"/>
        </w:rPr>
        <w:t xml:space="preserve">2.2 Justification of Independent Variables</w:t>
      </w:r>
    </w:p>
    <w:p>
      <w:pPr>
        <w:spacing w:after="160" w:line="276"/>
        <w:jc w:val="both"/>
      </w:pPr>
      <w:r>
        <w:rPr>
          <w:rFonts w:ascii="Calibri" w:cs="Calibri" w:eastAsia="Calibri" w:hAnsi="Calibri"/>
          <w:sz w:val="21"/>
          <w:szCs w:val="21"/>
        </w:rPr>
        <w:t>Each regressor applies to both models as a candidate (the two fare variables swap between “own” and “cross”). Whether the lag belongs in the model at all is decided first, per class, in Section 3.2; which of the remaining six regressors survive is then decided by backward elimination in Section 3.3.</w:t>
      </w:r>
    </w:p>
    <w:p>
      <w:pPr>
        <w:pStyle w:val="Heading3"/>
        <w:spacing w:after="100" w:before="200"/>
      </w:pPr>
      <w:r>
        <w:rPr>
          <w:rFonts w:ascii="Calibri" w:cs="Calibri" w:eastAsia="Calibri" w:hAnsi="Calibri"/>
          <w:b/>
          <w:bCs/>
          <w:i/>
          <w:iCs/>
          <w:color w:val="595959"/>
          <w:sz w:val="21"/>
          <w:szCs w:val="21"/>
        </w:rPr>
        <w:t xml:space="preserve">Own fare (β1, expected sign −)</w:t>
      </w:r>
    </w:p>
    <w:p>
      <w:pPr>
        <w:spacing w:after="160" w:line="276"/>
        <w:jc w:val="both"/>
      </w:pPr>
      <w:r>
        <w:rPr>
          <w:rFonts w:ascii="Calibri" w:cs="Calibri" w:eastAsia="Calibri" w:hAnsi="Calibri"/>
          <w:sz w:val="21"/>
          <w:szCs w:val="21"/>
        </w:rPr>
        <w:t xml:space="preserve">Standard price theory: a higher fare on the class raises the cost of travel and should reduce its ridership.</w:t>
      </w:r>
    </w:p>
    <w:p>
      <w:pPr>
        <w:pStyle w:val="Heading3"/>
        <w:spacing w:after="100" w:before="200"/>
      </w:pPr>
      <w:r>
        <w:rPr>
          <w:rFonts w:ascii="Calibri" w:cs="Calibri" w:eastAsia="Calibri" w:hAnsi="Calibri"/>
          <w:b/>
          <w:bCs/>
          <w:i/>
          <w:iCs/>
          <w:color w:val="595959"/>
          <w:sz w:val="21"/>
          <w:szCs w:val="21"/>
        </w:rPr>
        <w:t xml:space="preserve">Cross fare (β2, expected +)</w:t>
      </w:r>
    </w:p>
    <w:p>
      <w:pPr>
        <w:spacing w:after="160" w:line="276"/>
        <w:jc w:val="both"/>
      </w:pPr>
      <w:r>
        <w:rPr>
          <w:rFonts w:ascii="Calibri" w:cs="Calibri" w:eastAsia="Calibri" w:hAnsi="Calibri"/>
          <w:sz w:val="21"/>
          <w:szCs w:val="21"/>
        </w:rPr>
        <w:t xml:space="preserve">Economy and 1st Class are substitutes on the same service, so a higher fare in the other class should push riders toward the class being modelled.</w:t>
      </w:r>
    </w:p>
    <w:p>
      <w:pPr>
        <w:pStyle w:val="Heading3"/>
        <w:spacing w:after="100" w:before="200"/>
      </w:pPr>
      <w:r>
        <w:rPr>
          <w:rFonts w:ascii="Calibri" w:cs="Calibri" w:eastAsia="Calibri" w:hAnsi="Calibri"/>
          <w:b/>
          <w:bCs/>
          <w:i/>
          <w:iCs/>
          <w:color w:val="595959"/>
          <w:sz w:val="21"/>
          <w:szCs w:val="21"/>
        </w:rPr>
        <w:t xml:space="preserve">Competing air fare (β3, expected +)</w:t>
      </w:r>
    </w:p>
    <w:p>
      <w:pPr>
        <w:spacing w:after="160" w:line="276"/>
        <w:jc w:val="both"/>
      </w:pPr>
      <w:r>
        <w:rPr>
          <w:rFonts w:ascii="Calibri" w:cs="Calibri" w:eastAsia="Calibri" w:hAnsi="Calibri"/>
          <w:sz w:val="21"/>
          <w:szCs w:val="21"/>
        </w:rPr>
        <w:t xml:space="preserve">Air travel is the main competing mode for longer, time-sensitive trips; a higher air fare makes rail relatively more attractive.</w:t>
      </w:r>
    </w:p>
    <w:p>
      <w:pPr>
        <w:pStyle w:val="Heading3"/>
        <w:spacing w:after="100" w:before="200"/>
      </w:pPr>
      <w:r>
        <w:rPr>
          <w:rFonts w:ascii="Calibri" w:cs="Calibri" w:eastAsia="Calibri" w:hAnsi="Calibri"/>
          <w:b/>
          <w:bCs/>
          <w:i/>
          <w:iCs/>
          <w:color w:val="595959"/>
          <w:sz w:val="21"/>
          <w:szCs w:val="21"/>
        </w:rPr>
        <w:t xml:space="preserve">Gas price (β4, expected +)</w:t>
      </w:r>
    </w:p>
    <w:p>
      <w:pPr>
        <w:spacing w:after="160" w:line="276"/>
        <w:jc w:val="both"/>
      </w:pPr>
      <w:r>
        <w:rPr>
          <w:rFonts w:ascii="Calibri" w:cs="Calibri" w:eastAsia="Calibri" w:hAnsi="Calibri"/>
          <w:sz w:val="21"/>
          <w:szCs w:val="21"/>
        </w:rPr>
        <w:t>Proxies the cost of the private-vehicle alternative. It was included in the baseline model but, as Section 3.3 shows, it is the first regressor dropped by backward elimination for both classes — it is never close to significant, consistent with it being highly correlated with regional employment.</w:t>
      </w:r>
    </w:p>
    <w:p>
      <w:pPr>
        <w:pStyle w:val="Heading3"/>
        <w:spacing w:after="100" w:before="200"/>
      </w:pPr>
      <w:r>
        <w:rPr>
          <w:rFonts w:ascii="Calibri" w:cs="Calibri" w:eastAsia="Calibri" w:hAnsi="Calibri"/>
          <w:b/>
          <w:bCs/>
          <w:i/>
          <w:iCs/>
          <w:color w:val="595959"/>
          <w:sz w:val="21"/>
          <w:szCs w:val="21"/>
        </w:rPr>
        <w:t xml:space="preserve">Regional employment (β5, expected +)</w:t>
      </w:r>
    </w:p>
    <w:p>
      <w:pPr>
        <w:spacing w:after="160" w:line="276"/>
        <w:jc w:val="both"/>
      </w:pPr>
      <w:r>
        <w:rPr>
          <w:rFonts w:ascii="Calibri" w:cs="Calibri" w:eastAsia="Calibri" w:hAnsi="Calibri"/>
          <w:sz w:val="21"/>
          <w:szCs w:val="21"/>
        </w:rPr>
        <w:t xml:space="preserve">A proxy for regional economic activity and income: more employment means more commuting, business and discretionary travel. It also absorbs much of the corridor's multi-year growth trend.</w:t>
      </w:r>
    </w:p>
    <w:p>
      <w:pPr>
        <w:pStyle w:val="Heading3"/>
        <w:spacing w:after="100" w:before="200"/>
      </w:pPr>
      <w:r>
        <w:rPr>
          <w:rFonts w:ascii="Calibri" w:cs="Calibri" w:eastAsia="Calibri" w:hAnsi="Calibri"/>
          <w:b/>
          <w:bCs/>
          <w:i/>
          <w:iCs/>
          <w:color w:val="595959"/>
          <w:sz w:val="21"/>
          <w:szCs w:val="21"/>
        </w:rPr>
        <w:t xml:space="preserve">Schedule delays (β6, expected −)</w:t>
      </w:r>
    </w:p>
    <w:p>
      <w:pPr>
        <w:spacing w:after="160" w:line="276"/>
        <w:jc w:val="both"/>
      </w:pPr>
      <w:r>
        <w:rPr>
          <w:rFonts w:ascii="Calibri" w:cs="Calibri" w:eastAsia="Calibri" w:hAnsi="Calibri"/>
          <w:sz w:val="21"/>
          <w:szCs w:val="21"/>
        </w:rPr>
        <w:t xml:space="preserve">A direct measure of service reliability. Because it is left in levels, its coefficient is a semi-elasticity: the approximate percentage change in ridership per additional delay incident.</w:t>
      </w:r>
    </w:p>
    <w:p>
      <w:pPr>
        <w:pStyle w:val="Heading3"/>
        <w:spacing w:after="100" w:before="200"/>
      </w:pPr>
      <w:r>
        <w:rPr>
          <w:rFonts w:ascii="Calibri" w:cs="Calibri" w:eastAsia="Calibri" w:hAnsi="Calibri"/>
          <w:b/>
          <w:bCs/>
          <w:i/>
          <w:iCs/>
          <w:color w:val="595959"/>
          <w:sz w:val="21"/>
          <w:szCs w:val="21"/>
        </w:rPr>
        <w:t xml:space="preserve">Seasonal dummies (Q2, Q3, Q4 vs Q1)</w:t>
      </w:r>
    </w:p>
    <w:p>
      <w:pPr>
        <w:spacing w:after="160" w:line="276"/>
        <w:jc w:val="both"/>
      </w:pPr>
      <w:r>
        <w:rPr>
          <w:rFonts w:ascii="Calibri" w:cs="Calibri" w:eastAsia="Calibri" w:hAnsi="Calibri"/>
          <w:sz w:val="21"/>
          <w:szCs w:val="21"/>
        </w:rPr>
        <w:t xml:space="preserve">Quarterly ridership has a calendar pattern independent of price or income. The dummies stop that seasonal variation from being wrongly attributed to the other regressors. Each dummy's effect is reported as a percentage difference from Q1 via (e^β − 1) × 100.</w:t>
      </w:r>
    </w:p>
    <w:p>
      <w:pPr>
        <w:pStyle w:val="Heading3"/>
        <w:spacing w:after="100" w:before="200"/>
      </w:pPr>
      <w:r>
        <w:rPr>
          <w:rFonts w:ascii="Calibri" w:cs="Calibri" w:eastAsia="Calibri" w:hAnsi="Calibri"/>
          <w:b/>
          <w:bCs/>
          <w:i/>
          <w:iCs/>
          <w:color w:val="595959"/>
          <w:sz w:val="21"/>
          <w:szCs w:val="21"/>
        </w:rPr>
        <w:t xml:space="preserve">Lagged own ridership (γ, dynamic models only)</w:t>
      </w:r>
    </w:p>
    <w:p>
      <w:pPr>
        <w:spacing w:after="160" w:line="276"/>
        <w:jc w:val="both"/>
      </w:pPr>
      <w:r>
        <w:rPr>
          <w:rFonts w:ascii="Calibri" w:cs="Calibri" w:eastAsia="Calibri" w:hAnsi="Calibri"/>
          <w:sz w:val="21"/>
          <w:szCs w:val="21"/>
        </w:rPr>
        <w:t>Tests for habit persistence and partial adjustment: past riders tend to keep riding (routines, season passes), and markets may take more than a quarter to respond fully to a fare or service change. Unlike the other regressors, whether the lag enters the model at all is decided first (Section 3.2), using a significance test on its coefficient in the full baseline model, before backward elimination is applied to anything else.</w:t>
      </w:r>
    </w:p>
    <w:p>
      <w:pPr>
        <w:pStyle w:val="Heading2"/>
        <w:spacing w:after="120" w:before="280"/>
      </w:pPr>
      <w:r>
        <w:rPr>
          <w:rFonts w:ascii="Calibri" w:cs="Calibri" w:eastAsia="Calibri" w:hAnsi="Calibri"/>
          <w:b/>
          <w:bCs/>
          <w:color w:val="2E5395"/>
          <w:sz w:val="24"/>
          <w:szCs w:val="24"/>
        </w:rPr>
        <w:t xml:space="preserve">2.3 Checking the Seasonality Assumption</w:t>
      </w:r>
    </w:p>
    <w:p>
      <w:pPr>
        <w:spacing w:after="160" w:line="276"/>
        <w:jc w:val="both"/>
      </w:pPr>
      <w:r>
        <w:rPr>
          <w:rFonts w:ascii="Calibri" w:cs="Calibri" w:eastAsia="Calibri" w:hAnsi="Calibri"/>
          <w:sz w:val="21"/>
          <w:szCs w:val="21"/>
        </w:rPr>
        <w:t xml:space="preserve">Because the quarter dummies are pooled over all nine years, they assume the seasonal shape is stable through time. To check this, each quarter's ridership was expressed as a share of its own year's average and compared across the nine years. For Economy the mean seasonal index is 1.01, 0.91, 1.00 and 1.09 for Q1-Q4 with a standard deviation across years of only 0.02-0.03; for 1st Class it is 1.07, 0.95, 0.82 and 1.17 with a standard deviation of 0.04-0.08. The year-to-year variation is small relative to the gaps between quarters (especially for Economy), so the constant-seasonality assumption is reasonable, although 1st Class shows somewhat more drift.</w:t>
      </w:r>
    </w:p>
    <w:p>
      <w:pPr>
        <w:pageBreakBefore/>
      </w:pPr>
    </w:p>
    <w:p>
      <w:pPr>
        <w:pStyle w:val="Heading1"/>
        <w:pBdr>
          <w:bottom w:val="single" w:color="1F3864" w:sz="8" w:space="4"/>
        </w:pBdr>
        <w:spacing w:after="160" w:before="360"/>
      </w:pPr>
      <w:r>
        <w:rPr>
          <w:rFonts w:ascii="Calibri" w:cs="Calibri" w:eastAsia="Calibri" w:hAnsi="Calibri"/>
          <w:b/>
          <w:bCs/>
          <w:color w:val="1F3864"/>
          <w:sz w:val="28"/>
          <w:szCs w:val="28"/>
        </w:rPr>
        <w:t xml:space="preserve">3. Model Estimation and Selection of Final Specification</w:t>
      </w:r>
    </w:p>
    <w:p>
      <w:pPr>
        <w:spacing w:after="160" w:line="276"/>
        <w:jc w:val="both"/>
      </w:pPr>
      <w:r>
        <w:rPr>
          <w:rFonts w:ascii="Calibri" w:cs="Calibri" w:eastAsia="Calibri" w:hAnsi="Calibri"/>
          <w:sz w:val="21"/>
          <w:szCs w:val="21"/>
        </w:rPr>
        <w:t>All models were estimated by ordinary least squares. Building the one-quarter lag costs each dynamic model its first observation (N = 35 versus 36). Because AIC and BIC are only comparable between models fitted to the same observations, the static/dynamic comparison in Section 3.2 refits the static model on the common 35-quarter sample. Significance: *** p&lt;0.01, ** p&lt;0.05, * p&lt;0.10.</w:t>
      </w:r>
    </w:p>
    <w:p>
      <w:pPr>
        <w:pStyle w:val="Heading2"/>
        <w:spacing w:after="120" w:before="280"/>
      </w:pPr>
      <w:r>
        <w:rPr>
          <w:rFonts w:ascii="Calibri" w:cs="Calibri" w:eastAsia="Calibri" w:hAnsi="Calibri"/>
          <w:b/>
          <w:bCs/>
          <w:color w:val="2E5395"/>
          <w:sz w:val="24"/>
          <w:szCs w:val="24"/>
        </w:rPr>
        <w:t xml:space="preserve">3.1 Baseline Specification</w:t>
      </w:r>
    </w:p>
    <w:p>
      <w:pPr>
        <w:spacing w:after="160" w:line="276"/>
        <w:jc w:val="both"/>
      </w:pPr>
      <w:r>
        <w:rPr>
          <w:rFonts w:ascii="Calibri" w:cs="Calibri" w:eastAsia="Calibri" w:hAnsi="Calibri"/>
          <w:sz w:val="21"/>
          <w:szCs w:val="21"/>
        </w:rPr>
        <w:t xml:space="preserve">The baseline model contains all six candidate regressors plus the seasonal dummies. Its static estimates (coefficient, p-value) are:</w:t>
      </w:r>
    </w:p>
    <w:tbl>
      <w:tblPr>
        <w:tblW w:type="dxa" w:w="10080"/>
        <w:tblBorders>
          <w:top w:val="single" w:color="B7C6E0" w:sz="4"/>
          <w:left w:val="single" w:color="B7C6E0" w:sz="4"/>
          <w:bottom w:val="single" w:color="B7C6E0" w:sz="4"/>
          <w:right w:val="single" w:color="B7C6E0" w:sz="4"/>
          <w:insideH w:val="single" w:color="B7C6E0" w:sz="2"/>
          <w:insideV w:val="single" w:color="B7C6E0" w:sz="2"/>
        </w:tblBorders>
      </w:tblPr>
      <w:tblGrid>
        <w:gridCol w:w="3400"/>
        <w:gridCol w:w="3340"/>
        <w:gridCol w:w="3340"/>
      </w:tblGrid>
      <w:tr>
        <w:trPr>
          <w:tblHeader/>
        </w:trPr>
        <w:tc>
          <w:tcPr>
            <w:tcW w:type="dxa" w:w="3400"/>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Variable</w:t>
            </w:r>
          </w:p>
        </w:tc>
        <w:tc>
          <w:tcPr>
            <w:tcW w:type="dxa" w:w="334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Economy</w:t>
            </w:r>
          </w:p>
        </w:tc>
        <w:tc>
          <w:tcPr>
            <w:tcW w:type="dxa" w:w="334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1st Class</w:t>
            </w:r>
          </w:p>
        </w:tc>
      </w:tr>
      <w:tr>
        <w:tc>
          <w:tcPr>
            <w:tcW w:type="dxa" w:w="34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ln(Fare_econ)</w:t>
            </w:r>
          </w:p>
        </w:tc>
        <w:tc>
          <w:tcPr>
            <w:tcW w:type="dxa" w:w="334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+0.144 (0.652)</w:t>
            </w:r>
          </w:p>
        </w:tc>
        <w:tc>
          <w:tcPr>
            <w:tcW w:type="dxa" w:w="334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+0.478 (0.454)</w:t>
            </w:r>
          </w:p>
        </w:tc>
      </w:tr>
      <w:tr>
        <w:tc>
          <w:tcPr>
            <w:tcW w:type="dxa" w:w="3400"/>
            <w:shd w:fill="EAF0F9"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ln(Fare_1st)</w:t>
            </w:r>
          </w:p>
        </w:tc>
        <w:tc>
          <w:tcPr>
            <w:tcW w:type="dxa" w:w="334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−0.550 (0.141)</w:t>
            </w:r>
          </w:p>
        </w:tc>
        <w:tc>
          <w:tcPr>
            <w:tcW w:type="dxa" w:w="334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+1.145 (0.124)</w:t>
            </w:r>
          </w:p>
        </w:tc>
      </w:tr>
      <w:tr>
        <w:tc>
          <w:tcPr>
            <w:tcW w:type="dxa" w:w="34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ln(AirFare)</w:t>
            </w:r>
          </w:p>
        </w:tc>
        <w:tc>
          <w:tcPr>
            <w:tcW w:type="dxa" w:w="334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+0.185 (0.013) **</w:t>
            </w:r>
          </w:p>
        </w:tc>
        <w:tc>
          <w:tcPr>
            <w:tcW w:type="dxa" w:w="334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+0.136 (0.335)</w:t>
            </w:r>
          </w:p>
        </w:tc>
      </w:tr>
      <w:tr>
        <w:tc>
          <w:tcPr>
            <w:tcW w:type="dxa" w:w="3400"/>
            <w:shd w:fill="EAF0F9"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ln(GasPrice)</w:t>
            </w:r>
          </w:p>
        </w:tc>
        <w:tc>
          <w:tcPr>
            <w:tcW w:type="dxa" w:w="334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+0.055 (0.546)</w:t>
            </w:r>
          </w:p>
        </w:tc>
        <w:tc>
          <w:tcPr>
            <w:tcW w:type="dxa" w:w="334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−0.059 (0.745)</w:t>
            </w:r>
          </w:p>
        </w:tc>
      </w:tr>
      <w:tr>
        <w:tc>
          <w:tcPr>
            <w:tcW w:type="dxa" w:w="34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ln(Employment)</w:t>
            </w:r>
          </w:p>
        </w:tc>
        <w:tc>
          <w:tcPr>
            <w:tcW w:type="dxa" w:w="334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+0.918 (0.005) ***</w:t>
            </w:r>
          </w:p>
        </w:tc>
        <w:tc>
          <w:tcPr>
            <w:tcW w:type="dxa" w:w="334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−0.495 (0.409)</w:t>
            </w:r>
          </w:p>
        </w:tc>
      </w:tr>
      <w:tr>
        <w:tc>
          <w:tcPr>
            <w:tcW w:type="dxa" w:w="3400"/>
            <w:shd w:fill="EAF0F9"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Delays</w:t>
            </w:r>
          </w:p>
        </w:tc>
        <w:tc>
          <w:tcPr>
            <w:tcW w:type="dxa" w:w="334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−0.0003 (0.602)</w:t>
            </w:r>
          </w:p>
        </w:tc>
        <w:tc>
          <w:tcPr>
            <w:tcW w:type="dxa" w:w="334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−0.0013 (0.263)</w:t>
            </w:r>
          </w:p>
        </w:tc>
      </w:tr>
      <w:tr>
        <w:tc>
          <w:tcPr>
            <w:tcW w:type="dxa" w:w="34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Q2 / Q3 / Q4 (vs Q1)</w:t>
            </w:r>
          </w:p>
        </w:tc>
        <w:tc>
          <w:tcPr>
            <w:tcW w:type="dxa" w:w="334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−0.118*** / −0.053** / +0.065***</w:t>
            </w:r>
          </w:p>
        </w:tc>
        <w:tc>
          <w:tcPr>
            <w:tcW w:type="dxa" w:w="334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−0.066* / −0.167*** / +0.096**</w:t>
            </w:r>
          </w:p>
        </w:tc>
      </w:tr>
      <w:tr>
        <w:tc>
          <w:tcPr>
            <w:tcW w:type="dxa" w:w="3400"/>
            <w:shd w:fill="EAF0F9"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Adj. R² / AIC / BIC</w:t>
            </w:r>
          </w:p>
        </w:tc>
        <w:tc>
          <w:tcPr>
            <w:tcW w:type="dxa" w:w="334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0.911 / −134.2 / −118.4</w:t>
            </w:r>
          </w:p>
        </w:tc>
        <w:tc>
          <w:tcPr>
            <w:tcW w:type="dxa" w:w="334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0.821 / −84.6 / −68.8</w:t>
            </w:r>
          </w:p>
        </w:tc>
      </w:tr>
      <w:tr>
        <w:tc>
          <w:tcPr>
            <w:tcW w:type="dxa" w:w="34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Durbin-Watson</w:t>
            </w:r>
          </w:p>
        </w:tc>
        <w:tc>
          <w:tcPr>
            <w:tcW w:type="dxa" w:w="334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2.08</w:t>
            </w:r>
          </w:p>
        </w:tc>
        <w:tc>
          <w:tcPr>
            <w:tcW w:type="dxa" w:w="334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1.29</w:t>
            </w:r>
          </w:p>
        </w:tc>
      </w:tr>
    </w:tbl>
    <w:p>
      <w:pPr>
        <w:spacing w:after="200" w:before="80"/>
      </w:pPr>
      <w:r>
        <w:rPr>
          <w:rFonts w:ascii="Calibri" w:cs="Calibri" w:eastAsia="Calibri" w:hAnsi="Calibri"/>
          <w:i/>
          <w:iCs/>
          <w:color w:val="595959"/>
          <w:sz w:val="18"/>
          <w:szCs w:val="18"/>
        </w:rPr>
        <w:t xml:space="preserve">For the 1st Class model, ln(Fare_1st) is the own fare and ln(Fare_econ) the cross fare. Fits are strong (adj. R² 0.91 and 0.82), yet almost no price or economic coefficient is significant — the classic symptom of multicollinearity.</w:t>
      </w:r>
    </w:p>
    <w:p>
      <w:pPr>
        <w:pStyle w:val="Heading2"/>
        <w:spacing w:after="120" w:before="280"/>
      </w:pPr>
      <w:r>
        <w:rPr>
          <w:rFonts w:ascii="Calibri" w:cs="Calibri" w:eastAsia="Calibri" w:hAnsi="Calibri"/>
          <w:b/>
          <w:bCs/>
          <w:color w:val="2E5395"/>
          <w:sz w:val="24"/>
          <w:szCs w:val="24"/>
        </w:rPr>
        <w:t xml:space="preserve">3.2 Selecting Static or Dynamic</w:t>
      </w:r>
    </w:p>
    <w:p>
      <w:pPr>
        <w:spacing w:after="160" w:line="276"/>
        <w:jc w:val="both"/>
      </w:pPr>
      <w:r>
        <w:rPr>
          <w:rFonts w:ascii="Calibri" w:cs="Calibri" w:eastAsia="Calibri" w:hAnsi="Calibri"/>
          <w:sz w:val="21"/>
          <w:szCs w:val="21"/>
        </w:rPr>
        <w:t xml:space="preserve">Before any variable is eliminated, each class is assigned a functional form using the full baseline models already estimated above (Table 1 and its dynamic counterpart): the dynamic (lagged-demand) form is selected only if the lag coefficient γ is statistically significant at 5% in the baseline model containing all six candidate regressors. AIC is shown as supporting evidence, but a non-significant γ is not overridden by an AIC difference below 2, the conventional threshold for meaningful evidence.</w:t>
      </w:r>
    </w:p>
    <w:tbl>
      <w:tblPr>
        <w:tblW w:type="dxa" w:w="9280"/>
        <w:tblBorders>
          <w:top w:val="single" w:color="B7C6E0" w:sz="4"/>
          <w:left w:val="single" w:color="B7C6E0" w:sz="4"/>
          <w:bottom w:val="single" w:color="B7C6E0" w:sz="4"/>
          <w:right w:val="single" w:color="B7C6E0" w:sz="4"/>
          <w:insideH w:val="single" w:color="B7C6E0" w:sz="2"/>
          <w:insideV w:val="single" w:color="B7C6E0" w:sz="2"/>
        </w:tblBorders>
      </w:tblPr>
      <w:tblGrid>
        <w:gridCol w:w="1400"/>
        <w:gridCol w:w="1700"/>
        <w:gridCol w:w="1300"/>
        <w:gridCol w:w="1400"/>
        <w:gridCol w:w="1780"/>
        <w:gridCol w:w="1700"/>
      </w:tblGrid>
      <w:tr>
        <w:trPr>
          <w:tblHeader/>
        </w:trPr>
        <w:tc>
          <w:tcPr>
            <w:tcW w:type="dxa" w:w="1400"/>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Class</w:t>
            </w:r>
          </w:p>
        </w:tc>
        <w:tc>
          <w:tcPr>
            <w:tcW w:type="dxa" w:w="170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Baseline γ (p-value)</w:t>
            </w:r>
          </w:p>
        </w:tc>
        <w:tc>
          <w:tcPr>
            <w:tcW w:type="dxa" w:w="130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AIC static</w:t>
            </w:r>
          </w:p>
        </w:tc>
        <w:tc>
          <w:tcPr>
            <w:tcW w:type="dxa" w:w="140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AIC dynamic</w:t>
            </w:r>
          </w:p>
        </w:tc>
        <w:tc>
          <w:tcPr>
            <w:tcW w:type="dxa" w:w="178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ΔAIC (dyn − stat)</w:t>
            </w:r>
          </w:p>
        </w:tc>
        <w:tc>
          <w:tcPr>
            <w:tcW w:type="dxa" w:w="170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Form selected</w:t>
            </w:r>
          </w:p>
        </w:tc>
      </w:tr>
      <w:tr>
        <w:tc>
          <w:tcPr>
            <w:tcW w:type="dxa" w:w="14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Economy</w:t>
            </w:r>
          </w:p>
        </w:tc>
        <w:tc>
          <w:tcPr>
            <w:tcW w:type="dxa" w:w="17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+0.099 (0.623)</w:t>
            </w:r>
          </w:p>
        </w:tc>
        <w:tc>
          <w:tcPr>
            <w:tcW w:type="dxa" w:w="13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−129.01</w:t>
            </w:r>
          </w:p>
        </w:tc>
        <w:tc>
          <w:tcPr>
            <w:tcW w:type="dxa" w:w="14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−127.37</w:t>
            </w:r>
          </w:p>
        </w:tc>
        <w:tc>
          <w:tcPr>
            <w:tcW w:type="dxa" w:w="178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+1.64</w:t>
            </w:r>
          </w:p>
        </w:tc>
        <w:tc>
          <w:tcPr>
            <w:tcW w:type="dxa" w:w="17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Static</w:t>
            </w:r>
          </w:p>
        </w:tc>
      </w:tr>
      <w:tr>
        <w:tc>
          <w:tcPr>
            <w:tcW w:type="dxa" w:w="14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1st Class</w:t>
            </w:r>
          </w:p>
        </w:tc>
        <w:tc>
          <w:tcPr>
            <w:tcW w:type="dxa" w:w="17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+0.281 (0.131)</w:t>
            </w:r>
          </w:p>
        </w:tc>
        <w:tc>
          <w:tcPr>
            <w:tcW w:type="dxa" w:w="13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−81.39</w:t>
            </w:r>
          </w:p>
        </w:tc>
        <w:tc>
          <w:tcPr>
            <w:tcW w:type="dxa" w:w="14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−82.79</w:t>
            </w:r>
          </w:p>
        </w:tc>
        <w:tc>
          <w:tcPr>
            <w:tcW w:type="dxa" w:w="178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−1.40</w:t>
            </w:r>
          </w:p>
        </w:tc>
        <w:tc>
          <w:tcPr>
            <w:tcW w:type="dxa" w:w="17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Static</w:t>
            </w:r>
          </w:p>
        </w:tc>
      </w:tr>
    </w:tbl>
    <w:p>
      <w:pPr>
        <w:spacing w:after="160" w:line="276"/>
        <w:jc w:val="both"/>
      </w:pPr>
      <w:r>
        <w:rPr>
          <w:rFonts w:ascii="Calibri" w:cs="Calibri" w:eastAsia="Calibri" w:hAnsi="Calibri"/>
          <w:sz w:val="21"/>
          <w:szCs w:val="21"/>
        </w:rPr>
        <w:t xml:space="preserve">Static and dynamic refit on the common 35-quarter sample so AIC is directly comparable; ΔAIC &lt; 2 in both cases means the AIC evidence alone is inconclusive.</w:t>
      </w:r>
    </w:p>
    <w:p>
      <w:pPr>
        <w:spacing w:after="160" w:line="276"/>
        <w:jc w:val="both"/>
      </w:pPr>
      <w:r>
        <w:rPr>
          <w:rFonts w:ascii="Calibri" w:cs="Calibri" w:eastAsia="Calibri" w:hAnsi="Calibri"/>
          <w:sz w:val="21"/>
          <w:szCs w:val="21"/>
        </w:rPr>
        <w:t xml:space="preserve">Neither class's baseline γ is significant at 5%, so both are assigned the static form. For 1st Class this is a closer call than for Economy: the AIC difference actually favours the dynamic form (by 1.4), but that margin is below the conventional threshold for meaningful evidence and does not override the non-significant t-test on γ. Section 5.1 discusses how sensitive this particular decision is to the fact that γ is tested here while still sharing variance with several collinear regressors.</w:t>
      </w:r>
    </w:p>
    <w:p>
      <w:pPr>
        <w:pStyle w:val="Heading2"/>
        <w:spacing w:after="120" w:before="280"/>
      </w:pPr>
      <w:r>
        <w:rPr>
          <w:rFonts w:ascii="Calibri" w:cs="Calibri" w:eastAsia="Calibri" w:hAnsi="Calibri"/>
          <w:b/>
          <w:bCs/>
          <w:color w:val="2E5395"/>
          <w:sz w:val="24"/>
          <w:szCs w:val="24"/>
        </w:rPr>
        <w:t xml:space="preserve">3.3 Variable Selection by Backward Elimination</w:t>
      </w:r>
    </w:p>
    <w:p>
      <w:pPr>
        <w:spacing w:after="160" w:line="276"/>
        <w:jc w:val="both"/>
      </w:pPr>
      <w:r>
        <w:rPr>
          <w:rFonts w:ascii="Calibri" w:cs="Calibri" w:eastAsia="Calibri" w:hAnsi="Calibri"/>
          <w:sz w:val="21"/>
          <w:szCs w:val="21"/>
        </w:rPr>
        <w:t xml:space="preserve">Pairwise correlations flag ln(Employment) as the common thread: r = 0.88 with ln(AirFare), 0.77 with ln(GasPrice) and 0.76 with Economy ridership. Variance inflation factors confirm it: ln(Employment) has VIF = 13.4 and ln(Fare_1st) 11.7 in the baseline model, both above the rule-of-thumb limit of 10. Within whichever form Section 3.2 selected, the final variable set and coefficients for each class are obtained by backward elimination on the six candidate economic/service regressors (Fare_econ, Fare_1st, AirFare, GasPrice, Employment, Delays): the single candidate with the highest p-value is dropped and the model refit, repeating until everything left is significant at 5%. Quarter dummies are forced into every model throughout (Section 2.3). Because Section 3.2 assigned both classes the static form, the lag is not a candidate in either run below; had a class been assigned the dynamic form, its lag would instead have been forced into every fit, alongside the seasonal dummies, without being eliminable.</w:t>
      </w:r>
    </w:p>
    <w:tbl>
      <w:tblPr>
        <w:tblW w:type="dxa" w:w="10080"/>
        <w:tblBorders>
          <w:top w:val="single" w:color="B7C6E0" w:sz="4"/>
          <w:left w:val="single" w:color="B7C6E0" w:sz="4"/>
          <w:bottom w:val="single" w:color="B7C6E0" w:sz="4"/>
          <w:right w:val="single" w:color="B7C6E0" w:sz="4"/>
          <w:insideH w:val="single" w:color="B7C6E0" w:sz="2"/>
          <w:insideV w:val="single" w:color="B7C6E0" w:sz="2"/>
        </w:tblBorders>
      </w:tblPr>
      <w:tblGrid>
        <w:gridCol w:w="2000"/>
        <w:gridCol w:w="5200"/>
        <w:gridCol w:w="2880"/>
      </w:tblGrid>
      <w:tr>
        <w:trPr>
          <w:tblHeader/>
        </w:trPr>
        <w:tc>
          <w:tcPr>
            <w:tcW w:type="dxa" w:w="2000"/>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Class (form)</w:t>
            </w:r>
          </w:p>
        </w:tc>
        <w:tc>
          <w:tcPr>
            <w:tcW w:type="dxa" w:w="520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Candidates dropped, in order (p-value)</w:t>
            </w:r>
          </w:p>
        </w:tc>
        <w:tc>
          <w:tcPr>
            <w:tcW w:type="dxa" w:w="288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Final variables retained</w:t>
            </w:r>
          </w:p>
        </w:tc>
      </w:tr>
      <w:tr>
        <w:tc>
          <w:tcPr>
            <w:tcW w:type="dxa" w:w="20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Economy (static)</w:t>
            </w:r>
          </w:p>
        </w:tc>
        <w:tc>
          <w:tcPr>
            <w:tcW w:type="dxa" w:w="52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Fare_econ (0.652) → Delays (0.685) → GasPrice (0.521)</w:t>
            </w:r>
          </w:p>
        </w:tc>
        <w:tc>
          <w:tcPr>
            <w:tcW w:type="dxa" w:w="288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Fare_1st, AirFare, Employment</w:t>
            </w:r>
          </w:p>
        </w:tc>
      </w:tr>
      <w:tr>
        <w:tc>
          <w:tcPr>
            <w:tcW w:type="dxa" w:w="20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1st Class (static)</w:t>
            </w:r>
          </w:p>
        </w:tc>
        <w:tc>
          <w:tcPr>
            <w:tcW w:type="dxa" w:w="52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GasPrice (0.745) → Fare_econ (0.465) → AirFare (0.378) → Delays (0.446) → Employment (0.053)</w:t>
            </w:r>
          </w:p>
        </w:tc>
        <w:tc>
          <w:tcPr>
            <w:tcW w:type="dxa" w:w="288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Fare_1st</w:t>
            </w:r>
          </w:p>
        </w:tc>
      </w:tr>
    </w:tbl>
    <w:p>
      <w:pPr>
        <w:spacing w:after="160" w:line="276"/>
        <w:jc w:val="both"/>
      </w:pPr>
      <w:r>
        <w:rPr>
          <w:rFonts w:ascii="Calibri" w:cs="Calibri" w:eastAsia="Calibri" w:hAnsi="Calibri"/>
          <w:sz w:val="21"/>
          <w:szCs w:val="21"/>
        </w:rPr>
        <w:t xml:space="preserve">Each row runs backward elimination independently, from the full 6-regressor candidate list, until every remaining candidate is significant at 5%.</w:t>
      </w:r>
    </w:p>
    <w:p>
      <w:pPr>
        <w:pStyle w:val="Heading2"/>
        <w:spacing w:after="120" w:before="280"/>
      </w:pPr>
      <w:r>
        <w:rPr>
          <w:rFonts w:ascii="Calibri" w:cs="Calibri" w:eastAsia="Calibri" w:hAnsi="Calibri"/>
          <w:b/>
          <w:bCs/>
          <w:color w:val="2E5395"/>
          <w:sz w:val="24"/>
          <w:szCs w:val="24"/>
        </w:rPr>
        <w:t xml:space="preserve">3.4 Final Models: Economy and 1st Class</w:t>
      </w:r>
    </w:p>
    <w:p>
      <w:pPr>
        <w:pStyle w:val="Heading3"/>
        <w:spacing w:after="100" w:before="200"/>
      </w:pPr>
      <w:r>
        <w:rPr>
          <w:rFonts w:ascii="Calibri" w:cs="Calibri" w:eastAsia="Calibri" w:hAnsi="Calibri"/>
          <w:b/>
          <w:bCs/>
          <w:i/>
          <w:iCs/>
          <w:color w:val="595959"/>
          <w:sz w:val="21"/>
          <w:szCs w:val="21"/>
        </w:rPr>
        <w:t xml:space="preserve">Economy Class</w:t>
      </w:r>
    </w:p>
    <w:p>
      <w:pPr>
        <w:spacing w:after="160" w:line="276"/>
        <w:jc w:val="both"/>
      </w:pPr>
      <w:r>
        <w:rPr>
          <w:rFonts w:ascii="Calibri" w:cs="Calibri" w:eastAsia="Calibri" w:hAnsi="Calibri"/>
          <w:sz w:val="21"/>
          <w:szCs w:val="21"/>
        </w:rPr>
        <w:t xml:space="preserve">Static model, N = 36.</w:t>
      </w:r>
    </w:p>
    <w:tbl>
      <w:tblPr>
        <w:tblW w:type="dxa" w:w="10080"/>
        <w:tblBorders>
          <w:top w:val="single" w:color="B7C6E0" w:sz="4"/>
          <w:left w:val="single" w:color="B7C6E0" w:sz="4"/>
          <w:bottom w:val="single" w:color="B7C6E0" w:sz="4"/>
          <w:right w:val="single" w:color="B7C6E0" w:sz="4"/>
          <w:insideH w:val="single" w:color="B7C6E0" w:sz="2"/>
          <w:insideV w:val="single" w:color="B7C6E0" w:sz="2"/>
        </w:tblBorders>
      </w:tblPr>
      <w:tblGrid>
        <w:gridCol w:w="5040"/>
        <w:gridCol w:w="5040"/>
      </w:tblGrid>
      <w:tr>
        <w:trPr>
          <w:tblHeader/>
        </w:trPr>
        <w:tc>
          <w:tcPr>
            <w:tcW w:type="dxa" w:w="5040"/>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Variable</w:t>
            </w:r>
          </w:p>
        </w:tc>
        <w:tc>
          <w:tcPr>
            <w:tcW w:type="dxa" w:w="504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Coefficient (p-value)</w:t>
            </w:r>
          </w:p>
        </w:tc>
      </w:tr>
      <w:tr>
        <w:tc>
          <w:tcPr>
            <w:tcW w:type="dxa" w:w="504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ln(Fare_1st) — cross fare</w:t>
            </w:r>
          </w:p>
        </w:tc>
        <w:tc>
          <w:tcPr>
            <w:tcW w:type="dxa" w:w="504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−0.532 (0.007) ***</w:t>
            </w:r>
          </w:p>
        </w:tc>
      </w:tr>
      <w:tr>
        <w:tc>
          <w:tcPr>
            <w:tcW w:type="dxa" w:w="504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ln(AirFare)</w:t>
            </w:r>
          </w:p>
        </w:tc>
        <w:tc>
          <w:tcPr>
            <w:tcW w:type="dxa" w:w="504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+0.183 (0.006) ***</w:t>
            </w:r>
          </w:p>
        </w:tc>
      </w:tr>
      <w:tr>
        <w:tc>
          <w:tcPr>
            <w:tcW w:type="dxa" w:w="504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ln(Employment)</w:t>
            </w:r>
          </w:p>
        </w:tc>
        <w:tc>
          <w:tcPr>
            <w:tcW w:type="dxa" w:w="504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+1.013 (&lt;0.001) ***</w:t>
            </w:r>
          </w:p>
        </w:tc>
      </w:tr>
      <w:tr>
        <w:tc>
          <w:tcPr>
            <w:tcW w:type="dxa" w:w="504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Q2 (vs Q1)</w:t>
            </w:r>
          </w:p>
        </w:tc>
        <w:tc>
          <w:tcPr>
            <w:tcW w:type="dxa" w:w="504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−11.5% (&lt;0.001) ***</w:t>
            </w:r>
          </w:p>
        </w:tc>
      </w:tr>
      <w:tr>
        <w:tc>
          <w:tcPr>
            <w:tcW w:type="dxa" w:w="504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Q3 (vs Q1)</w:t>
            </w:r>
          </w:p>
        </w:tc>
        <w:tc>
          <w:tcPr>
            <w:tcW w:type="dxa" w:w="504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−5.3% (0.008) ***</w:t>
            </w:r>
          </w:p>
        </w:tc>
      </w:tr>
      <w:tr>
        <w:tc>
          <w:tcPr>
            <w:tcW w:type="dxa" w:w="504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Q4 (vs Q1)</w:t>
            </w:r>
          </w:p>
        </w:tc>
        <w:tc>
          <w:tcPr>
            <w:tcW w:type="dxa" w:w="504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+6.5% (&lt;0.001) ***</w:t>
            </w:r>
          </w:p>
        </w:tc>
      </w:tr>
      <w:tr>
        <w:tc>
          <w:tcPr>
            <w:tcW w:type="dxa" w:w="504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Adj. R² / AIC / BIC</w:t>
            </w:r>
          </w:p>
        </w:tc>
        <w:tc>
          <w:tcPr>
            <w:tcW w:type="dxa" w:w="504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0.918 / −139.2 / −128.1</w:t>
            </w:r>
          </w:p>
        </w:tc>
      </w:tr>
      <w:tr>
        <w:tc>
          <w:tcPr>
            <w:tcW w:type="dxa" w:w="504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Durbin-Watson</w:t>
            </w:r>
          </w:p>
        </w:tc>
        <w:tc>
          <w:tcPr>
            <w:tcW w:type="dxa" w:w="504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2.07</w:t>
            </w:r>
          </w:p>
        </w:tc>
      </w:tr>
    </w:tbl>
    <w:p>
      <w:pPr>
        <w:spacing w:after="160" w:line="276"/>
        <w:jc w:val="both"/>
      </w:pPr>
      <w:r>
        <w:rPr>
          <w:rFonts w:ascii="Calibri" w:cs="Calibri" w:eastAsia="Calibri" w:hAnsi="Calibri"/>
          <w:sz w:val="21"/>
          <w:szCs w:val="21"/>
        </w:rPr>
        <w:t xml:space="preserve">Significance: *** p&lt;0.01, ** p&lt;0.05, * p&lt;0.10.</w:t>
      </w:r>
    </w:p>
    <w:p>
      <w:pPr>
        <w:pStyle w:val="Heading3"/>
        <w:spacing w:after="100" w:before="200"/>
      </w:pPr>
      <w:r>
        <w:rPr>
          <w:rFonts w:ascii="Calibri" w:cs="Calibri" w:eastAsia="Calibri" w:hAnsi="Calibri"/>
          <w:b/>
          <w:bCs/>
          <w:i/>
          <w:iCs/>
          <w:color w:val="595959"/>
          <w:sz w:val="21"/>
          <w:szCs w:val="21"/>
        </w:rPr>
        <w:t xml:space="preserve">1st Class</w:t>
      </w:r>
    </w:p>
    <w:p>
      <w:pPr>
        <w:spacing w:after="160" w:line="276"/>
        <w:jc w:val="both"/>
      </w:pPr>
      <w:r>
        <w:rPr>
          <w:rFonts w:ascii="Calibri" w:cs="Calibri" w:eastAsia="Calibri" w:hAnsi="Calibri"/>
          <w:sz w:val="21"/>
          <w:szCs w:val="21"/>
        </w:rPr>
        <w:t xml:space="preserve">Static model, N = 36. Own fare is the only regressor to survive elimination (Table 2); its coefficient is positive, which is discussed in Section 4.3.</w:t>
      </w:r>
    </w:p>
    <w:tbl>
      <w:tblPr>
        <w:tblW w:type="dxa" w:w="10080"/>
        <w:tblBorders>
          <w:top w:val="single" w:color="B7C6E0" w:sz="4"/>
          <w:left w:val="single" w:color="B7C6E0" w:sz="4"/>
          <w:bottom w:val="single" w:color="B7C6E0" w:sz="4"/>
          <w:right w:val="single" w:color="B7C6E0" w:sz="4"/>
          <w:insideH w:val="single" w:color="B7C6E0" w:sz="2"/>
          <w:insideV w:val="single" w:color="B7C6E0" w:sz="2"/>
        </w:tblBorders>
      </w:tblPr>
      <w:tblGrid>
        <w:gridCol w:w="5040"/>
        <w:gridCol w:w="5040"/>
      </w:tblGrid>
      <w:tr>
        <w:trPr>
          <w:tblHeader/>
        </w:trPr>
        <w:tc>
          <w:tcPr>
            <w:tcW w:type="dxa" w:w="5040"/>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Variable</w:t>
            </w:r>
          </w:p>
        </w:tc>
        <w:tc>
          <w:tcPr>
            <w:tcW w:type="dxa" w:w="504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Coefficient (p-value)</w:t>
            </w:r>
          </w:p>
        </w:tc>
      </w:tr>
      <w:tr>
        <w:tc>
          <w:tcPr>
            <w:tcW w:type="dxa" w:w="504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ln(Fare_1st) — own fare</w:t>
            </w:r>
          </w:p>
        </w:tc>
        <w:tc>
          <w:tcPr>
            <w:tcW w:type="dxa" w:w="504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+1.128 (&lt;0.001) ***</w:t>
            </w:r>
          </w:p>
        </w:tc>
      </w:tr>
      <w:tr>
        <w:tc>
          <w:tcPr>
            <w:tcW w:type="dxa" w:w="504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Q2 (vs Q1)</w:t>
            </w:r>
          </w:p>
        </w:tc>
        <w:tc>
          <w:tcPr>
            <w:tcW w:type="dxa" w:w="504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−9.6% (0.004) ***</w:t>
            </w:r>
          </w:p>
        </w:tc>
      </w:tr>
      <w:tr>
        <w:tc>
          <w:tcPr>
            <w:tcW w:type="dxa" w:w="504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Q3 (vs Q1)</w:t>
            </w:r>
          </w:p>
        </w:tc>
        <w:tc>
          <w:tcPr>
            <w:tcW w:type="dxa" w:w="504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−18.0% (&lt;0.001) ***</w:t>
            </w:r>
          </w:p>
        </w:tc>
      </w:tr>
      <w:tr>
        <w:tc>
          <w:tcPr>
            <w:tcW w:type="dxa" w:w="504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Q4 (vs Q1)</w:t>
            </w:r>
          </w:p>
        </w:tc>
        <w:tc>
          <w:tcPr>
            <w:tcW w:type="dxa" w:w="504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+9.3% (0.008) ***</w:t>
            </w:r>
          </w:p>
        </w:tc>
      </w:tr>
      <w:tr>
        <w:tc>
          <w:tcPr>
            <w:tcW w:type="dxa" w:w="504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Adj. R² / AIC / BIC</w:t>
            </w:r>
          </w:p>
        </w:tc>
        <w:tc>
          <w:tcPr>
            <w:tcW w:type="dxa" w:w="504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0.816 / −87.40 / −79.48</w:t>
            </w:r>
          </w:p>
        </w:tc>
      </w:tr>
      <w:tr>
        <w:tc>
          <w:tcPr>
            <w:tcW w:type="dxa" w:w="504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Durbin-Watson</w:t>
            </w:r>
          </w:p>
        </w:tc>
        <w:tc>
          <w:tcPr>
            <w:tcW w:type="dxa" w:w="504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1.20</w:t>
            </w:r>
          </w:p>
        </w:tc>
      </w:tr>
    </w:tbl>
    <w:p>
      <w:pPr>
        <w:spacing w:after="160" w:line="276"/>
        <w:jc w:val="both"/>
      </w:pPr>
      <w:r>
        <w:rPr>
          <w:rFonts w:ascii="Calibri" w:cs="Calibri" w:eastAsia="Calibri" w:hAnsi="Calibri"/>
          <w:sz w:val="21"/>
          <w:szCs w:val="21"/>
        </w:rPr>
        <w:t xml:space="preserve">Significance: *** p&lt;0.01, ** p&lt;0.05, * p&lt;0.10.</w:t>
      </w:r>
    </w:p>
    <w:p>
      <w:pPr>
        <w:pStyle w:val="Heading2"/>
        <w:spacing w:after="120" w:before="280"/>
      </w:pPr>
      <w:r>
        <w:rPr>
          <w:rFonts w:ascii="Calibri" w:cs="Calibri" w:eastAsia="Calibri" w:hAnsi="Calibri"/>
          <w:b/>
          <w:bCs/>
          <w:color w:val="2E5395"/>
          <w:sz w:val="24"/>
          <w:szCs w:val="24"/>
        </w:rPr>
        <w:t xml:space="preserve">3.5 Diagnostics of the Final Models</w:t>
      </w:r>
    </w:p>
    <w:p>
      <w:pPr>
        <w:spacing w:after="160" w:line="276"/>
        <w:jc w:val="both"/>
      </w:pPr>
      <w:r>
        <w:rPr>
          <w:rFonts w:ascii="Calibri" w:cs="Calibri" w:eastAsia="Calibri" w:hAnsi="Calibri"/>
          <w:sz w:val="21"/>
          <w:szCs w:val="21"/>
        </w:rPr>
        <w:t xml:space="preserve">Both final models have low VIF: Economy's maximum is 5.2 (ln(Employment)); 1st Class has only one regressor besides the seasonal dummies, so its VIF is a trivial 1.2. Residual autocorrelation differs between the two: the Economy model is clean (Durbin-Watson = 2.07), but the 1st Class model shows positive residual autocorrelation (DW = 1.20), meaning its standard errors are likely too small and its own-fare t-statistic too optimistic. A lagged-demand term would ordinarily be the natural fix for this kind of autocorrelation, but Section 3.2 already ruled it out for this class before elimination began; Section 5.1 returns to this point.</w:t>
      </w:r>
    </w:p>
    <w:p>
      <w:pPr>
        <w:pStyle w:val="Heading1"/>
        <w:pBdr>
          <w:bottom w:val="single" w:color="1F3864" w:sz="8" w:space="4"/>
        </w:pBdr>
        <w:spacing w:after="160" w:before="360"/>
      </w:pPr>
      <w:r>
        <w:rPr>
          <w:rFonts w:ascii="Calibri" w:cs="Calibri" w:eastAsia="Calibri" w:hAnsi="Calibri"/>
          <w:b/>
          <w:bCs/>
          <w:color w:val="1F3864"/>
          <w:sz w:val="28"/>
          <w:szCs w:val="28"/>
        </w:rPr>
        <w:t xml:space="preserve">4. Elasticity Discussion of the Final Models</w:t>
      </w:r>
    </w:p>
    <w:p>
      <w:pPr>
        <w:spacing w:after="160" w:line="276"/>
        <w:jc w:val="both"/>
      </w:pPr>
      <w:r>
        <w:rPr>
          <w:rFonts w:ascii="Calibri" w:cs="Calibri" w:eastAsia="Calibri" w:hAnsi="Calibri"/>
          <w:sz w:val="21"/>
          <w:szCs w:val="21"/>
        </w:rPr>
        <w:t>In the final model, the log-log coefficients are elasticities and each quarter dummy is converted to a percentage difference from Q1. Every regressor that survives backward elimination is significant at 5% by construction, so all rows below are treated as evidence.</w:t>
      </w:r>
    </w:p>
    <w:p>
      <w:pPr>
        <w:pStyle w:val="Heading2"/>
        <w:spacing w:after="120" w:before="280"/>
      </w:pPr>
      <w:r>
        <w:rPr>
          <w:rFonts w:ascii="Calibri" w:cs="Calibri" w:eastAsia="Calibri" w:hAnsi="Calibri"/>
          <w:b/>
          <w:bCs/>
          <w:color w:val="2E5395"/>
          <w:sz w:val="24"/>
          <w:szCs w:val="24"/>
        </w:rPr>
        <w:t>4.1 Economy Class (final model)</w:t>
      </w:r>
    </w:p>
    <w:tbl>
      <w:tblPr>
        <w:tblW w:type="dxa" w:w="10180"/>
        <w:tblBorders>
          <w:top w:val="single" w:color="B7C6E0" w:sz="4"/>
          <w:left w:val="single" w:color="B7C6E0" w:sz="4"/>
          <w:bottom w:val="single" w:color="B7C6E0" w:sz="4"/>
          <w:right w:val="single" w:color="B7C6E0" w:sz="4"/>
          <w:insideH w:val="single" w:color="B7C6E0" w:sz="2"/>
          <w:insideV w:val="single" w:color="B7C6E0" w:sz="2"/>
        </w:tblBorders>
      </w:tblPr>
      <w:tblGrid>
        <w:gridCol w:w="1900"/>
        <w:gridCol w:w="1000"/>
        <w:gridCol w:w="900"/>
        <w:gridCol w:w="1300"/>
        <w:gridCol w:w="5080"/>
      </w:tblGrid>
      <w:tr>
        <w:trPr>
          <w:tblHeader/>
        </w:trPr>
        <w:tc>
          <w:tcPr>
            <w:tcW w:type="dxa" w:w="1900"/>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Variable</w:t>
            </w:r>
          </w:p>
        </w:tc>
        <w:tc>
          <w:tcPr>
            <w:tcW w:type="dxa" w:w="100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Elasticity</w:t>
            </w:r>
          </w:p>
        </w:tc>
        <w:tc>
          <w:tcPr>
            <w:tcW w:type="dxa" w:w="90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p-value</w:t>
            </w:r>
          </w:p>
        </w:tc>
        <w:tc>
          <w:tcPr>
            <w:tcW w:type="dxa" w:w="130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Result</w:t>
            </w:r>
          </w:p>
        </w:tc>
        <w:tc>
          <w:tcPr>
            <w:tcW w:type="dxa" w:w="5080"/>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Interpretation</w:t>
            </w:r>
          </w:p>
        </w:tc>
      </w:tr>
      <w:tr>
        <w:tc>
          <w:tcPr>
            <w:tcW w:type="dxa" w:w="19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Cross fare (1st Class)</w:t>
            </w:r>
          </w:p>
        </w:tc>
        <w:tc>
          <w:tcPr>
            <w:tcW w:type="dxa" w:w="10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−0.53</w:t>
            </w:r>
          </w:p>
        </w:tc>
        <w:tc>
          <w:tcPr>
            <w:tcW w:type="dxa" w:w="9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0.007</w:t>
            </w:r>
          </w:p>
        </w:tc>
        <w:tc>
          <w:tcPr>
            <w:tcW w:type="dxa" w:w="13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Significant</w:t>
            </w:r>
          </w:p>
        </w:tc>
        <w:tc>
          <w:tcPr>
            <w:tcW w:type="dxa" w:w="508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Negative — opposite to the substitution expected: a 10% higher 1st Class fare is associated with about 5.3% lower Economy ridership. Likely reflects a common demand shock or correlated fare-setting rather than true substitution (Section 4.3).</w:t>
            </w:r>
          </w:p>
        </w:tc>
      </w:tr>
      <w:tr>
        <w:tc>
          <w:tcPr>
            <w:tcW w:type="dxa" w:w="19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Air fare</w:t>
            </w:r>
          </w:p>
        </w:tc>
        <w:tc>
          <w:tcPr>
            <w:tcW w:type="dxa" w:w="10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+0.18</w:t>
            </w:r>
          </w:p>
        </w:tc>
        <w:tc>
          <w:tcPr>
            <w:tcW w:type="dxa" w:w="9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0.006</w:t>
            </w:r>
          </w:p>
        </w:tc>
        <w:tc>
          <w:tcPr>
            <w:tcW w:type="dxa" w:w="13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Significant</w:t>
            </w:r>
          </w:p>
        </w:tc>
        <w:tc>
          <w:tcPr>
            <w:tcW w:type="dxa" w:w="508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A 10% rise in air fares is associated with about 1.8% higher Economy ridership: a real but inelastic diversion from air to rail.</w:t>
            </w:r>
          </w:p>
        </w:tc>
      </w:tr>
      <w:tr>
        <w:tc>
          <w:tcPr>
            <w:tcW w:type="dxa" w:w="19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Regional employment</w:t>
            </w:r>
          </w:p>
        </w:tc>
        <w:tc>
          <w:tcPr>
            <w:tcW w:type="dxa" w:w="10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+1.01</w:t>
            </w:r>
          </w:p>
        </w:tc>
        <w:tc>
          <w:tcPr>
            <w:tcW w:type="dxa" w:w="9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&lt;0.001</w:t>
            </w:r>
          </w:p>
        </w:tc>
        <w:tc>
          <w:tcPr>
            <w:tcW w:type="dxa" w:w="13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Significant</w:t>
            </w:r>
          </w:p>
        </w:tc>
        <w:tc>
          <w:tcPr>
            <w:tcW w:type="dxa" w:w="508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Essentially unit-elastic: a 10% rise in regional employment goes with roughly a 10% rise in Economy ridership. The dominant driver of Economy demand.</w:t>
            </w:r>
          </w:p>
        </w:tc>
      </w:tr>
      <w:tr>
        <w:tc>
          <w:tcPr>
            <w:tcW w:type="dxa" w:w="19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Q2 vs Q1</w:t>
            </w:r>
          </w:p>
        </w:tc>
        <w:tc>
          <w:tcPr>
            <w:tcW w:type="dxa" w:w="10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−11.5%</w:t>
            </w:r>
          </w:p>
        </w:tc>
        <w:tc>
          <w:tcPr>
            <w:tcW w:type="dxa" w:w="9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&lt;0.001</w:t>
            </w:r>
          </w:p>
        </w:tc>
        <w:tc>
          <w:tcPr>
            <w:tcW w:type="dxa" w:w="13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Significant</w:t>
            </w:r>
          </w:p>
        </w:tc>
        <w:tc>
          <w:tcPr>
            <w:tcW w:type="dxa" w:w="508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Seasonal low.</w:t>
            </w:r>
          </w:p>
        </w:tc>
      </w:tr>
      <w:tr>
        <w:tc>
          <w:tcPr>
            <w:tcW w:type="dxa" w:w="19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Q3 vs Q1</w:t>
            </w:r>
          </w:p>
        </w:tc>
        <w:tc>
          <w:tcPr>
            <w:tcW w:type="dxa" w:w="10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−5.3%</w:t>
            </w:r>
          </w:p>
        </w:tc>
        <w:tc>
          <w:tcPr>
            <w:tcW w:type="dxa" w:w="9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0.008</w:t>
            </w:r>
          </w:p>
        </w:tc>
        <w:tc>
          <w:tcPr>
            <w:tcW w:type="dxa" w:w="13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Significant</w:t>
            </w:r>
          </w:p>
        </w:tc>
        <w:tc>
          <w:tcPr>
            <w:tcW w:type="dxa" w:w="508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Partial recovery.</w:t>
            </w:r>
          </w:p>
        </w:tc>
      </w:tr>
      <w:tr>
        <w:tc>
          <w:tcPr>
            <w:tcW w:type="dxa" w:w="19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Q4 vs Q1</w:t>
            </w:r>
          </w:p>
        </w:tc>
        <w:tc>
          <w:tcPr>
            <w:tcW w:type="dxa" w:w="10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+6.5%</w:t>
            </w:r>
          </w:p>
        </w:tc>
        <w:tc>
          <w:tcPr>
            <w:tcW w:type="dxa" w:w="9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&lt;0.001</w:t>
            </w:r>
          </w:p>
        </w:tc>
        <w:tc>
          <w:tcPr>
            <w:tcW w:type="dxa" w:w="13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Significant</w:t>
            </w:r>
          </w:p>
        </w:tc>
        <w:tc>
          <w:tcPr>
            <w:tcW w:type="dxa" w:w="508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Seasonal peak; peak-to-trough (Q2→Q4) about +20%.</w:t>
            </w:r>
          </w:p>
        </w:tc>
      </w:tr>
    </w:tbl>
    <w:p>
      <w:pPr>
        <w:spacing w:after="160" w:before="160"/>
        <w:jc w:val="both"/>
      </w:pPr>
      <w:r>
        <w:rPr>
          <w:rFonts w:ascii="Calibri" w:cs="Calibri" w:eastAsia="Calibri" w:hAnsi="Calibri"/>
          <w:sz w:val="21"/>
          <w:szCs w:val="21"/>
        </w:rPr>
        <w:t>Economy demand is driven mainly by regional economic activity and, secondarily, by air-fare competition; own fare does not survive backward elimination at all, so this analysis has no reliable evidence on Economy's sensitivity to its own price. Because the final model is static — elimination independently ruled out any role for lagged demand in this class (Section 3.2) — these are effects within the quarter, with no evidence that they build up over time.</w:t>
      </w:r>
    </w:p>
    <w:p>
      <w:pPr>
        <w:pStyle w:val="Heading2"/>
        <w:spacing w:after="120" w:before="280"/>
      </w:pPr>
      <w:r>
        <w:rPr>
          <w:rFonts w:ascii="Calibri" w:cs="Calibri" w:eastAsia="Calibri" w:hAnsi="Calibri"/>
          <w:b/>
          <w:bCs/>
          <w:color w:val="2E5395"/>
          <w:sz w:val="24"/>
          <w:szCs w:val="24"/>
        </w:rPr>
        <w:t>4.2 1st Class (final model)</w:t>
      </w:r>
    </w:p>
    <w:p>
      <w:pPr>
        <w:spacing w:after="160" w:line="276"/>
        <w:jc w:val="both"/>
      </w:pPr>
      <w:r>
        <w:rPr>
          <w:rFonts w:ascii="Calibri" w:cs="Calibri" w:eastAsia="Calibri" w:hAnsi="Calibri"/>
          <w:sz w:val="21"/>
          <w:szCs w:val="21"/>
        </w:rPr>
        <w:t xml:space="preserve">Own fare is the only regressor to survive elimination for this class (Section 3.3); its coefficient is significantly positive, which Section 4.3 discusses.</w:t>
      </w:r>
    </w:p>
    <w:tbl>
      <w:tblPr>
        <w:tblW w:type="dxa" w:w="10180"/>
        <w:tblBorders>
          <w:top w:val="single" w:color="B7C6E0" w:sz="4"/>
          <w:left w:val="single" w:color="B7C6E0" w:sz="4"/>
          <w:bottom w:val="single" w:color="B7C6E0" w:sz="4"/>
          <w:right w:val="single" w:color="B7C6E0" w:sz="4"/>
          <w:insideH w:val="single" w:color="B7C6E0" w:sz="2"/>
          <w:insideV w:val="single" w:color="B7C6E0" w:sz="2"/>
        </w:tblBorders>
      </w:tblPr>
      <w:tblGrid>
        <w:gridCol w:w="1900"/>
        <w:gridCol w:w="1000"/>
        <w:gridCol w:w="900"/>
        <w:gridCol w:w="1300"/>
        <w:gridCol w:w="5080"/>
      </w:tblGrid>
      <w:tr>
        <w:trPr>
          <w:tblHeader/>
        </w:trPr>
        <w:tc>
          <w:tcPr>
            <w:tcW w:type="dxa" w:w="1900"/>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Variable</w:t>
            </w:r>
          </w:p>
        </w:tc>
        <w:tc>
          <w:tcPr>
            <w:tcW w:type="dxa" w:w="100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Elasticity</w:t>
            </w:r>
          </w:p>
        </w:tc>
        <w:tc>
          <w:tcPr>
            <w:tcW w:type="dxa" w:w="90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p-value</w:t>
            </w:r>
          </w:p>
        </w:tc>
        <w:tc>
          <w:tcPr>
            <w:tcW w:type="dxa" w:w="130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Result</w:t>
            </w:r>
          </w:p>
        </w:tc>
        <w:tc>
          <w:tcPr>
            <w:tcW w:type="dxa" w:w="5080"/>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Interpretation</w:t>
            </w:r>
          </w:p>
        </w:tc>
      </w:tr>
      <w:tr>
        <w:tc>
          <w:tcPr>
            <w:tcW w:type="dxa" w:w="19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Own fare</w:t>
            </w:r>
          </w:p>
        </w:tc>
        <w:tc>
          <w:tcPr>
            <w:tcW w:type="dxa" w:w="10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+1.13</w:t>
            </w:r>
          </w:p>
        </w:tc>
        <w:tc>
          <w:tcPr>
            <w:tcW w:type="dxa" w:w="9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&lt;0.001</w:t>
            </w:r>
          </w:p>
        </w:tc>
        <w:tc>
          <w:tcPr>
            <w:tcW w:type="dxa" w:w="13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Significant</w:t>
            </w:r>
          </w:p>
        </w:tc>
        <w:tc>
          <w:tcPr>
            <w:tcW w:type="dxa" w:w="508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Positive — the wrong sign for a genuine demand curve: a 10% higher own fare is associated with about 11% higher 1st Class ridership. See Section 4.3.</w:t>
            </w:r>
          </w:p>
        </w:tc>
      </w:tr>
      <w:tr>
        <w:tc>
          <w:tcPr>
            <w:tcW w:type="dxa" w:w="19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Q2 vs Q1</w:t>
            </w:r>
          </w:p>
        </w:tc>
        <w:tc>
          <w:tcPr>
            <w:tcW w:type="dxa" w:w="10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−9.6%</w:t>
            </w:r>
          </w:p>
        </w:tc>
        <w:tc>
          <w:tcPr>
            <w:tcW w:type="dxa" w:w="9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0.004</w:t>
            </w:r>
          </w:p>
        </w:tc>
        <w:tc>
          <w:tcPr>
            <w:tcW w:type="dxa" w:w="13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Significant</w:t>
            </w:r>
          </w:p>
        </w:tc>
        <w:tc>
          <w:tcPr>
            <w:tcW w:type="dxa" w:w="508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Seasonal low.</w:t>
            </w:r>
          </w:p>
        </w:tc>
      </w:tr>
      <w:tr>
        <w:tc>
          <w:tcPr>
            <w:tcW w:type="dxa" w:w="19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Q3 vs Q1</w:t>
            </w:r>
          </w:p>
        </w:tc>
        <w:tc>
          <w:tcPr>
            <w:tcW w:type="dxa" w:w="10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−18.0%</w:t>
            </w:r>
          </w:p>
        </w:tc>
        <w:tc>
          <w:tcPr>
            <w:tcW w:type="dxa" w:w="9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&lt;0.001</w:t>
            </w:r>
          </w:p>
        </w:tc>
        <w:tc>
          <w:tcPr>
            <w:tcW w:type="dxa" w:w="13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Significant</w:t>
            </w:r>
          </w:p>
        </w:tc>
        <w:tc>
          <w:tcPr>
            <w:tcW w:type="dxa" w:w="508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Deepest seasonal trough.</w:t>
            </w:r>
          </w:p>
        </w:tc>
      </w:tr>
      <w:tr>
        <w:tc>
          <w:tcPr>
            <w:tcW w:type="dxa" w:w="19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Q4 vs Q1</w:t>
            </w:r>
          </w:p>
        </w:tc>
        <w:tc>
          <w:tcPr>
            <w:tcW w:type="dxa" w:w="10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+9.3%</w:t>
            </w:r>
          </w:p>
        </w:tc>
        <w:tc>
          <w:tcPr>
            <w:tcW w:type="dxa" w:w="9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0.008</w:t>
            </w:r>
          </w:p>
        </w:tc>
        <w:tc>
          <w:tcPr>
            <w:tcW w:type="dxa" w:w="13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Significant</w:t>
            </w:r>
          </w:p>
        </w:tc>
        <w:tc>
          <w:tcPr>
            <w:tcW w:type="dxa" w:w="508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Seasonal peak; peak-to-trough (Q3→Q4) about +33%.</w:t>
            </w:r>
          </w:p>
        </w:tc>
      </w:tr>
    </w:tbl>
    <w:p>
      <w:pPr>
        <w:pStyle w:val="Heading2"/>
        <w:spacing w:after="120" w:before="280"/>
      </w:pPr>
      <w:r>
        <w:rPr>
          <w:rFonts w:ascii="Calibri" w:cs="Calibri" w:eastAsia="Calibri" w:hAnsi="Calibri"/>
          <w:b/>
          <w:bCs/>
          <w:color w:val="2E5395"/>
          <w:sz w:val="24"/>
          <w:szCs w:val="24"/>
        </w:rPr>
        <w:t xml:space="preserve">4.3 The Own-Fare Puzzle</w:t>
      </w:r>
    </w:p>
    <w:p>
      <w:pPr>
        <w:spacing w:after="160" w:line="276"/>
        <w:jc w:val="both"/>
      </w:pPr>
      <w:r>
        <w:rPr>
          <w:rFonts w:ascii="Calibri" w:cs="Calibri" w:eastAsia="Calibri" w:hAnsi="Calibri"/>
          <w:sz w:val="21"/>
          <w:szCs w:val="21"/>
        </w:rPr>
        <w:t>Both final models show a wrong-signed price coefficient, but for different variables. For 1st Class, own fare is the only regressor to survive elimination, with a significant positive coefficient (+1.13, p &lt; 0.001) — higher fares associated with higher ridership, the opposite of standard demand theory. Multicollinearity is an unlikely explanation: its VIF is a trivial 1.2, and it is the sole non-seasonal regressor in the model, so there is nothing left for it to be collinear with. A more probable cause is price endogeneity: average fare per km can rise because demand is high (through yield management or peak pricing), so the regression partly captures demand pushing fares up rather than fares pushing demand down.</w:t>
      </w:r>
    </w:p>
    <w:p>
      <w:pPr>
        <w:spacing w:after="160" w:line="276"/>
        <w:jc w:val="both"/>
      </w:pPr>
      <w:r>
        <w:rPr>
          <w:rFonts w:ascii="Calibri" w:cs="Calibri" w:eastAsia="Calibri" w:hAnsi="Calibri"/>
          <w:sz w:val="21"/>
          <w:szCs w:val="21"/>
        </w:rPr>
        <w:t xml:space="preserve">For Economy, the sign anomaly is instead in the cross-fare coefficient, which is significantly negative (−0.53) when substitution between the two classes would predict positive. As with 1st Class own fare, multicollinearity is unlikely (every final-model VIF is below 6, Section 3.5) and the sign is stable across the elimination run. The same endogenous fare-setting story plausibly applies here too: 1st Class fares may move with factors that also drive Economy demand, producing a spurious negative association rather than a genuine cross-price effect. Fare coefficients in this report — own or cross — should therefore not be used for fare-policy simulation without an instrument or better price data.</w:t>
      </w:r>
    </w:p>
    <w:p>
      <w:pPr>
        <w:pStyle w:val="Heading2"/>
        <w:spacing w:after="120" w:before="280"/>
      </w:pPr>
      <w:r>
        <w:rPr>
          <w:rFonts w:ascii="Calibri" w:cs="Calibri" w:eastAsia="Calibri" w:hAnsi="Calibri"/>
          <w:b/>
          <w:bCs/>
          <w:color w:val="2E5395"/>
          <w:sz w:val="24"/>
          <w:szCs w:val="24"/>
        </w:rPr>
        <w:t xml:space="preserve">4.4 Comparison and Implications</w:t>
      </w:r>
    </w:p>
    <w:p>
      <w:pPr>
        <w:pStyle w:val="ListParagraph"/>
        <w:numPr>
          <w:ilvl w:val="0"/>
          <w:numId w:val="2"/>
        </w:numPr>
        <w:spacing w:after="80"/>
      </w:pPr>
      <w:r>
        <w:rPr>
          <w:rFonts w:ascii="Calibri" w:cs="Calibri" w:eastAsia="Calibri" w:hAnsi="Calibri"/>
          <w:sz w:val="21"/>
          <w:szCs w:val="21"/>
        </w:rPr>
        <w:t>Economy ridership is tied to the regional economy (elasticity about 1) and air-fare competition; 1st Class ridership is tied almost entirely to its own fare (positive, see Section 4.3) and season. Neither class's final model contains a lagged-demand term (Section 3.2).</w:t>
      </w:r>
    </w:p>
    <w:p>
      <w:pPr>
        <w:pStyle w:val="ListParagraph"/>
        <w:numPr>
          <w:ilvl w:val="0"/>
          <w:numId w:val="2"/>
        </w:numPr>
        <w:spacing w:after="80"/>
      </w:pPr>
      <w:r>
        <w:rPr>
          <w:rFonts w:ascii="Calibri" w:cs="Calibri" w:eastAsia="Calibri" w:hAnsi="Calibri"/>
          <w:sz w:val="21"/>
          <w:szCs w:val="21"/>
        </w:rPr>
        <w:t>Both classes have strong, stable seasonality, but 1st Class swings much more — about 33% between its Q3 trough and Q4 peak versus about 20% for Economy — so 1st Class capacity (rolling stock allocation, staffing) needs to flex more between quarters than Economy capacity.</w:t>
      </w:r>
    </w:p>
    <w:p>
      <w:pPr>
        <w:pStyle w:val="ListParagraph"/>
        <w:numPr>
          <w:ilvl w:val="0"/>
          <w:numId w:val="2"/>
        </w:numPr>
        <w:spacing w:after="80"/>
      </w:pPr>
      <w:r>
        <w:rPr>
          <w:rFonts w:ascii="Calibri" w:cs="Calibri" w:eastAsia="Calibri" w:hAnsi="Calibri"/>
          <w:sz w:val="21"/>
          <w:szCs w:val="21"/>
        </w:rPr>
        <w:t>This analysis finds no statistical support for habit persistence in either segment: both baseline γ estimates are insignificant at 5% (Section 3.2), so the decision rule used here assigns both classes the static form before any variable elimination takes place. Section 5.1 flags that, for 1st Class specifically, this conclusion is sensitive to the order in which the test is carried out.</w:t>
      </w:r>
    </w:p>
    <w:p>
      <w:pPr>
        <w:pStyle w:val="ListParagraph"/>
        <w:numPr>
          <w:ilvl w:val="0"/>
          <w:numId w:val="2"/>
        </w:numPr>
        <w:spacing w:after="80"/>
      </w:pPr>
      <w:r>
        <w:rPr>
          <w:rFonts w:ascii="Calibri" w:cs="Calibri" w:eastAsia="Calibri" w:hAnsi="Calibri"/>
          <w:sz w:val="21"/>
          <w:szCs w:val="21"/>
        </w:rPr>
        <w:t>The two classes' price anomalies point in different directions — 1st Class's own fare is wrong-signed, Economy's cross fare is wrong-signed — but both are consistent with the same underlying explanation: fares that respond to demand rather than the other way around (Section 4.3).</w:t>
      </w:r>
    </w:p>
    <w:p>
      <w:pPr>
        <w:pageBreakBefore/>
      </w:pPr>
    </w:p>
    <w:p>
      <w:pPr>
        <w:pStyle w:val="Heading1"/>
        <w:pBdr>
          <w:bottom w:val="single" w:color="1F3864" w:sz="8" w:space="4"/>
        </w:pBdr>
        <w:spacing w:after="160" w:before="360"/>
      </w:pPr>
      <w:r>
        <w:rPr>
          <w:rFonts w:ascii="Calibri" w:cs="Calibri" w:eastAsia="Calibri" w:hAnsi="Calibri"/>
          <w:b/>
          <w:bCs/>
          <w:color w:val="1F3864"/>
          <w:sz w:val="28"/>
          <w:szCs w:val="28"/>
        </w:rPr>
        <w:t xml:space="preserve">5. Limitations and Conclusion</w:t>
      </w:r>
    </w:p>
    <w:p>
      <w:pPr>
        <w:pStyle w:val="Heading2"/>
        <w:spacing w:after="120" w:before="280"/>
      </w:pPr>
      <w:r>
        <w:rPr>
          <w:rFonts w:ascii="Calibri" w:cs="Calibri" w:eastAsia="Calibri" w:hAnsi="Calibri"/>
          <w:b/>
          <w:bCs/>
          <w:color w:val="2E5395"/>
          <w:sz w:val="24"/>
          <w:szCs w:val="24"/>
        </w:rPr>
        <w:t xml:space="preserve">5.1 Limitations</w:t>
      </w:r>
    </w:p>
    <w:p>
      <w:pPr>
        <w:pStyle w:val="ListParagraph"/>
        <w:numPr>
          <w:ilvl w:val="0"/>
          <w:numId w:val="2"/>
        </w:numPr>
        <w:spacing w:after="80"/>
      </w:pPr>
      <w:r>
        <w:rPr>
          <w:rFonts w:ascii="Calibri" w:cs="Calibri" w:eastAsia="Calibri" w:hAnsi="Calibri"/>
          <w:sz w:val="21"/>
          <w:szCs w:val="21"/>
        </w:rPr>
        <w:t>Price endogeneity: 1st Class own fare and Economy cross fare are both wrong-signed (Section 4.3), most plausibly because fares respond to demand rather than the other way around. This is the main weakness of the models and limits their use for fare-policy analysis.</w:t>
      </w:r>
    </w:p>
    <w:p>
      <w:pPr>
        <w:pStyle w:val="ListParagraph"/>
        <w:numPr>
          <w:ilvl w:val="0"/>
          <w:numId w:val="2"/>
        </w:numPr>
        <w:spacing w:after="80"/>
      </w:pPr>
      <w:r>
        <w:rPr>
          <w:rFonts w:ascii="Calibri" w:cs="Calibri" w:eastAsia="Calibri" w:hAnsi="Calibri"/>
          <w:sz w:val="21"/>
          <w:szCs w:val="21"/>
        </w:rPr>
        <w:t>Order-sensitivity of the static/dynamic decision: γ is tested in the full baseline model, while still sharing variance with five collinear regressors (Section 3.2). A supplementary check — running backward elimination with the lag included as an ordinary candidate rather than pre-deciding its inclusion — shows 1st Class's γ becomes clearly significant (p = 0.002) once those collinear regressors are removed first. The “no lagged demand” conclusion for 1st Class in this report is therefore a consequence of the pre-committed decision rule and its ordering, not decisive evidence against habit persistence in that segment.</w:t>
      </w:r>
    </w:p>
    <w:p>
      <w:pPr>
        <w:pStyle w:val="ListParagraph"/>
        <w:numPr>
          <w:ilvl w:val="0"/>
          <w:numId w:val="2"/>
        </w:numPr>
        <w:spacing w:after="80"/>
      </w:pPr>
      <w:r>
        <w:rPr>
          <w:rFonts w:ascii="Calibri" w:cs="Calibri" w:eastAsia="Calibri" w:hAnsi="Calibri"/>
          <w:sz w:val="21"/>
          <w:szCs w:val="21"/>
        </w:rPr>
        <w:t>Backward elimination as a selection method: dropping variables based on in-sample p-values is known to inflate the apparent precision of what survives (post-selection inference) — the reported p-values and standard errors should be read as descriptive of this sample rather than as fully valid inferential statistics for a model specified in advance.</w:t>
      </w:r>
    </w:p>
    <w:p>
      <w:pPr>
        <w:pStyle w:val="ListParagraph"/>
        <w:numPr>
          <w:ilvl w:val="0"/>
          <w:numId w:val="2"/>
        </w:numPr>
        <w:spacing w:after="80"/>
      </w:pPr>
      <w:r>
        <w:rPr>
          <w:rFonts w:ascii="Calibri" w:cs="Calibri" w:eastAsia="Calibri" w:hAnsi="Calibri"/>
          <w:sz w:val="21"/>
          <w:szCs w:val="21"/>
        </w:rPr>
        <w:t>Small sample: 36 quarterly observations for 4-6 parameters per final model. Backward elimination kept the parameter count low, which helps given the sample size, but power for any regressor that was dropped remains limited — a variable eliminated here (e.g. GasPrice, Delays) could still have a genuine but undetectably small effect. Elimination also used α = 5% throughout; some dropped regressors were close to that cutoff (notably Employment for 1st Class, p = 0.053), so a looser threshold could retain a different variable set.</w:t>
      </w:r>
    </w:p>
    <w:p>
      <w:pPr>
        <w:pStyle w:val="ListParagraph"/>
        <w:numPr>
          <w:ilvl w:val="0"/>
          <w:numId w:val="2"/>
        </w:numPr>
        <w:spacing w:after="80"/>
      </w:pPr>
      <w:r>
        <w:rPr>
          <w:rFonts w:ascii="Calibri" w:cs="Calibri" w:eastAsia="Calibri" w:hAnsi="Calibri"/>
          <w:sz w:val="21"/>
          <w:szCs w:val="21"/>
        </w:rPr>
        <w:t>Seasonality is pooled across years; the year-by-year check (Section 2.3) supports this for Economy, with somewhat more drift for 1st Class.</w:t>
      </w:r>
    </w:p>
    <w:p>
      <w:pPr>
        <w:pStyle w:val="ListParagraph"/>
        <w:numPr>
          <w:ilvl w:val="0"/>
          <w:numId w:val="2"/>
        </w:numPr>
        <w:spacing w:after="80"/>
      </w:pPr>
      <w:r>
        <w:rPr>
          <w:rFonts w:ascii="Calibri" w:cs="Calibri" w:eastAsia="Calibri" w:hAnsi="Calibri"/>
          <w:sz w:val="21"/>
          <w:szCs w:val="21"/>
        </w:rPr>
        <w:t>Omitted variables and simultaneity: none of the models account for the possibility that fares, ridership and even schedule delays are jointly determined (for example, an operator raising 1st Class fares in response to strong demand, or adjusting schedules after a demand shock). Addressing this rigorously would need instruments or a structural (simultaneous-equations) model, which this dataset (36 quarterly observations, one corridor) cannot support.</w:t>
      </w:r>
    </w:p>
    <w:p>
      <w:pPr>
        <w:pStyle w:val="Heading2"/>
        <w:spacing w:after="120" w:before="280"/>
      </w:pPr>
      <w:r>
        <w:rPr>
          <w:rFonts w:ascii="Calibri" w:cs="Calibri" w:eastAsia="Calibri" w:hAnsi="Calibri"/>
          <w:b/>
          <w:bCs/>
          <w:color w:val="2E5395"/>
          <w:sz w:val="24"/>
          <w:szCs w:val="24"/>
        </w:rPr>
        <w:t xml:space="preserve">5.2 Conclusion</w:t>
      </w:r>
    </w:p>
    <w:p>
      <w:pPr>
        <w:spacing w:after="160" w:line="276"/>
        <w:jc w:val="both"/>
      </w:pPr>
      <w:r>
        <w:rPr>
          <w:rFonts w:ascii="Calibri" w:cs="Calibri" w:eastAsia="Calibri" w:hAnsi="Calibri"/>
          <w:sz w:val="21"/>
          <w:szCs w:val="21"/>
        </w:rPr>
        <w:t>Log-log direct demand models were estimated for Economy and 1st Class ridership. For each class, the choice between a static and a dynamic (partial-adjustment) specification was made first, using a significance test on the lagged-ridership coefficient in the full baseline model (Section 3.2); backward elimination was then used to select the final variables and coefficients within whichever form was chosen (Section 3.3). Neither class's baseline lag coefficient is significant at 5% (Economy p = 0.623; 1st Class p = 0.131, with only a weak, inconclusive AIC edge toward the dynamic form), so both are assigned the static form and neither final model contains a lagged-demand term. The final Economy model retains cross fare, air fare and regional employment, which dominates (elasticity ≈ 1), with strong seasonality. The final 1st Class model retains only own fare, with a significant positive coefficient (+1.13) — the wrong sign for a genuine demand curve — alongside its own strong seasonality. This own-fare puzzle, together with Economy's significantly negative cross-fare coefficient, is most plausibly a symptom of price endogeneity (fares responding to demand) rather than a real behavioural relationship, and fare coefficients in this report should not be used for fare-policy simulation without an instrument. A secondary caveat concerns the order in which the static/dynamic decision was made: testing the lag's significance in the full, collinear baseline model can mask a real effect, and a supplementary check shows 1st Class's lag becomes clearly significant once the other collinear regressors are removed first (Section 5.1) — so the finding of “no lagged demand” for 1st Class should be read as a consequence of the decision rule and its ordering, not as conclusive evidence against habit persistence in that segment.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C6E0" w:sz="4" w:space="4"/>
      </w:pBdr>
      <w:jc w:val="right"/>
    </w:pPr>
    <w:r>
      <w:rPr>
        <w:rFonts w:ascii="Calibri" w:cs="Calibri" w:eastAsia="Calibri" w:hAnsi="Calibri"/>
        <w:i/>
        <w:iCs/>
        <w:color w:val="595959"/>
        <w:sz w:val="16"/>
        <w:szCs w:val="16"/>
      </w:rPr>
      <w:t xml:space="preserve">Direct Demand Model — Corridor Ridership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2026-09-21T21:56:36.262Z</dcterms:created>
  <dcterms:modified xsi:type="dcterms:W3CDTF">2026-09-21T21:56:36.270Z</dcterms:modified>
</cp:coreProperties>
</file>

<file path=docProps/custom.xml><?xml version="1.0" encoding="utf-8"?>
<Properties xmlns="http://schemas.openxmlformats.org/officeDocument/2006/custom-properties" xmlns:vt="http://schemas.openxmlformats.org/officeDocument/2006/docPropsVTypes"/>
</file>