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40"/>
          <w:szCs w:val="40"/>
        </w:rPr>
        <w:t xml:space="preserve">DIRECT DEMAND MODELING OF INTERCITY</w:t>
      </w:r>
    </w:p>
    <w:p>
      <w:pPr>
        <w:spacing w:after="480"/>
        <w:jc w:val="center"/>
      </w:pPr>
      <w:r>
        <w:rPr>
          <w:rFonts w:ascii="Calibri" w:cs="Calibri" w:eastAsia="Calibri" w:hAnsi="Calibri"/>
          <w:b/>
          <w:bCs/>
          <w:color w:val="1F3864"/>
          <w:sz w:val="40"/>
          <w:szCs w:val="40"/>
        </w:rPr>
        <w:t xml:space="preserve">TRANSIT CORRIDOR RIDERSHIP</w:t>
      </w:r>
    </w:p>
    <w:p>
      <w:pPr>
        <w:spacing w:after="120"/>
        <w:jc w:val="center"/>
      </w:pPr>
      <w:r>
        <w:rPr>
          <w:rFonts w:ascii="Calibri" w:cs="Calibri" w:eastAsia="Calibri" w:hAnsi="Calibri"/>
          <w:i/>
          <w:iCs/>
          <w:color w:val="2E5395"/>
          <w:sz w:val="24"/>
          <w:szCs w:val="24"/>
        </w:rPr>
        <w:t xml:space="preserve">Economy and 1st Class Passenger Segments, with an Investigation of Lagged Demand</w:t>
      </w:r>
    </w:p>
    <w:p>
      <w:pPr>
        <w:pBdr>
          <w:top w:val="single" w:color="B7C6E0" w:sz="6" w:space="8"/>
        </w:pBdr>
        <w:spacing w:after="80" w:before="900"/>
        <w:jc w:val="center"/>
      </w:pPr>
    </w:p>
    <w:p>
      <w:pPr>
        <w:spacing w:after="40"/>
        <w:jc w:val="center"/>
      </w:pPr>
      <w:r>
        <w:rPr>
          <w:rFonts w:ascii="Calibri" w:cs="Calibri" w:eastAsia="Calibri" w:hAnsi="Calibri"/>
          <w:sz w:val="22"/>
          <w:szCs w:val="22"/>
        </w:rPr>
        <w:t xml:space="preserve">Prepared by: [Your Name]</w:t>
      </w:r>
    </w:p>
    <w:p>
      <w:pPr>
        <w:spacing w:after="40"/>
        <w:jc w:val="center"/>
      </w:pPr>
      <w:r>
        <w:rPr>
          <w:rFonts w:ascii="Calibri" w:cs="Calibri" w:eastAsia="Calibri" w:hAnsi="Calibri"/>
          <w:sz w:val="22"/>
          <w:szCs w:val="22"/>
        </w:rPr>
        <w:t xml:space="preserve">Course: [Course Name / Number]</w:t>
      </w:r>
    </w:p>
    <w:p>
      <w:pPr>
        <w:spacing w:after="40"/>
        <w:jc w:val="center"/>
      </w:pPr>
      <w:r>
        <w:rPr>
          <w:rFonts w:ascii="Calibri" w:cs="Calibri" w:eastAsia="Calibri" w:hAnsi="Calibri"/>
          <w:sz w:val="22"/>
          <w:szCs w:val="22"/>
        </w:rPr>
        <w:t xml:space="preserve">Instructor: [Instructor Name]</w:t>
      </w:r>
    </w:p>
    <w:p>
      <w:pPr>
        <w:spacing w:after="40"/>
        <w:jc w:val="center"/>
      </w:pPr>
      <w:r>
        <w:rPr>
          <w:rFonts w:ascii="Calibri" w:cs="Calibri" w:eastAsia="Calibri" w:hAnsi="Calibri"/>
          <w:sz w:val="22"/>
          <w:szCs w:val="22"/>
        </w:rPr>
        <w:t xml:space="preserve">Date: [Submission Date]</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1. Introduction</w:t>
      </w:r>
    </w:p>
    <w:p>
      <w:pPr>
        <w:pStyle w:val="Heading2"/>
        <w:spacing w:after="120" w:before="280"/>
      </w:pPr>
      <w:r>
        <w:rPr>
          <w:rFonts w:ascii="Calibri" w:cs="Calibri" w:eastAsia="Calibri" w:hAnsi="Calibri"/>
          <w:b/>
          <w:bCs/>
          <w:color w:val="2E5395"/>
          <w:sz w:val="24"/>
          <w:szCs w:val="24"/>
        </w:rPr>
        <w:t xml:space="preserve">1.1 Objectives</w:t>
      </w:r>
    </w:p>
    <w:p>
      <w:pPr>
        <w:spacing w:after="160" w:line="276"/>
        <w:jc w:val="both"/>
      </w:pPr>
      <w:r>
        <w:rPr>
          <w:rFonts w:ascii="Calibri" w:cs="Calibri" w:eastAsia="Calibri" w:hAnsi="Calibri"/>
          <w:sz w:val="21"/>
          <w:szCs w:val="21"/>
        </w:rPr>
        <w:t xml:space="preserve">Transit agencies use </w:t>
      </w:r>
      <w:r>
        <w:rPr>
          <w:rFonts w:ascii="Calibri" w:cs="Calibri" w:eastAsia="Calibri" w:hAnsi="Calibri"/>
          <w:b/>
          <w:bCs/>
          <w:sz w:val="21"/>
          <w:szCs w:val="21"/>
        </w:rPr>
        <w:t xml:space="preserve">direct demand models (DDMs)</w:t>
      </w:r>
      <w:r>
        <w:rPr>
          <w:rFonts w:ascii="Calibri" w:cs="Calibri" w:eastAsia="Calibri" w:hAnsi="Calibri"/>
          <w:sz w:val="21"/>
          <w:szCs w:val="21"/>
        </w:rPr>
        <w:t xml:space="preserve"> — reduced-form econometric models that regress ridership directly on the price, competition, economic and service-quality factors believed to drive it — to forecast ridership and to gauge how sensitive demand is to fares, competing modes and service quality, without the overhead of a full four-step travel demand model. This report develops direct demand models for quarterly ridership on an intercity rail corridor, disaggregated by service class, using nine years (36 quarters) of corridor-level data. It has three objectives:</w:t>
      </w:r>
    </w:p>
    <w:p>
      <w:pPr>
        <w:pStyle w:val="ListParagraph"/>
        <w:numPr>
          <w:ilvl w:val="0"/>
          <w:numId w:val="2"/>
        </w:numPr>
        <w:spacing w:after="80"/>
      </w:pPr>
      <w:r>
        <w:rPr>
          <w:rFonts w:ascii="Calibri" w:cs="Calibri" w:eastAsia="Calibri" w:hAnsi="Calibri"/>
          <w:sz w:val="21"/>
          <w:szCs w:val="21"/>
        </w:rPr>
        <w:t xml:space="preserve">Formulate and estimate a direct demand model for each passenger segment — Economy Class and 1st Class — explaining quarterly ridership by own and cross fares, competing-mode costs, regional economic activity, on-time performance and seasonality.</w:t>
      </w:r>
    </w:p>
    <w:p>
      <w:pPr>
        <w:pStyle w:val="ListParagraph"/>
        <w:numPr>
          <w:ilvl w:val="0"/>
          <w:numId w:val="2"/>
        </w:numPr>
        <w:spacing w:after="80"/>
      </w:pPr>
      <w:r>
        <w:rPr>
          <w:rFonts w:ascii="Calibri" w:cs="Calibri" w:eastAsia="Calibri" w:hAnsi="Calibri"/>
          <w:sz w:val="21"/>
          <w:szCs w:val="21"/>
        </w:rPr>
        <w:t xml:space="preserve">Investigate the role of lagged demand: whether current ridership depends not only on current conditions but also, through habit persistence or gradual (partial) adjustment, on the previous quarter's ridership — and how this changes short-run versus long-run responsiveness.</w:t>
      </w:r>
    </w:p>
    <w:p>
      <w:pPr>
        <w:pStyle w:val="ListParagraph"/>
        <w:numPr>
          <w:ilvl w:val="0"/>
          <w:numId w:val="2"/>
        </w:numPr>
        <w:spacing w:after="80"/>
      </w:pPr>
      <w:r>
        <w:rPr>
          <w:rFonts w:ascii="Calibri" w:cs="Calibri" w:eastAsia="Calibri" w:hAnsi="Calibri"/>
          <w:sz w:val="21"/>
          <w:szCs w:val="21"/>
        </w:rPr>
        <w:t xml:space="preserve">Diagnose and address multicollinearity among the explanatory variables, and use that evidence to select one final model specification per segment.</w:t>
      </w:r>
    </w:p>
    <w:p>
      <w:pPr>
        <w:pStyle w:val="Heading2"/>
        <w:spacing w:after="120" w:before="280"/>
      </w:pPr>
      <w:r>
        <w:rPr>
          <w:rFonts w:ascii="Calibri" w:cs="Calibri" w:eastAsia="Calibri" w:hAnsi="Calibri"/>
          <w:b/>
          <w:bCs/>
          <w:color w:val="2E5395"/>
          <w:sz w:val="24"/>
          <w:szCs w:val="24"/>
        </w:rPr>
        <w:t xml:space="preserve">1.2 Structure of the Analysis</w:t>
      </w:r>
    </w:p>
    <w:p>
      <w:pPr>
        <w:pStyle w:val="ListParagraph"/>
        <w:numPr>
          <w:ilvl w:val="0"/>
          <w:numId w:val="2"/>
        </w:numPr>
        <w:spacing w:after="80"/>
      </w:pPr>
      <w:r>
        <w:rPr>
          <w:rFonts w:ascii="Calibri" w:cs="Calibri" w:eastAsia="Calibri" w:hAnsi="Calibri"/>
          <w:sz w:val="21"/>
          <w:szCs w:val="21"/>
        </w:rPr>
        <w:t xml:space="preserve">Section 2 — Model Formulation: the log-log functional form for the static and lagged-demand (dynamic) models, a justification of every independent variable, and a check of the seasonality assumption.</w:t>
      </w:r>
    </w:p>
    <w:p>
      <w:pPr>
        <w:pStyle w:val="ListParagraph"/>
        <w:numPr>
          <w:ilvl w:val="0"/>
          <w:numId w:val="2"/>
        </w:numPr>
        <w:spacing w:after="80"/>
      </w:pPr>
      <w:r>
        <w:rPr>
          <w:rFonts w:ascii="Calibri" w:cs="Calibri" w:eastAsia="Calibri" w:hAnsi="Calibri"/>
          <w:sz w:val="21"/>
          <w:szCs w:val="21"/>
        </w:rPr>
        <w:t xml:space="preserve">Section 3 — Estimation and Model Selection: baseline estimates and diagnostics; a comparison of six remedies for multicollinearity; the refined static and dynamic models; and the selection of one final specification per segment.</w:t>
      </w:r>
    </w:p>
    <w:p>
      <w:pPr>
        <w:pStyle w:val="ListParagraph"/>
        <w:numPr>
          <w:ilvl w:val="0"/>
          <w:numId w:val="2"/>
        </w:numPr>
        <w:spacing w:after="80"/>
      </w:pPr>
      <w:r>
        <w:rPr>
          <w:rFonts w:ascii="Calibri" w:cs="Calibri" w:eastAsia="Calibri" w:hAnsi="Calibri"/>
          <w:sz w:val="21"/>
          <w:szCs w:val="21"/>
        </w:rPr>
        <w:t xml:space="preserve">Section 4 — Elasticity Discussion: interpretation of the elasticities and semi-elasticities of the two final models and comparison of the segments.</w:t>
      </w:r>
    </w:p>
    <w:p>
      <w:pPr>
        <w:pStyle w:val="ListParagraph"/>
        <w:numPr>
          <w:ilvl w:val="0"/>
          <w:numId w:val="2"/>
        </w:numPr>
        <w:spacing w:after="80"/>
      </w:pPr>
      <w:r>
        <w:rPr>
          <w:rFonts w:ascii="Calibri" w:cs="Calibri" w:eastAsia="Calibri" w:hAnsi="Calibri"/>
          <w:sz w:val="21"/>
          <w:szCs w:val="21"/>
        </w:rPr>
        <w:t xml:space="preserve">Section 5 — Limitations and Conclusion.</w:t>
      </w:r>
    </w:p>
    <w:p>
      <w:pPr>
        <w:pStyle w:val="Heading2"/>
        <w:spacing w:after="120" w:before="280"/>
      </w:pPr>
      <w:r>
        <w:rPr>
          <w:rFonts w:ascii="Calibri" w:cs="Calibri" w:eastAsia="Calibri" w:hAnsi="Calibri"/>
          <w:b/>
          <w:bCs/>
          <w:color w:val="2E5395"/>
          <w:sz w:val="24"/>
          <w:szCs w:val="24"/>
        </w:rPr>
        <w:t xml:space="preserve">1.3 Data</w:t>
      </w:r>
    </w:p>
    <w:p>
      <w:pPr>
        <w:spacing w:after="160" w:line="276"/>
        <w:jc w:val="both"/>
      </w:pPr>
      <w:r>
        <w:rPr>
          <w:rFonts w:ascii="Calibri" w:cs="Calibri" w:eastAsia="Calibri" w:hAnsi="Calibri"/>
          <w:sz w:val="21"/>
          <w:szCs w:val="21"/>
        </w:rPr>
        <w:t xml:space="preserve">The dataset covers a single intercity corridor over 9 years of quarterly observations (N = 36):</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2300"/>
        <w:gridCol w:w="4300"/>
        <w:gridCol w:w="3480"/>
      </w:tblGrid>
      <w:tr>
        <w:trPr>
          <w:tblHeader/>
        </w:trPr>
        <w:tc>
          <w:tcPr>
            <w:tcW w:type="dxa" w:w="23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43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Description</w:t>
            </w:r>
          </w:p>
        </w:tc>
        <w:tc>
          <w:tcPr>
            <w:tcW w:type="dxa" w:w="34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Role</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Q_econ, Q_1st</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Total passengers per quarter, Economy / 1st Class</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Dependent variable (one model per class)</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Fare_econ, Fare_1st</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fare per km, Economy / 1st Class</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Own-price and cross-price regressors</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AirFare</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competing air fare per km along the corridor</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Intermodal competition</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GasPrice</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Average gas price along the corridor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Auto-travel cost (candidate regressor; see Section 3.2)</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Employment</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Total employment in the region along the corridor</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Regional economic activity / income proxy</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Number of schedule-delay incidents per quarter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Service quality</w:t>
            </w:r>
          </w:p>
        </w:tc>
      </w:tr>
      <w:tr>
        <w:tc>
          <w:tcPr>
            <w:tcW w:type="dxa" w:w="23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Q3, Q4</w:t>
            </w:r>
          </w:p>
        </w:tc>
        <w:tc>
          <w:tcPr>
            <w:tcW w:type="dxa" w:w="43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Calendar-quarter dummies (Q1 = reference)</w:t>
            </w:r>
          </w:p>
        </w:tc>
        <w:tc>
          <w:tcPr>
            <w:tcW w:type="dxa" w:w="34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Seasonality</w:t>
            </w:r>
          </w:p>
        </w:tc>
      </w:tr>
      <w:tr>
        <w:tc>
          <w:tcPr>
            <w:tcW w:type="dxa" w:w="23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Q_lag1</w:t>
            </w:r>
          </w:p>
        </w:tc>
        <w:tc>
          <w:tcPr>
            <w:tcW w:type="dxa" w:w="43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Own ridership in the previous quarter</w:t>
            </w:r>
          </w:p>
        </w:tc>
        <w:tc>
          <w:tcPr>
            <w:tcW w:type="dxa" w:w="34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Lagged demand (dynamic models only)</w:t>
            </w:r>
          </w:p>
        </w:tc>
      </w:tr>
    </w:tbl>
    <w:p>
      <w:pPr>
        <w:spacing w:after="200" w:before="80"/>
      </w:pPr>
      <w:r>
        <w:rPr>
          <w:rFonts w:ascii="Calibri" w:cs="Calibri" w:eastAsia="Calibri" w:hAnsi="Calibri"/>
          <w:i/>
          <w:iCs/>
          <w:color w:val="595959"/>
          <w:sz w:val="18"/>
          <w:szCs w:val="18"/>
        </w:rPr>
        <w:t xml:space="preserve">Source: TransitRidershipData.xlsx (Years 1-9, Quarters 1-4). Fares and prices are per-km measures as provided.</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2. Model Formulation and Justification of Independent Variables</w:t>
      </w:r>
    </w:p>
    <w:p>
      <w:pPr>
        <w:pStyle w:val="Heading2"/>
        <w:spacing w:after="120" w:before="280"/>
      </w:pPr>
      <w:r>
        <w:rPr>
          <w:rFonts w:ascii="Calibri" w:cs="Calibri" w:eastAsia="Calibri" w:hAnsi="Calibri"/>
          <w:b/>
          <w:bCs/>
          <w:color w:val="2E5395"/>
          <w:sz w:val="24"/>
          <w:szCs w:val="24"/>
        </w:rPr>
        <w:t xml:space="preserve">2.1 General Functional Form</w:t>
      </w:r>
    </w:p>
    <w:p>
      <w:pPr>
        <w:spacing w:after="160" w:line="276"/>
        <w:jc w:val="both"/>
      </w:pPr>
      <w:r>
        <w:rPr>
          <w:rFonts w:ascii="Calibri" w:cs="Calibri" w:eastAsia="Calibri" w:hAnsi="Calibri"/>
          <w:sz w:val="21"/>
          <w:szCs w:val="21"/>
        </w:rPr>
        <w:t xml:space="preserve">Both demand tasks use a </w:t>
      </w:r>
      <w:r>
        <w:rPr>
          <w:rFonts w:ascii="Calibri" w:cs="Calibri" w:eastAsia="Calibri" w:hAnsi="Calibri"/>
          <w:b/>
          <w:bCs/>
          <w:sz w:val="21"/>
          <w:szCs w:val="21"/>
        </w:rPr>
        <w:t xml:space="preserve">log-log (constant-elasticity) specification</w:t>
      </w:r>
      <w:r>
        <w:rPr>
          <w:rFonts w:ascii="Calibri" w:cs="Calibri" w:eastAsia="Calibri" w:hAnsi="Calibri"/>
          <w:sz w:val="21"/>
          <w:szCs w:val="21"/>
        </w:rPr>
        <w:t xml:space="preserve">: ridership responses to price and income are more plausibly multiplicative than additive, and every coefficient is directly an elasticity. The static specification for class </w:t>
      </w:r>
      <w:r>
        <w:rPr>
          <w:rFonts w:ascii="Calibri" w:cs="Calibri" w:eastAsia="Calibri" w:hAnsi="Calibri"/>
          <w:i/>
          <w:iCs/>
          <w:sz w:val="21"/>
          <w:szCs w:val="21"/>
        </w:rPr>
        <w:t xml:space="preserve">i</w:t>
      </w:r>
      <w:r>
        <w:rPr>
          <w:rFonts w:ascii="Calibri" w:cs="Calibri" w:eastAsia="Calibri" w:hAnsi="Calibri"/>
          <w:sz w:val="21"/>
          <w:szCs w:val="21"/>
        </w:rPr>
        <w:t xml:space="preserve"> in quarter </w:t>
      </w:r>
      <w:r>
        <w:rPr>
          <w:rFonts w:ascii="Calibri" w:cs="Calibri" w:eastAsia="Calibri" w:hAnsi="Calibri"/>
          <w:i/>
          <w:iCs/>
          <w:sz w:val="21"/>
          <w:szCs w:val="21"/>
        </w:rPr>
        <w:t xml:space="preserve">t</w:t>
      </w:r>
      <w:r>
        <w:rPr>
          <w:rFonts w:ascii="Calibri" w:cs="Calibri" w:eastAsia="Calibri" w:hAnsi="Calibri"/>
          <w:sz w:val="21"/>
          <w:szCs w:val="21"/>
        </w:rPr>
        <w:t xml:space="preserve"> is:</w:t>
      </w:r>
    </w:p>
    <w:p>
      <w:pPr>
        <w:spacing w:after="160" w:before="80"/>
        <w:jc w:val="center"/>
      </w:pPr>
      <w:r>
        <w:rPr>
          <w:rFonts w:ascii="Cambria Math" w:cs="Cambria Math" w:eastAsia="Cambria Math" w:hAnsi="Cambria Math"/>
          <w:i/>
          <w:iCs/>
          <w:color w:val="202020"/>
          <w:sz w:val="22"/>
          <w:szCs w:val="22"/>
        </w:rPr>
        <w:t xml:space="preserve">ln(Qi,t) = β0 + β1·ln(Fareown,t) + β2·ln(Farecross,t) + β3·ln(AirFaret) + β4·ln(GasPricet) + β5·ln(Employmentt) + β6·Delayst + β7·Q2 + β8·Q3 + β9·Q4 + εt</w:t>
      </w:r>
    </w:p>
    <w:p>
      <w:pPr>
        <w:spacing w:after="160" w:line="276"/>
        <w:jc w:val="both"/>
      </w:pPr>
      <w:r>
        <w:rPr>
          <w:rFonts w:ascii="Calibri" w:cs="Calibri" w:eastAsia="Calibri" w:hAnsi="Calibri"/>
          <w:sz w:val="21"/>
          <w:szCs w:val="21"/>
        </w:rPr>
        <w:t xml:space="preserve">The dynamic (partial-adjustment) specification adds the class's own log-ridership lagged one quarter:</w:t>
      </w:r>
    </w:p>
    <w:p>
      <w:pPr>
        <w:spacing w:after="160" w:before="80"/>
        <w:jc w:val="center"/>
      </w:pPr>
      <w:r>
        <w:rPr>
          <w:rFonts w:ascii="Cambria Math" w:cs="Cambria Math" w:eastAsia="Cambria Math" w:hAnsi="Cambria Math"/>
          <w:i/>
          <w:iCs/>
          <w:color w:val="202020"/>
          <w:sz w:val="22"/>
          <w:szCs w:val="22"/>
        </w:rPr>
        <w:t xml:space="preserve">ln(Qi,t) = β0 + γ·ln(Qi,t−1) + β1·ln(Fareown,t) + … + β9·Q4 + εt</w:t>
      </w:r>
    </w:p>
    <w:p>
      <w:pPr>
        <w:spacing w:after="160" w:line="276"/>
        <w:jc w:val="both"/>
      </w:pPr>
      <w:r>
        <w:rPr>
          <w:rFonts w:ascii="Calibri" w:cs="Calibri" w:eastAsia="Calibri" w:hAnsi="Calibri"/>
          <w:sz w:val="21"/>
          <w:szCs w:val="21"/>
        </w:rPr>
        <w:t xml:space="preserve">Here γ is the </w:t>
      </w:r>
      <w:r>
        <w:rPr>
          <w:rFonts w:ascii="Calibri" w:cs="Calibri" w:eastAsia="Calibri" w:hAnsi="Calibri"/>
          <w:i/>
          <w:iCs/>
          <w:sz w:val="21"/>
          <w:szCs w:val="21"/>
        </w:rPr>
        <w:t xml:space="preserve">adjustment-speed parameter</w:t>
      </w:r>
      <w:r>
        <w:rPr>
          <w:rFonts w:ascii="Calibri" w:cs="Calibri" w:eastAsia="Calibri" w:hAnsi="Calibri"/>
          <w:sz w:val="21"/>
          <w:szCs w:val="21"/>
        </w:rPr>
        <w:t xml:space="preserve">: near 0, ridership adjusts almost fully within one quarter; near 1, adjustment is slow and ridership is strongly anchored to last quarter's level. When γ matters, the long-run elasticity of a driver is its short-run coefficient divided by (1 − γ).</w:t>
      </w:r>
    </w:p>
    <w:p>
      <w:pPr>
        <w:pStyle w:val="Heading2"/>
        <w:spacing w:after="120" w:before="280"/>
      </w:pPr>
      <w:r>
        <w:rPr>
          <w:rFonts w:ascii="Calibri" w:cs="Calibri" w:eastAsia="Calibri" w:hAnsi="Calibri"/>
          <w:b/>
          <w:bCs/>
          <w:color w:val="2E5395"/>
          <w:sz w:val="24"/>
          <w:szCs w:val="24"/>
        </w:rPr>
        <w:t xml:space="preserve">2.2 Justification of Independent Variables</w:t>
      </w:r>
    </w:p>
    <w:p>
      <w:pPr>
        <w:spacing w:after="160" w:line="276"/>
        <w:jc w:val="both"/>
      </w:pPr>
      <w:r>
        <w:rPr>
          <w:rFonts w:ascii="Calibri" w:cs="Calibri" w:eastAsia="Calibri" w:hAnsi="Calibri"/>
          <w:sz w:val="21"/>
          <w:szCs w:val="21"/>
        </w:rPr>
        <w:t xml:space="preserve">Each regressor applies to both models (the two fare variables swap between "own" and "cross"):</w:t>
      </w:r>
    </w:p>
    <w:p>
      <w:pPr>
        <w:pStyle w:val="Heading3"/>
        <w:spacing w:after="100" w:before="200"/>
      </w:pPr>
      <w:r>
        <w:rPr>
          <w:rFonts w:ascii="Calibri" w:cs="Calibri" w:eastAsia="Calibri" w:hAnsi="Calibri"/>
          <w:b/>
          <w:bCs/>
          <w:i/>
          <w:iCs/>
          <w:color w:val="595959"/>
          <w:sz w:val="21"/>
          <w:szCs w:val="21"/>
        </w:rPr>
        <w:t xml:space="preserve">Own fare (β1, expected sign −)</w:t>
      </w:r>
    </w:p>
    <w:p>
      <w:pPr>
        <w:spacing w:after="160" w:line="276"/>
        <w:jc w:val="both"/>
      </w:pPr>
      <w:r>
        <w:rPr>
          <w:rFonts w:ascii="Calibri" w:cs="Calibri" w:eastAsia="Calibri" w:hAnsi="Calibri"/>
          <w:sz w:val="21"/>
          <w:szCs w:val="21"/>
        </w:rPr>
        <w:t xml:space="preserve">Standard price theory: a higher fare on the class raises the cost of travel and should reduce its ridership.</w:t>
      </w:r>
    </w:p>
    <w:p>
      <w:pPr>
        <w:pStyle w:val="Heading3"/>
        <w:spacing w:after="100" w:before="200"/>
      </w:pPr>
      <w:r>
        <w:rPr>
          <w:rFonts w:ascii="Calibri" w:cs="Calibri" w:eastAsia="Calibri" w:hAnsi="Calibri"/>
          <w:b/>
          <w:bCs/>
          <w:i/>
          <w:iCs/>
          <w:color w:val="595959"/>
          <w:sz w:val="21"/>
          <w:szCs w:val="21"/>
        </w:rPr>
        <w:t xml:space="preserve">Cross fare (β2, expected +)</w:t>
      </w:r>
    </w:p>
    <w:p>
      <w:pPr>
        <w:spacing w:after="160" w:line="276"/>
        <w:jc w:val="both"/>
      </w:pPr>
      <w:r>
        <w:rPr>
          <w:rFonts w:ascii="Calibri" w:cs="Calibri" w:eastAsia="Calibri" w:hAnsi="Calibri"/>
          <w:sz w:val="21"/>
          <w:szCs w:val="21"/>
        </w:rPr>
        <w:t xml:space="preserve">Economy and 1st Class are substitutes on the same service, so a higher fare in the other class should push riders toward the class being modelled.</w:t>
      </w:r>
    </w:p>
    <w:p>
      <w:pPr>
        <w:pStyle w:val="Heading3"/>
        <w:spacing w:after="100" w:before="200"/>
      </w:pPr>
      <w:r>
        <w:rPr>
          <w:rFonts w:ascii="Calibri" w:cs="Calibri" w:eastAsia="Calibri" w:hAnsi="Calibri"/>
          <w:b/>
          <w:bCs/>
          <w:i/>
          <w:iCs/>
          <w:color w:val="595959"/>
          <w:sz w:val="21"/>
          <w:szCs w:val="21"/>
        </w:rPr>
        <w:t xml:space="preserve">Competing air fare (β3, expected +)</w:t>
      </w:r>
    </w:p>
    <w:p>
      <w:pPr>
        <w:spacing w:after="160" w:line="276"/>
        <w:jc w:val="both"/>
      </w:pPr>
      <w:r>
        <w:rPr>
          <w:rFonts w:ascii="Calibri" w:cs="Calibri" w:eastAsia="Calibri" w:hAnsi="Calibri"/>
          <w:sz w:val="21"/>
          <w:szCs w:val="21"/>
        </w:rPr>
        <w:t xml:space="preserve">Air travel is the main competing mode for longer, time-sensitive trips; a higher air fare makes rail relatively more attractive.</w:t>
      </w:r>
    </w:p>
    <w:p>
      <w:pPr>
        <w:pStyle w:val="Heading3"/>
        <w:spacing w:after="100" w:before="200"/>
      </w:pPr>
      <w:r>
        <w:rPr>
          <w:rFonts w:ascii="Calibri" w:cs="Calibri" w:eastAsia="Calibri" w:hAnsi="Calibri"/>
          <w:b/>
          <w:bCs/>
          <w:i/>
          <w:iCs/>
          <w:color w:val="595959"/>
          <w:sz w:val="21"/>
          <w:szCs w:val="21"/>
        </w:rPr>
        <w:t xml:space="preserve">Gas price (β4, expected +)</w:t>
      </w:r>
    </w:p>
    <w:p>
      <w:pPr>
        <w:spacing w:after="160" w:line="276"/>
        <w:jc w:val="both"/>
      </w:pPr>
      <w:r>
        <w:rPr>
          <w:rFonts w:ascii="Calibri" w:cs="Calibri" w:eastAsia="Calibri" w:hAnsi="Calibri"/>
          <w:sz w:val="21"/>
          <w:szCs w:val="21"/>
        </w:rPr>
        <w:t xml:space="preserve">Proxies the cost of the private-vehicle alternative. It was included in the baseline model but, as Section 3.2 shows, it is largely redundant with regional employment and was dropped from the refined model.</w:t>
      </w:r>
    </w:p>
    <w:p>
      <w:pPr>
        <w:pStyle w:val="Heading3"/>
        <w:spacing w:after="100" w:before="200"/>
      </w:pPr>
      <w:r>
        <w:rPr>
          <w:rFonts w:ascii="Calibri" w:cs="Calibri" w:eastAsia="Calibri" w:hAnsi="Calibri"/>
          <w:b/>
          <w:bCs/>
          <w:i/>
          <w:iCs/>
          <w:color w:val="595959"/>
          <w:sz w:val="21"/>
          <w:szCs w:val="21"/>
        </w:rPr>
        <w:t xml:space="preserve">Regional employment (β5, expected +)</w:t>
      </w:r>
    </w:p>
    <w:p>
      <w:pPr>
        <w:spacing w:after="160" w:line="276"/>
        <w:jc w:val="both"/>
      </w:pPr>
      <w:r>
        <w:rPr>
          <w:rFonts w:ascii="Calibri" w:cs="Calibri" w:eastAsia="Calibri" w:hAnsi="Calibri"/>
          <w:sz w:val="21"/>
          <w:szCs w:val="21"/>
        </w:rPr>
        <w:t xml:space="preserve">A proxy for regional economic activity and income: more employment means more commuting, business and discretionary travel. It also absorbs much of the corridor's multi-year growth trend.</w:t>
      </w:r>
    </w:p>
    <w:p>
      <w:pPr>
        <w:pStyle w:val="Heading3"/>
        <w:spacing w:after="100" w:before="200"/>
      </w:pPr>
      <w:r>
        <w:rPr>
          <w:rFonts w:ascii="Calibri" w:cs="Calibri" w:eastAsia="Calibri" w:hAnsi="Calibri"/>
          <w:b/>
          <w:bCs/>
          <w:i/>
          <w:iCs/>
          <w:color w:val="595959"/>
          <w:sz w:val="21"/>
          <w:szCs w:val="21"/>
        </w:rPr>
        <w:t xml:space="preserve">Schedule delays (β6, expected −)</w:t>
      </w:r>
    </w:p>
    <w:p>
      <w:pPr>
        <w:spacing w:after="160" w:line="276"/>
        <w:jc w:val="both"/>
      </w:pPr>
      <w:r>
        <w:rPr>
          <w:rFonts w:ascii="Calibri" w:cs="Calibri" w:eastAsia="Calibri" w:hAnsi="Calibri"/>
          <w:sz w:val="21"/>
          <w:szCs w:val="21"/>
        </w:rPr>
        <w:t xml:space="preserve">A direct measure of service reliability. Because it is left in levels, its coefficient is a semi-elasticity: the approximate percentage change in ridership per additional delay incident.</w:t>
      </w:r>
    </w:p>
    <w:p>
      <w:pPr>
        <w:pStyle w:val="Heading3"/>
        <w:spacing w:after="100" w:before="200"/>
      </w:pPr>
      <w:r>
        <w:rPr>
          <w:rFonts w:ascii="Calibri" w:cs="Calibri" w:eastAsia="Calibri" w:hAnsi="Calibri"/>
          <w:b/>
          <w:bCs/>
          <w:i/>
          <w:iCs/>
          <w:color w:val="595959"/>
          <w:sz w:val="21"/>
          <w:szCs w:val="21"/>
        </w:rPr>
        <w:t xml:space="preserve">Seasonal dummies (Q2, Q3, Q4 vs Q1)</w:t>
      </w:r>
    </w:p>
    <w:p>
      <w:pPr>
        <w:spacing w:after="160" w:line="276"/>
        <w:jc w:val="both"/>
      </w:pPr>
      <w:r>
        <w:rPr>
          <w:rFonts w:ascii="Calibri" w:cs="Calibri" w:eastAsia="Calibri" w:hAnsi="Calibri"/>
          <w:sz w:val="21"/>
          <w:szCs w:val="21"/>
        </w:rPr>
        <w:t xml:space="preserve">Quarterly ridership has a calendar pattern independent of price or income. The dummies stop that seasonal variation from being wrongly attributed to the other regressors. Each dummy's effect is reported as a percentage difference from Q1 via (e^β − 1) × 100.</w:t>
      </w:r>
    </w:p>
    <w:p>
      <w:pPr>
        <w:pStyle w:val="Heading3"/>
        <w:spacing w:after="100" w:before="200"/>
      </w:pPr>
      <w:r>
        <w:rPr>
          <w:rFonts w:ascii="Calibri" w:cs="Calibri" w:eastAsia="Calibri" w:hAnsi="Calibri"/>
          <w:b/>
          <w:bCs/>
          <w:i/>
          <w:iCs/>
          <w:color w:val="595959"/>
          <w:sz w:val="21"/>
          <w:szCs w:val="21"/>
        </w:rPr>
        <w:t xml:space="preserve">Lagged own ridership (γ, dynamic models only)</w:t>
      </w:r>
    </w:p>
    <w:p>
      <w:pPr>
        <w:spacing w:after="160" w:line="276"/>
        <w:jc w:val="both"/>
      </w:pPr>
      <w:r>
        <w:rPr>
          <w:rFonts w:ascii="Calibri" w:cs="Calibri" w:eastAsia="Calibri" w:hAnsi="Calibri"/>
          <w:sz w:val="21"/>
          <w:szCs w:val="21"/>
        </w:rPr>
        <w:t xml:space="preserve">Tests for habit persistence and partial adjustment: past riders tend to keep riding (routines, season passes), and markets may take more than a quarter to respond fully to a fare or service change.</w:t>
      </w:r>
    </w:p>
    <w:p>
      <w:pPr>
        <w:pStyle w:val="Heading2"/>
        <w:spacing w:after="120" w:before="280"/>
      </w:pPr>
      <w:r>
        <w:rPr>
          <w:rFonts w:ascii="Calibri" w:cs="Calibri" w:eastAsia="Calibri" w:hAnsi="Calibri"/>
          <w:b/>
          <w:bCs/>
          <w:color w:val="2E5395"/>
          <w:sz w:val="24"/>
          <w:szCs w:val="24"/>
        </w:rPr>
        <w:t xml:space="preserve">2.3 Checking the Seasonality Assumption</w:t>
      </w:r>
    </w:p>
    <w:p>
      <w:pPr>
        <w:spacing w:after="160" w:line="276"/>
        <w:jc w:val="both"/>
      </w:pPr>
      <w:r>
        <w:rPr>
          <w:rFonts w:ascii="Calibri" w:cs="Calibri" w:eastAsia="Calibri" w:hAnsi="Calibri"/>
          <w:sz w:val="21"/>
          <w:szCs w:val="21"/>
        </w:rPr>
        <w:t xml:space="preserve">Because the quarter dummies are pooled over all nine years, they assume the seasonal shape is stable through time. To check this, each quarter's ridership was expressed as a share of its own year's average and compared across the nine years. For Economy the mean seasonal index is 1.01, 0.91, 1.00 and 1.09 for Q1-Q4 with a standard deviation across years of only 0.02-0.03; for 1st Class it is 1.07, 0.95, 0.82 and 1.17 with a standard deviation of 0.04-0.08. The year-to-year variation is small relative to the gaps between quarters (especially for Economy), so the constant-seasonality assumption is reasonable, although 1st Class shows somewhat more drift.</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3. Model Estimation and Selection of Final Specification</w:t>
      </w:r>
    </w:p>
    <w:p>
      <w:pPr>
        <w:spacing w:after="160" w:line="276"/>
        <w:jc w:val="both"/>
      </w:pPr>
      <w:r>
        <w:rPr>
          <w:rFonts w:ascii="Calibri" w:cs="Calibri" w:eastAsia="Calibri" w:hAnsi="Calibri"/>
          <w:sz w:val="21"/>
          <w:szCs w:val="21"/>
        </w:rPr>
        <w:t xml:space="preserve">All models were estimated by ordinary least squares. Building the one-quarter lag costs each dynamic model its first observation (N = 35 versus 36). Because AIC and BIC are only comparable between models fitted to the same observations, every static-versus-dynamic comparison in Section 3.5 refits the static model on the common 35-quarter sample. Significance: *** p&lt;0.01, ** p&lt;0.05, * p&lt;0.10.</w:t>
      </w:r>
    </w:p>
    <w:p>
      <w:pPr>
        <w:pStyle w:val="Heading2"/>
        <w:spacing w:after="120" w:before="280"/>
      </w:pPr>
      <w:r>
        <w:rPr>
          <w:rFonts w:ascii="Calibri" w:cs="Calibri" w:eastAsia="Calibri" w:hAnsi="Calibri"/>
          <w:b/>
          <w:bCs/>
          <w:color w:val="2E5395"/>
          <w:sz w:val="24"/>
          <w:szCs w:val="24"/>
        </w:rPr>
        <w:t xml:space="preserve">3.1 Baseline Specification</w:t>
      </w:r>
    </w:p>
    <w:p>
      <w:pPr>
        <w:spacing w:after="160" w:line="276"/>
        <w:jc w:val="both"/>
      </w:pPr>
      <w:r>
        <w:rPr>
          <w:rFonts w:ascii="Calibri" w:cs="Calibri" w:eastAsia="Calibri" w:hAnsi="Calibri"/>
          <w:sz w:val="21"/>
          <w:szCs w:val="21"/>
        </w:rPr>
        <w:t xml:space="preserve">The baseline model contains all six candidate regressors plus the seasonal dummies. Its static estimates (coefficient, p-value) are:</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00"/>
        <w:gridCol w:w="3340"/>
        <w:gridCol w:w="3340"/>
      </w:tblGrid>
      <w:tr>
        <w:trPr>
          <w:tblHeader/>
        </w:trPr>
        <w:tc>
          <w:tcPr>
            <w:tcW w:type="dxa" w:w="3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Economy</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1st Class</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ln(Fare_econ)</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+0.144 (0.652)</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+0.478 (0.454)</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ln(Fare_1st)</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−0.550 (0.141)</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+1.145 (0.124)</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ln(AirFare)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+0.185 (0.013)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+0.136 (0.335)</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ln(GasPrice)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+0.055 (0.546)</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−0.059 (0.745)</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ln(Employment)</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+0.918 (0.005)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−0.495 (0.409)</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−0.0003 (0.602)</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−0.0013 (0.263)</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 Q3 / Q4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−0.118*** / −0.053** / +0.065***</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−0.066* / −0.167*** / +0.096**</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AIC / BIC</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0.911 / −134.2 / −118.4</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0.821 / −84.6 / −68.8</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Durbin-Watson</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2.08</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1.29</w:t>
            </w:r>
          </w:p>
        </w:tc>
      </w:tr>
    </w:tbl>
    <w:p>
      <w:pPr>
        <w:spacing w:after="200" w:before="80"/>
      </w:pPr>
      <w:r>
        <w:rPr>
          <w:rFonts w:ascii="Calibri" w:cs="Calibri" w:eastAsia="Calibri" w:hAnsi="Calibri"/>
          <w:i/>
          <w:iCs/>
          <w:color w:val="595959"/>
          <w:sz w:val="18"/>
          <w:szCs w:val="18"/>
        </w:rPr>
        <w:t xml:space="preserve">For the 1st Class model, ln(Fare_1st) is the own fare and ln(Fare_econ) the cross fare. Fits are strong (adj. R² 0.91 and 0.82), yet almost no price or economic coefficient is significant — the classic symptom of multicollinearity.</w:t>
      </w:r>
    </w:p>
    <w:p>
      <w:pPr>
        <w:pStyle w:val="Heading2"/>
        <w:spacing w:after="120" w:before="280"/>
      </w:pPr>
      <w:r>
        <w:rPr>
          <w:rFonts w:ascii="Calibri" w:cs="Calibri" w:eastAsia="Calibri" w:hAnsi="Calibri"/>
          <w:b/>
          <w:bCs/>
          <w:color w:val="2E5395"/>
          <w:sz w:val="24"/>
          <w:szCs w:val="24"/>
        </w:rPr>
        <w:t xml:space="preserve">3.2 Diagnosing and Addressing Multicollinearity</w:t>
      </w:r>
    </w:p>
    <w:p>
      <w:pPr>
        <w:spacing w:after="160" w:line="276"/>
        <w:jc w:val="both"/>
      </w:pPr>
      <w:r>
        <w:rPr>
          <w:rFonts w:ascii="Calibri" w:cs="Calibri" w:eastAsia="Calibri" w:hAnsi="Calibri"/>
          <w:sz w:val="21"/>
          <w:szCs w:val="21"/>
        </w:rPr>
        <w:t xml:space="preserve">Pairwise correlations flag ln(Employment) as the common thread: r = 0.88 with ln(AirFare), 0.77 with ln(GasPrice) and 0.76 with Economy ridership. Variance inflation factors confirm it: ln(Employment) has VIF = 13.4 and ln(Fare_1st) 11.7, both above the rule-of-thumb limit of 10 (all other regressors are below 5.5). Six specifications were compared on the full 36-quarter sample:</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80"/>
        <w:gridCol w:w="1000"/>
        <w:gridCol w:w="1400"/>
        <w:gridCol w:w="1400"/>
        <w:gridCol w:w="1400"/>
        <w:gridCol w:w="1400"/>
      </w:tblGrid>
      <w:tr>
        <w:trPr>
          <w:tblHeader/>
        </w:trPr>
        <w:tc>
          <w:tcPr>
            <w:tcW w:type="dxa" w:w="348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Variant</w:t>
            </w:r>
          </w:p>
        </w:tc>
        <w:tc>
          <w:tcPr>
            <w:tcW w:type="dxa" w:w="10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Max VIF</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Economy adj. R²</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Economy BIC</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1st Class adj. R²</w:t>
            </w:r>
          </w:p>
        </w:tc>
        <w:tc>
          <w:tcPr>
            <w:tcW w:type="dxa" w:w="14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1st Class BIC</w:t>
            </w:r>
          </w:p>
        </w:tc>
      </w:tr>
      <w:tr>
        <w:tc>
          <w:tcPr>
            <w:tcW w:type="dxa" w:w="34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 Baseline (all regressors)</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13.4</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0.911</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−118.4</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0.821</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−68.8</w:t>
            </w:r>
          </w:p>
        </w:tc>
      </w:tr>
      <w:tr>
        <w:tc>
          <w:tcPr>
            <w:tcW w:type="dxa" w:w="348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B. Drop GasPrice</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8.6</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0.913</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−121.5</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0.827</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−72.2</w:t>
            </w:r>
          </w:p>
        </w:tc>
      </w:tr>
      <w:tr>
        <w:tc>
          <w:tcPr>
            <w:tcW w:type="dxa" w:w="34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 Employment → time trend</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9.2</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0.915</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−119.9</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0.816</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−67.8</w:t>
            </w:r>
          </w:p>
        </w:tc>
      </w:tr>
      <w:tr>
        <w:tc>
          <w:tcPr>
            <w:tcW w:type="dxa" w:w="348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 Relative fare ln(F1st/Fecon)</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10.0</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0.906</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−118.6</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0.758</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−60.2</w:t>
            </w:r>
          </w:p>
        </w:tc>
      </w:tr>
      <w:tr>
        <w:tc>
          <w:tcPr>
            <w:tcW w:type="dxa" w:w="348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 Drop GasPrice + relative fare</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6.8</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0.897</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−117.5</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0.716</w:t>
            </w:r>
          </w:p>
        </w:tc>
        <w:tc>
          <w:tcPr>
            <w:tcW w:type="dxa" w:w="14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−56.6</w:t>
            </w:r>
          </w:p>
        </w:tc>
      </w:tr>
      <w:tr>
        <w:tc>
          <w:tcPr>
            <w:tcW w:type="dxa" w:w="348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F. Drop GasPrice, Employment → trend</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7.9</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0.913</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−121.4</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0.817</w:t>
            </w:r>
          </w:p>
        </w:tc>
        <w:tc>
          <w:tcPr>
            <w:tcW w:type="dxa" w:w="14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−70.2</w:t>
            </w:r>
          </w:p>
        </w:tc>
      </w:tr>
    </w:tbl>
    <w:p>
      <w:pPr>
        <w:spacing w:after="200" w:before="80"/>
      </w:pPr>
      <w:r>
        <w:rPr>
          <w:rFonts w:ascii="Calibri" w:cs="Calibri" w:eastAsia="Calibri" w:hAnsi="Calibri"/>
          <w:i/>
          <w:iCs/>
          <w:color w:val="595959"/>
          <w:sz w:val="18"/>
          <w:szCs w:val="18"/>
        </w:rPr>
        <w:t xml:space="preserve">Lower BIC is better. VIF = maximum across regressors.</w:t>
      </w:r>
    </w:p>
    <w:p>
      <w:pPr>
        <w:spacing w:after="160" w:line="276"/>
        <w:jc w:val="both"/>
      </w:pPr>
      <w:r>
        <w:rPr>
          <w:rFonts w:ascii="Calibri" w:cs="Calibri" w:eastAsia="Calibri" w:hAnsi="Calibri"/>
          <w:sz w:val="21"/>
          <w:szCs w:val="21"/>
        </w:rPr>
        <w:t xml:space="preserve">Variant B (drop GasPrice) is selected as the </w:t>
      </w:r>
      <w:r>
        <w:rPr>
          <w:rFonts w:ascii="Calibri" w:cs="Calibri" w:eastAsia="Calibri" w:hAnsi="Calibri"/>
          <w:b/>
          <w:bCs/>
          <w:sz w:val="21"/>
          <w:szCs w:val="21"/>
        </w:rPr>
        <w:t xml:space="preserve">refined specification</w:t>
      </w:r>
      <w:r>
        <w:rPr>
          <w:rFonts w:ascii="Calibri" w:cs="Calibri" w:eastAsia="Calibri" w:hAnsi="Calibri"/>
          <w:sz w:val="21"/>
          <w:szCs w:val="21"/>
        </w:rPr>
        <w:t xml:space="preserve">: it is the only variant with the lowest BIC in both classes, brings every VIF below 10, and loses no fit relative to the baseline. Gas price is the most defensible variable to remove — it is the weakest theoretical driver of intercity rail demand and is highly collinear with employment — whereas replacing employment with a time trend gives up the economic-activity interpretation, and the relative-fare variants fit clearly worse (especially for 1st Class, where adj. R² falls to 0.72-0.76).</w:t>
      </w:r>
    </w:p>
    <w:p>
      <w:pPr>
        <w:spacing w:after="160" w:line="276"/>
        <w:jc w:val="both"/>
      </w:pPr>
      <w:r>
        <w:rPr>
          <w:rFonts w:ascii="Calibri" w:cs="Calibri" w:eastAsia="Calibri" w:hAnsi="Calibri"/>
          <w:sz w:val="21"/>
          <w:szCs w:val="21"/>
        </w:rPr>
        <w:t xml:space="preserve">The remedy has a limit that should be stated plainly: it removes the variance inflation but does not repair the sign of the own-fare coefficients, which stay positive in both classes (Section 3.3). That points to a different problem from multicollinearity, discussed in Sections 4 and 5.</w:t>
      </w:r>
    </w:p>
    <w:p>
      <w:pPr>
        <w:pStyle w:val="Heading2"/>
        <w:spacing w:after="120" w:before="280"/>
      </w:pPr>
      <w:r>
        <w:rPr>
          <w:rFonts w:ascii="Calibri" w:cs="Calibri" w:eastAsia="Calibri" w:hAnsi="Calibri"/>
          <w:b/>
          <w:bCs/>
          <w:color w:val="2E5395"/>
          <w:sz w:val="24"/>
          <w:szCs w:val="24"/>
        </w:rPr>
        <w:t xml:space="preserve">3.3 Refined Specification: Static and Dynamic Estimates</w:t>
      </w:r>
    </w:p>
    <w:p>
      <w:pPr>
        <w:pStyle w:val="Heading3"/>
        <w:spacing w:after="100" w:before="200"/>
      </w:pPr>
      <w:r>
        <w:rPr>
          <w:rFonts w:ascii="Calibri" w:cs="Calibri" w:eastAsia="Calibri" w:hAnsi="Calibri"/>
          <w:b/>
          <w:bCs/>
          <w:i/>
          <w:iCs/>
          <w:color w:val="595959"/>
          <w:sz w:val="21"/>
          <w:szCs w:val="21"/>
        </w:rPr>
        <w:t xml:space="preserve">Economy Class</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00"/>
        <w:gridCol w:w="3340"/>
        <w:gridCol w:w="3340"/>
      </w:tblGrid>
      <w:tr>
        <w:trPr>
          <w:tblHeader/>
        </w:trPr>
        <w:tc>
          <w:tcPr>
            <w:tcW w:type="dxa" w:w="3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Static model (N = 36)</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Dynamic model (N = 35)</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Lagged ridership γ</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+0.123 (0.517)</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ln(Fare_econ) — own fare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+0.164 (0.601)</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+0.175 (0.596)</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ln(Fare_1st) — cross fare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−0.663 (0.041)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−0.646 (0.081) *</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ln(AirFare)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+0.193 (0.008) ***</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+0.182 (0.024) **</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ln(Employment)</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+1.043 (&lt;0.001)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+0.910 (0.005) ***</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−0.0003 (0.617)</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−0.0003 (0.612)</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−0.117 (&lt;0.001)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−0.110 (&lt;0.001) ***</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−0.058 (0.025) **</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−0.036 (0.443)</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+0.061 (0.004)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+0.070 (0.013) **</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Durbin-Watson</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0.913 / 2.07</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0.908 / 2.15</w:t>
            </w:r>
          </w:p>
        </w:tc>
      </w:tr>
    </w:tbl>
    <w:p>
      <w:pPr>
        <w:pStyle w:val="Heading3"/>
        <w:spacing w:after="100" w:before="200"/>
      </w:pPr>
      <w:r>
        <w:rPr>
          <w:rFonts w:ascii="Calibri" w:cs="Calibri" w:eastAsia="Calibri" w:hAnsi="Calibri"/>
          <w:b/>
          <w:bCs/>
          <w:i/>
          <w:iCs/>
          <w:color w:val="595959"/>
          <w:sz w:val="21"/>
          <w:szCs w:val="21"/>
        </w:rPr>
        <w:t xml:space="preserve">1st Class</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3400"/>
        <w:gridCol w:w="3340"/>
        <w:gridCol w:w="3340"/>
      </w:tblGrid>
      <w:tr>
        <w:trPr>
          <w:tblHeader/>
        </w:trPr>
        <w:tc>
          <w:tcPr>
            <w:tcW w:type="dxa" w:w="34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Static model (N = 36)</w:t>
            </w:r>
          </w:p>
        </w:tc>
        <w:tc>
          <w:tcPr>
            <w:tcW w:type="dxa" w:w="334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Dynamic model (N = 35)</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Lagged ridership γ</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+0.285 (0.115)</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ln(Fare_1st) — own fare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+1.266 (0.048) **</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+0.814 (0.300)</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ln(Fare_econ) — cross fare</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+0.456 (0.465)</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+0.673 (0.302)</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ln(AirFare)</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+0.126 (0.350)</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+0.066 (0.636)</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ln(Employment)</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−0.629 (0.144)</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−0.364 (0.414)</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−0.0013 (0.248)</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−0.0013 (0.249)</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−0.067 (0.077)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−0.048 (0.223)</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−0.162 (0.002) ***</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−0.132 (0.023) **</w:t>
            </w:r>
          </w:p>
        </w:tc>
      </w:tr>
      <w:tr>
        <w:tc>
          <w:tcPr>
            <w:tcW w:type="dxa" w:w="34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+0.100 (0.013) **</w:t>
            </w:r>
          </w:p>
        </w:tc>
        <w:tc>
          <w:tcPr>
            <w:tcW w:type="dxa" w:w="334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+0.189 (0.006) ***</w:t>
            </w:r>
          </w:p>
        </w:tc>
      </w:tr>
      <w:tr>
        <w:tc>
          <w:tcPr>
            <w:tcW w:type="dxa" w:w="34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Adj. R² / Durbin-Watson</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0.827 / 1.25</w:t>
            </w:r>
          </w:p>
        </w:tc>
        <w:tc>
          <w:tcPr>
            <w:tcW w:type="dxa" w:w="334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0.838 / 1.70</w:t>
            </w:r>
          </w:p>
        </w:tc>
      </w:tr>
    </w:tbl>
    <w:p>
      <w:pPr>
        <w:spacing w:after="200" w:before="80"/>
      </w:pPr>
      <w:r>
        <w:rPr>
          <w:rFonts w:ascii="Calibri" w:cs="Calibri" w:eastAsia="Calibri" w:hAnsi="Calibri"/>
          <w:i/>
          <w:iCs/>
          <w:color w:val="595959"/>
          <w:sz w:val="18"/>
          <w:szCs w:val="18"/>
        </w:rPr>
        <w:t xml:space="preserve">Coefficient (p-value). Refined specification = baseline without GasPrice.</w:t>
      </w:r>
    </w:p>
    <w:p>
      <w:pPr>
        <w:pStyle w:val="Heading2"/>
        <w:spacing w:after="120" w:before="280"/>
      </w:pPr>
      <w:r>
        <w:rPr>
          <w:rFonts w:ascii="Calibri" w:cs="Calibri" w:eastAsia="Calibri" w:hAnsi="Calibri"/>
          <w:b/>
          <w:bCs/>
          <w:color w:val="2E5395"/>
          <w:sz w:val="24"/>
          <w:szCs w:val="24"/>
        </w:rPr>
        <w:t xml:space="preserve">3.4 Diagnostics of the Refined Models</w:t>
      </w:r>
    </w:p>
    <w:p>
      <w:pPr>
        <w:spacing w:after="160" w:line="276"/>
        <w:jc w:val="both"/>
      </w:pPr>
      <w:r>
        <w:rPr>
          <w:rFonts w:ascii="Calibri" w:cs="Calibri" w:eastAsia="Calibri" w:hAnsi="Calibri"/>
          <w:sz w:val="21"/>
          <w:szCs w:val="21"/>
        </w:rPr>
        <w:t xml:space="preserve">After removing GasPrice, the largest VIF is 8.6 (ln(Fare_1st)), followed by 7.0 (ln(Employment)); no regressor exceeds the threshold of 10. For residual autocorrelation, the Economy models are clean (Durbin-Watson 2.07 static, 2.15 dynamic). The 1st Class static model has DW = 1.25, indicating positive residual autocorrelation — its standard errors are therefore too small and its t-statistics too optimistic — and adding the lag lifts DW to 1.70. Durbin's h, the formally correct test with a lagged dependent variable, is undefined in both dynamic models because n·se(γ)² exceeds 1 in this small sample, so the Durbin-Watson comparison is suggestive rather than conclusive.</w:t>
      </w:r>
    </w:p>
    <w:p>
      <w:pPr>
        <w:pStyle w:val="Heading2"/>
        <w:spacing w:after="120" w:before="280"/>
      </w:pPr>
      <w:r>
        <w:rPr>
          <w:rFonts w:ascii="Calibri" w:cs="Calibri" w:eastAsia="Calibri" w:hAnsi="Calibri"/>
          <w:b/>
          <w:bCs/>
          <w:color w:val="2E5395"/>
          <w:sz w:val="24"/>
          <w:szCs w:val="24"/>
        </w:rPr>
        <w:t xml:space="preserve">3.5 Final Model Selection</w:t>
      </w:r>
    </w:p>
    <w:p>
      <w:pPr>
        <w:spacing w:after="160" w:line="276"/>
        <w:jc w:val="both"/>
      </w:pPr>
      <w:r>
        <w:rPr>
          <w:rFonts w:ascii="Calibri" w:cs="Calibri" w:eastAsia="Calibri" w:hAnsi="Calibri"/>
          <w:sz w:val="21"/>
          <w:szCs w:val="21"/>
        </w:rPr>
        <w:t xml:space="preserve">Static and dynamic models were compared on the common 35-quarter sample using (i) the significance of γ, (ii) AIC and BIC, (iii) adjusted R², and (iv) residual autocorrelation.</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2600"/>
        <w:gridCol w:w="1100"/>
        <w:gridCol w:w="1000"/>
        <w:gridCol w:w="1100"/>
        <w:gridCol w:w="1100"/>
        <w:gridCol w:w="900"/>
        <w:gridCol w:w="2280"/>
      </w:tblGrid>
      <w:tr>
        <w:trPr>
          <w:tblHeader/>
        </w:trPr>
        <w:tc>
          <w:tcPr>
            <w:tcW w:type="dxa" w:w="26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Class / specification</w:t>
            </w:r>
          </w:p>
        </w:tc>
        <w:tc>
          <w:tcPr>
            <w:tcW w:type="dxa" w:w="11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Form</w:t>
            </w:r>
          </w:p>
        </w:tc>
        <w:tc>
          <w:tcPr>
            <w:tcW w:type="dxa" w:w="10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Adj. R²</w:t>
            </w:r>
          </w:p>
        </w:tc>
        <w:tc>
          <w:tcPr>
            <w:tcW w:type="dxa" w:w="11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AIC</w:t>
            </w:r>
          </w:p>
        </w:tc>
        <w:tc>
          <w:tcPr>
            <w:tcW w:type="dxa" w:w="11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BIC</w:t>
            </w:r>
          </w:p>
        </w:tc>
        <w:tc>
          <w:tcPr>
            <w:tcW w:type="dxa" w:w="9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DW</w:t>
            </w:r>
          </w:p>
        </w:tc>
        <w:tc>
          <w:tcPr>
            <w:tcW w:type="dxa" w:w="22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γ (p-value)</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Economy — baseline</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static</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0.908</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−129.0</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−113.5</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1.98</w:t>
            </w:r>
          </w:p>
        </w:tc>
        <w:tc>
          <w:tcPr>
            <w:tcW w:type="dxa" w:w="22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r>
      <w:tr>
        <w:tc>
          <w:tcPr>
            <w:tcW w:type="dxa" w:w="26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dynamic</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0.905</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−127.4</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−110.3</w:t>
            </w:r>
          </w:p>
        </w:tc>
        <w:tc>
          <w:tcPr>
            <w:tcW w:type="dxa" w:w="9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2.12</w:t>
            </w:r>
          </w:p>
        </w:tc>
        <w:tc>
          <w:tcPr>
            <w:tcW w:type="dxa" w:w="22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0.099 (0.623)</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Economy — refined</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static</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0.910</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−130.5</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−116.5</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1.97</w:t>
            </w:r>
          </w:p>
        </w:tc>
        <w:tc>
          <w:tcPr>
            <w:tcW w:type="dxa" w:w="22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r>
      <w:tr>
        <w:tc>
          <w:tcPr>
            <w:tcW w:type="dxa" w:w="26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dynamic</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0.908</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−129.1</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−113.5</w:t>
            </w:r>
          </w:p>
        </w:tc>
        <w:tc>
          <w:tcPr>
            <w:tcW w:type="dxa" w:w="9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2.15</w:t>
            </w:r>
          </w:p>
        </w:tc>
        <w:tc>
          <w:tcPr>
            <w:tcW w:type="dxa" w:w="22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0.123 (0.517)</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1st Class — baseline</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static</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0.822</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−81.4</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−65.8</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1.35</w:t>
            </w:r>
          </w:p>
        </w:tc>
        <w:tc>
          <w:tcPr>
            <w:tcW w:type="dxa" w:w="22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r>
      <w:tr>
        <w:tc>
          <w:tcPr>
            <w:tcW w:type="dxa" w:w="26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dynamic</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0.832</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−82.8</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−65.7</w:t>
            </w:r>
          </w:p>
        </w:tc>
        <w:tc>
          <w:tcPr>
            <w:tcW w:type="dxa" w:w="9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1.72</w:t>
            </w:r>
          </w:p>
        </w:tc>
        <w:tc>
          <w:tcPr>
            <w:tcW w:type="dxa" w:w="22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0.281 (0.131)</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1st Class — refined</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static</w:t>
            </w:r>
          </w:p>
        </w:tc>
        <w:tc>
          <w:tcPr>
            <w:tcW w:type="dxa" w:w="10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0.828</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−83.2</w:t>
            </w:r>
          </w:p>
        </w:tc>
        <w:tc>
          <w:tcPr>
            <w:tcW w:type="dxa" w:w="11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−69.2</w:t>
            </w:r>
          </w:p>
        </w:tc>
        <w:tc>
          <w:tcPr>
            <w:tcW w:type="dxa" w:w="9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1.30</w:t>
            </w:r>
          </w:p>
        </w:tc>
        <w:tc>
          <w:tcPr>
            <w:tcW w:type="dxa" w:w="22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r>
      <w:tr>
        <w:tc>
          <w:tcPr>
            <w:tcW w:type="dxa" w:w="26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dynamic</w:t>
            </w:r>
          </w:p>
        </w:tc>
        <w:tc>
          <w:tcPr>
            <w:tcW w:type="dxa" w:w="10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0.838</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−84.7</w:t>
            </w:r>
          </w:p>
        </w:tc>
        <w:tc>
          <w:tcPr>
            <w:tcW w:type="dxa" w:w="11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−69.2</w:t>
            </w:r>
          </w:p>
        </w:tc>
        <w:tc>
          <w:tcPr>
            <w:tcW w:type="dxa" w:w="9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1.70</w:t>
            </w:r>
          </w:p>
        </w:tc>
        <w:tc>
          <w:tcPr>
            <w:tcW w:type="dxa" w:w="22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0.285 (0.115)</w:t>
            </w:r>
          </w:p>
        </w:tc>
      </w:tr>
    </w:tbl>
    <w:p>
      <w:pPr>
        <w:spacing w:after="200" w:before="80"/>
      </w:pPr>
      <w:r>
        <w:rPr>
          <w:rFonts w:ascii="Calibri" w:cs="Calibri" w:eastAsia="Calibri" w:hAnsi="Calibri"/>
          <w:i/>
          <w:iCs/>
          <w:color w:val="595959"/>
          <w:sz w:val="18"/>
          <w:szCs w:val="18"/>
        </w:rPr>
        <w:t xml:space="preserve">All rows on the same 35 observations. Lower AIC/BIC is better.</w:t>
      </w:r>
    </w:p>
    <w:p>
      <w:pPr>
        <w:spacing w:after="160" w:line="276"/>
        <w:jc w:val="both"/>
      </w:pPr>
      <w:r>
        <w:rPr>
          <w:rFonts w:ascii="Calibri" w:cs="Calibri" w:eastAsia="Calibri" w:hAnsi="Calibri"/>
          <w:b/>
          <w:bCs/>
          <w:sz w:val="21"/>
          <w:szCs w:val="21"/>
        </w:rPr>
        <w:t xml:space="preserve">Economy — final model: refined static. </w:t>
      </w:r>
      <w:r>
        <w:rPr>
          <w:rFonts w:ascii="Calibri" w:cs="Calibri" w:eastAsia="Calibri" w:hAnsi="Calibri"/>
          <w:sz w:val="21"/>
          <w:szCs w:val="21"/>
        </w:rPr>
        <w:t xml:space="preserve">The lag coefficient is small and far from significant (γ = 0.12, p = 0.52), and AIC, BIC and adjusted R² all favour the static model in both the baseline and refined forms. There is no statistical support for lagged demand in this segment: Economy ridership adjusts to changing conditions essentially within the quarter.</w:t>
      </w:r>
    </w:p>
    <w:p>
      <w:pPr>
        <w:spacing w:after="160" w:line="276"/>
        <w:jc w:val="both"/>
      </w:pPr>
      <w:r>
        <w:rPr>
          <w:rFonts w:ascii="Calibri" w:cs="Calibri" w:eastAsia="Calibri" w:hAnsi="Calibri"/>
          <w:b/>
          <w:bCs/>
          <w:sz w:val="21"/>
          <w:szCs w:val="21"/>
        </w:rPr>
        <w:t xml:space="preserve">1st Class — final model: refined dynamic. </w:t>
      </w:r>
      <w:r>
        <w:rPr>
          <w:rFonts w:ascii="Calibri" w:cs="Calibri" w:eastAsia="Calibri" w:hAnsi="Calibri"/>
          <w:sz w:val="21"/>
          <w:szCs w:val="21"/>
        </w:rPr>
        <w:t xml:space="preserve">The evidence is more balanced, and this is a judgement call rather than a decisive result. In favour of the dynamic form: γ = 0.285 has the theoretically expected positive sign; AIC is 1.5 lower and adjusted R² 0.010 higher; BIC is tied; and, most importantly, the lag removes most of the positive residual autocorrelation (DW 1.30 → 1.70), which otherwise invalidates the static model's standard errors. Against it: γ is not significant at 5% (p = 0.115; the one-sided p-value for the directional hypothesis γ &gt; 0 is about 0.06), and an AIC difference below 2 is not strong evidence. The dynamic form is chosen because it corrects a genuine specification problem (autocorrelated residuals) and is behaviourally plausible for a segment likely to include habitual business travellers, but its conclusion is flagged as weak.</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4. Elasticity Discussion of the Final Models</w:t>
      </w:r>
    </w:p>
    <w:p>
      <w:pPr>
        <w:spacing w:after="160" w:line="276"/>
        <w:jc w:val="both"/>
      </w:pPr>
      <w:r>
        <w:rPr>
          <w:rFonts w:ascii="Calibri" w:cs="Calibri" w:eastAsia="Calibri" w:hAnsi="Calibri"/>
          <w:sz w:val="21"/>
          <w:szCs w:val="21"/>
        </w:rPr>
        <w:t xml:space="preserve">In both final models the log-log coefficients are elasticities, the Delays coefficient is a semi-elasticity, and each quarter dummy is converted to a percentage difference from Q1. Only significant estimates are treated as evidence; the rest are reported for completeness and flagged as inconclusive.</w:t>
      </w:r>
    </w:p>
    <w:p>
      <w:pPr>
        <w:pStyle w:val="Heading2"/>
        <w:spacing w:after="120" w:before="280"/>
      </w:pPr>
      <w:r>
        <w:rPr>
          <w:rFonts w:ascii="Calibri" w:cs="Calibri" w:eastAsia="Calibri" w:hAnsi="Calibri"/>
          <w:b/>
          <w:bCs/>
          <w:color w:val="2E5395"/>
          <w:sz w:val="24"/>
          <w:szCs w:val="24"/>
        </w:rPr>
        <w:t xml:space="preserve">4.1 Economy Class (refined static model)</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1900"/>
        <w:gridCol w:w="1350"/>
        <w:gridCol w:w="950"/>
        <w:gridCol w:w="1250"/>
        <w:gridCol w:w="4630"/>
      </w:tblGrid>
      <w:tr>
        <w:trPr>
          <w:tblHeader/>
        </w:trPr>
        <w:tc>
          <w:tcPr>
            <w:tcW w:type="dxa" w:w="19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135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Elasticity</w:t>
            </w:r>
          </w:p>
        </w:tc>
        <w:tc>
          <w:tcPr>
            <w:tcW w:type="dxa" w:w="95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p-value</w:t>
            </w:r>
          </w:p>
        </w:tc>
        <w:tc>
          <w:tcPr>
            <w:tcW w:type="dxa" w:w="125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w:t>
            </w:r>
          </w:p>
        </w:tc>
        <w:tc>
          <w:tcPr>
            <w:tcW w:type="dxa" w:w="463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Interpretation</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Own fare</w:t>
            </w:r>
          </w:p>
        </w:tc>
        <w:tc>
          <w:tcPr>
            <w:tcW w:type="dxa" w:w="13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+0.16</w:t>
            </w:r>
          </w:p>
        </w:tc>
        <w:tc>
          <w:tcPr>
            <w:tcW w:type="dxa" w:w="9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0.601</w:t>
            </w:r>
          </w:p>
        </w:tc>
        <w:tc>
          <w:tcPr>
            <w:tcW w:type="dxa" w:w="12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c>
          <w:tcPr>
            <w:tcW w:type="dxa" w:w="463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Wrong sign and imprecise; no reliable evidence on Economy's own-price sensitivity (see below).</w:t>
            </w:r>
          </w:p>
        </w:tc>
      </w:tr>
      <w:tr>
        <w:tc>
          <w:tcPr>
            <w:tcW w:type="dxa" w:w="1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Cross fare (1st Class)</w:t>
            </w:r>
          </w:p>
        </w:tc>
        <w:tc>
          <w:tcPr>
            <w:tcW w:type="dxa" w:w="13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−0.66</w:t>
            </w:r>
          </w:p>
        </w:tc>
        <w:tc>
          <w:tcPr>
            <w:tcW w:type="dxa" w:w="9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0.041</w:t>
            </w:r>
          </w:p>
        </w:tc>
        <w:tc>
          <w:tcPr>
            <w:tcW w:type="dxa" w:w="12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Negative, opposite to the substitution expected: a 10% higher 1st Class fare is associated with about 6.6% lower Economy ridership. Suggests common demand shocks or complementarity rather than substitution, and should be treated cautiously.</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Air fare</w:t>
            </w:r>
          </w:p>
        </w:tc>
        <w:tc>
          <w:tcPr>
            <w:tcW w:type="dxa" w:w="13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+0.19</w:t>
            </w:r>
          </w:p>
        </w:tc>
        <w:tc>
          <w:tcPr>
            <w:tcW w:type="dxa" w:w="9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0.008</w:t>
            </w:r>
          </w:p>
        </w:tc>
        <w:tc>
          <w:tcPr>
            <w:tcW w:type="dxa" w:w="12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 10% rise in air fares is associated with about 1.9% higher Economy ridership: a real but inelastic diversion from air to rail.</w:t>
            </w:r>
          </w:p>
        </w:tc>
      </w:tr>
      <w:tr>
        <w:tc>
          <w:tcPr>
            <w:tcW w:type="dxa" w:w="1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Regional employment</w:t>
            </w:r>
          </w:p>
        </w:tc>
        <w:tc>
          <w:tcPr>
            <w:tcW w:type="dxa" w:w="13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+1.04</w:t>
            </w:r>
          </w:p>
        </w:tc>
        <w:tc>
          <w:tcPr>
            <w:tcW w:type="dxa" w:w="9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12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About unit-elastic: a 10% rise in regional employment goes with roughly a 10% rise in Economy ridership. The dominant driver of Economy demand.</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 (per incident)</w:t>
            </w:r>
          </w:p>
        </w:tc>
        <w:tc>
          <w:tcPr>
            <w:tcW w:type="dxa" w:w="13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−0.03%</w:t>
            </w:r>
          </w:p>
        </w:tc>
        <w:tc>
          <w:tcPr>
            <w:tcW w:type="dxa" w:w="9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0.617</w:t>
            </w:r>
          </w:p>
        </w:tc>
        <w:tc>
          <w:tcPr>
            <w:tcW w:type="dxa" w:w="12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c>
          <w:tcPr>
            <w:tcW w:type="dxa" w:w="463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Correct sign but negligible over the observed range.</w:t>
            </w:r>
          </w:p>
        </w:tc>
      </w:tr>
      <w:tr>
        <w:tc>
          <w:tcPr>
            <w:tcW w:type="dxa" w:w="1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13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−11.1%</w:t>
            </w:r>
          </w:p>
        </w:tc>
        <w:tc>
          <w:tcPr>
            <w:tcW w:type="dxa" w:w="9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&lt;0.001</w:t>
            </w:r>
          </w:p>
        </w:tc>
        <w:tc>
          <w:tcPr>
            <w:tcW w:type="dxa" w:w="12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Seasonal low.</w:t>
            </w:r>
          </w:p>
        </w:tc>
      </w:tr>
      <w:tr>
        <w:tc>
          <w:tcPr>
            <w:tcW w:type="dxa" w:w="1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13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−5.6%</w:t>
            </w:r>
          </w:p>
        </w:tc>
        <w:tc>
          <w:tcPr>
            <w:tcW w:type="dxa" w:w="9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0.025</w:t>
            </w:r>
          </w:p>
        </w:tc>
        <w:tc>
          <w:tcPr>
            <w:tcW w:type="dxa" w:w="125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Partial recovery.</w:t>
            </w:r>
          </w:p>
        </w:tc>
      </w:tr>
      <w:tr>
        <w:tc>
          <w:tcPr>
            <w:tcW w:type="dxa" w:w="1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13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+6.2%</w:t>
            </w:r>
          </w:p>
        </w:tc>
        <w:tc>
          <w:tcPr>
            <w:tcW w:type="dxa" w:w="9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0.004</w:t>
            </w:r>
          </w:p>
        </w:tc>
        <w:tc>
          <w:tcPr>
            <w:tcW w:type="dxa" w:w="125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c>
          <w:tcPr>
            <w:tcW w:type="dxa" w:w="463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Seasonal peak; peak-to-trough (Q2 to Q4) about +19%.</w:t>
            </w:r>
          </w:p>
        </w:tc>
      </w:tr>
    </w:tbl>
    <w:p>
      <w:pPr>
        <w:spacing w:after="160" w:before="160"/>
        <w:jc w:val="both"/>
      </w:pPr>
      <w:r>
        <w:rPr>
          <w:rFonts w:ascii="Calibri" w:cs="Calibri" w:eastAsia="Calibri" w:hAnsi="Calibri"/>
          <w:sz w:val="21"/>
          <w:szCs w:val="21"/>
        </w:rPr>
        <w:t xml:space="preserve">Economy demand is driven mainly by regional economic activity and, secondarily, by air-fare competition. Because the model is static, these are effects within the quarter, with no evidence that they build up over time (γ ≈ 0).</w:t>
      </w:r>
    </w:p>
    <w:p>
      <w:pPr>
        <w:pStyle w:val="Heading2"/>
        <w:spacing w:after="120" w:before="280"/>
      </w:pPr>
      <w:r>
        <w:rPr>
          <w:rFonts w:ascii="Calibri" w:cs="Calibri" w:eastAsia="Calibri" w:hAnsi="Calibri"/>
          <w:b/>
          <w:bCs/>
          <w:color w:val="2E5395"/>
          <w:sz w:val="24"/>
          <w:szCs w:val="24"/>
        </w:rPr>
        <w:t xml:space="preserve">4.2 1st Class (refined dynamic model, γ = 0.285)</w:t>
      </w:r>
    </w:p>
    <w:p>
      <w:pPr>
        <w:spacing w:after="160" w:line="276"/>
        <w:jc w:val="both"/>
      </w:pPr>
      <w:r>
        <w:rPr>
          <w:rFonts w:ascii="Calibri" w:cs="Calibri" w:eastAsia="Calibri" w:hAnsi="Calibri"/>
          <w:sz w:val="21"/>
          <w:szCs w:val="21"/>
        </w:rPr>
        <w:t xml:space="preserve">For a dynamic model, the short-run elasticity is the estimated coefficient and the long-run elasticity — the eventual effect once ridership has fully adjusted — is the coefficient divided by (1 − 0.285) = 0.715, i.e. about 1.4 times larger.</w:t>
      </w:r>
    </w:p>
    <w:tbl>
      <w:tblPr>
        <w:tblW w:type="dxa" w:w="10080"/>
        <w:tblBorders>
          <w:top w:val="single" w:color="B7C6E0" w:sz="4"/>
          <w:left w:val="single" w:color="B7C6E0" w:sz="4"/>
          <w:bottom w:val="single" w:color="B7C6E0" w:sz="4"/>
          <w:right w:val="single" w:color="B7C6E0" w:sz="4"/>
          <w:insideH w:val="single" w:color="B7C6E0" w:sz="2"/>
          <w:insideV w:val="single" w:color="B7C6E0" w:sz="2"/>
        </w:tblBorders>
      </w:tblPr>
      <w:tblGrid>
        <w:gridCol w:w="2900"/>
        <w:gridCol w:w="1500"/>
        <w:gridCol w:w="1500"/>
        <w:gridCol w:w="1500"/>
        <w:gridCol w:w="2680"/>
      </w:tblGrid>
      <w:tr>
        <w:trPr>
          <w:tblHeader/>
        </w:trPr>
        <w:tc>
          <w:tcPr>
            <w:tcW w:type="dxa" w:w="2900"/>
            <w:shd w:fill="1F3864" w:val="clear"/>
            <w:tcMar>
              <w:top w:type="dxa" w:w="60"/>
              <w:left w:type="dxa" w:w="100"/>
              <w:bottom w:type="dxa" w:w="60"/>
              <w:right w:type="dxa" w:w="100"/>
            </w:tcMar>
            <w:vAlign w:val="center"/>
          </w:tcPr>
          <w:p>
            <w:pPr>
              <w:jc w:val="left"/>
            </w:pPr>
            <w:r>
              <w:rPr>
                <w:rFonts w:ascii="Calibri" w:cs="Calibri" w:eastAsia="Calibri" w:hAnsi="Calibri"/>
                <w:b/>
                <w:bCs/>
                <w:color w:val="FFFFFF"/>
                <w:sz w:val="19"/>
                <w:szCs w:val="19"/>
              </w:rPr>
              <w:t xml:space="preserve">Variable</w:t>
            </w:r>
          </w:p>
        </w:tc>
        <w:tc>
          <w:tcPr>
            <w:tcW w:type="dxa" w:w="15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Short-run</w:t>
            </w:r>
          </w:p>
        </w:tc>
        <w:tc>
          <w:tcPr>
            <w:tcW w:type="dxa" w:w="15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Long-run</w:t>
            </w:r>
          </w:p>
        </w:tc>
        <w:tc>
          <w:tcPr>
            <w:tcW w:type="dxa" w:w="150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p-value</w:t>
            </w:r>
          </w:p>
        </w:tc>
        <w:tc>
          <w:tcPr>
            <w:tcW w:type="dxa" w:w="2680"/>
            <w:shd w:fill="1F3864"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w:t>
            </w:r>
          </w:p>
        </w:tc>
      </w:tr>
      <w:tr>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Own fare (Fare_1st)</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+0.81</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+1.14</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0.300</w:t>
            </w:r>
          </w:p>
        </w:tc>
        <w:tc>
          <w:tcPr>
            <w:tcW w:type="dxa" w:w="2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Cross fare (Fare_econ)</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+0.67</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+0.94</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0.302</w:t>
            </w:r>
          </w:p>
        </w:tc>
        <w:tc>
          <w:tcPr>
            <w:tcW w:type="dxa" w:w="26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Air fare</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+0.07</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+0.09</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0.636</w:t>
            </w:r>
          </w:p>
        </w:tc>
        <w:tc>
          <w:tcPr>
            <w:tcW w:type="dxa" w:w="2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Regional employment</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−0.36</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−0.51</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0.414</w:t>
            </w:r>
          </w:p>
        </w:tc>
        <w:tc>
          <w:tcPr>
            <w:tcW w:type="dxa" w:w="26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Delays (per incident)</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−0.13%</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−0.18%</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0.249</w:t>
            </w:r>
          </w:p>
        </w:tc>
        <w:tc>
          <w:tcPr>
            <w:tcW w:type="dxa" w:w="2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Q2 vs Q1</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−4.7%</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0.223</w:t>
            </w:r>
          </w:p>
        </w:tc>
        <w:tc>
          <w:tcPr>
            <w:tcW w:type="dxa" w:w="26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Not significant</w:t>
            </w:r>
          </w:p>
        </w:tc>
      </w:tr>
      <w:tr>
        <w:tc>
          <w:tcPr>
            <w:tcW w:type="dxa" w:w="2900"/>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Q3 vs Q1</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−12.3%</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50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0.023</w:t>
            </w:r>
          </w:p>
        </w:tc>
        <w:tc>
          <w:tcPr>
            <w:tcW w:type="dxa" w:w="2680"/>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r>
        <w:tc>
          <w:tcPr>
            <w:tcW w:type="dxa" w:w="2900"/>
            <w:shd w:fill="EAF0F9" w:val="clear"/>
            <w:tcMar>
              <w:top w:type="dxa" w:w="60"/>
              <w:left w:type="dxa" w:w="100"/>
              <w:bottom w:type="dxa" w:w="60"/>
              <w:right w:type="dxa" w:w="100"/>
            </w:tcMar>
            <w:vAlign w:val="center"/>
          </w:tcPr>
          <w:p>
            <w:pPr>
              <w:jc w:val="left"/>
            </w:pPr>
            <w:r>
              <w:rPr>
                <w:rFonts w:ascii="Calibri" w:cs="Calibri" w:eastAsia="Calibri" w:hAnsi="Calibri"/>
                <w:b w:val="false"/>
                <w:bCs w:val="false"/>
                <w:color w:val="000000"/>
                <w:sz w:val="19"/>
                <w:szCs w:val="19"/>
              </w:rPr>
              <w:t xml:space="preserve">Q4 vs Q1</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+20.8%</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w:t>
            </w:r>
          </w:p>
        </w:tc>
        <w:tc>
          <w:tcPr>
            <w:tcW w:type="dxa" w:w="150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0.006</w:t>
            </w:r>
          </w:p>
        </w:tc>
        <w:tc>
          <w:tcPr>
            <w:tcW w:type="dxa" w:w="2680"/>
            <w:shd w:fill="EAF0F9" w:val="clear"/>
            <w:tcMar>
              <w:top w:type="dxa" w:w="60"/>
              <w:left w:type="dxa" w:w="100"/>
              <w:bottom w:type="dxa" w:w="60"/>
              <w:right w:type="dxa" w:w="100"/>
            </w:tcMar>
            <w:vAlign w:val="center"/>
          </w:tcPr>
          <w:p>
            <w:pPr>
              <w:jc w:val="center"/>
            </w:pPr>
            <w:r>
              <w:rPr>
                <w:rFonts w:ascii="Calibri" w:cs="Calibri" w:eastAsia="Calibri" w:hAnsi="Calibri"/>
                <w:b w:val="false"/>
                <w:bCs w:val="false"/>
                <w:color w:val="000000"/>
                <w:sz w:val="19"/>
                <w:szCs w:val="19"/>
              </w:rPr>
              <w:t xml:space="preserve">Significant</w:t>
            </w:r>
          </w:p>
        </w:tc>
      </w:tr>
    </w:tbl>
    <w:p>
      <w:pPr>
        <w:spacing w:after="200" w:before="80"/>
      </w:pPr>
      <w:r>
        <w:rPr>
          <w:rFonts w:ascii="Calibri" w:cs="Calibri" w:eastAsia="Calibri" w:hAnsi="Calibri"/>
          <w:i/>
          <w:iCs/>
          <w:color w:val="595959"/>
          <w:sz w:val="18"/>
          <w:szCs w:val="18"/>
        </w:rPr>
        <w:t xml:space="preserve">Seasonal effects are shown as short-run percentage differences; long-run scaling is not applied to dummies.</w:t>
      </w:r>
    </w:p>
    <w:p>
      <w:pPr>
        <w:spacing w:after="160" w:before="160"/>
        <w:jc w:val="both"/>
      </w:pPr>
      <w:r>
        <w:rPr>
          <w:rFonts w:ascii="Calibri" w:cs="Calibri" w:eastAsia="Calibri" w:hAnsi="Calibri"/>
          <w:sz w:val="21"/>
          <w:szCs w:val="21"/>
        </w:rPr>
        <w:t xml:space="preserve">No price, competition or economic-activity elasticity is statistically significant for 1st Class; only the seasonal effects are reliably estimated. What is clear is that 1st Class is far more seasonal than Economy: model-implied ridership is about 38% higher in Q4 than in Q3, versus about 19% between Economy's trough (Q2) and peak (Q4) — roughly twice the swing — consistent with 1st Class travel being concentrated in specific peak periods.</w:t>
      </w:r>
    </w:p>
    <w:p>
      <w:pPr>
        <w:pStyle w:val="Heading2"/>
        <w:spacing w:after="120" w:before="280"/>
      </w:pPr>
      <w:r>
        <w:rPr>
          <w:rFonts w:ascii="Calibri" w:cs="Calibri" w:eastAsia="Calibri" w:hAnsi="Calibri"/>
          <w:b/>
          <w:bCs/>
          <w:color w:val="2E5395"/>
          <w:sz w:val="24"/>
          <w:szCs w:val="24"/>
        </w:rPr>
        <w:t xml:space="preserve">4.3 The Own-Fare Puzzle</w:t>
      </w:r>
    </w:p>
    <w:p>
      <w:pPr>
        <w:spacing w:after="160" w:line="276"/>
        <w:jc w:val="both"/>
      </w:pPr>
      <w:r>
        <w:rPr>
          <w:rFonts w:ascii="Calibri" w:cs="Calibri" w:eastAsia="Calibri" w:hAnsi="Calibri"/>
          <w:sz w:val="21"/>
          <w:szCs w:val="21"/>
        </w:rPr>
        <w:t xml:space="preserve">In both final models the own-fare elasticity is positive, contrary to demand theory (for 1st Class it is significantly positive in the refined static model, +1.27, p = 0.048). Multicollinearity is an unlikely explanation, since the refined VIFs are below 10 and the sign persists. A more probable cause is price endogeneity: average fare per km can rise because demand is high (through yield management or peak pricing), so the regression partly captures demand pushing fares up instead of fares pushing demand down. Consequently, the own-fare elasticities in this report must not be used for fare-policy conclusions; identifying them would need an instrument (a cost-side variable that shifts fares but not demand) or fare data that are set independently of demand.</w:t>
      </w:r>
    </w:p>
    <w:p>
      <w:pPr>
        <w:pStyle w:val="Heading2"/>
        <w:spacing w:after="120" w:before="280"/>
      </w:pPr>
      <w:r>
        <w:rPr>
          <w:rFonts w:ascii="Calibri" w:cs="Calibri" w:eastAsia="Calibri" w:hAnsi="Calibri"/>
          <w:b/>
          <w:bCs/>
          <w:color w:val="2E5395"/>
          <w:sz w:val="24"/>
          <w:szCs w:val="24"/>
        </w:rPr>
        <w:t xml:space="preserve">4.4 Comparison and Implications</w:t>
      </w:r>
    </w:p>
    <w:p>
      <w:pPr>
        <w:pStyle w:val="ListParagraph"/>
        <w:numPr>
          <w:ilvl w:val="0"/>
          <w:numId w:val="2"/>
        </w:numPr>
        <w:spacing w:after="80"/>
      </w:pPr>
      <w:r>
        <w:rPr>
          <w:rFonts w:ascii="Calibri" w:cs="Calibri" w:eastAsia="Calibri" w:hAnsi="Calibri"/>
          <w:sz w:val="21"/>
          <w:szCs w:val="21"/>
        </w:rPr>
        <w:t xml:space="preserve">Economy ridership is tied to the regional economy (elasticity about 1) and air-fare competition, and responds within the quarter.</w:t>
      </w:r>
    </w:p>
    <w:p>
      <w:pPr>
        <w:pStyle w:val="ListParagraph"/>
        <w:numPr>
          <w:ilvl w:val="0"/>
          <w:numId w:val="2"/>
        </w:numPr>
        <w:spacing w:after="80"/>
      </w:pPr>
      <w:r>
        <w:rPr>
          <w:rFonts w:ascii="Calibri" w:cs="Calibri" w:eastAsia="Calibri" w:hAnsi="Calibri"/>
          <w:sz w:val="21"/>
          <w:szCs w:val="21"/>
        </w:rPr>
        <w:t xml:space="preserve">Both classes have strong, stable seasonality, but 1st Class swings roughly twice as much, so 1st Class capacity (rolling stock allocation, staffing) may need to flex more between Q3 and Q4 than Economy capacity.</w:t>
      </w:r>
    </w:p>
    <w:p>
      <w:pPr>
        <w:pStyle w:val="ListParagraph"/>
        <w:numPr>
          <w:ilvl w:val="0"/>
          <w:numId w:val="2"/>
        </w:numPr>
        <w:spacing w:after="80"/>
      </w:pPr>
      <w:r>
        <w:rPr>
          <w:rFonts w:ascii="Calibri" w:cs="Calibri" w:eastAsia="Calibri" w:hAnsi="Calibri"/>
          <w:sz w:val="21"/>
          <w:szCs w:val="21"/>
        </w:rPr>
        <w:t xml:space="preserve">1st Class shows modest evidence of habit persistence (long-run responses about 1.4 times short-run), so effects of a service or fare change on that segment may take more than one quarter to fully appear.</w:t>
      </w:r>
    </w:p>
    <w:p>
      <w:pPr>
        <w:pageBreakBefore/>
      </w:pPr>
    </w:p>
    <w:p>
      <w:pPr>
        <w:pStyle w:val="Heading1"/>
        <w:pBdr>
          <w:bottom w:val="single" w:color="1F3864" w:sz="8" w:space="4"/>
        </w:pBdr>
        <w:spacing w:after="160" w:before="360"/>
      </w:pPr>
      <w:r>
        <w:rPr>
          <w:rFonts w:ascii="Calibri" w:cs="Calibri" w:eastAsia="Calibri" w:hAnsi="Calibri"/>
          <w:b/>
          <w:bCs/>
          <w:color w:val="1F3864"/>
          <w:sz w:val="28"/>
          <w:szCs w:val="28"/>
        </w:rPr>
        <w:t xml:space="preserve">5. Limitations and Conclusion</w:t>
      </w:r>
    </w:p>
    <w:p>
      <w:pPr>
        <w:pStyle w:val="Heading2"/>
        <w:spacing w:after="120" w:before="280"/>
      </w:pPr>
      <w:r>
        <w:rPr>
          <w:rFonts w:ascii="Calibri" w:cs="Calibri" w:eastAsia="Calibri" w:hAnsi="Calibri"/>
          <w:b/>
          <w:bCs/>
          <w:color w:val="2E5395"/>
          <w:sz w:val="24"/>
          <w:szCs w:val="24"/>
        </w:rPr>
        <w:t xml:space="preserve">5.1 Limitations</w:t>
      </w:r>
    </w:p>
    <w:p>
      <w:pPr>
        <w:pStyle w:val="ListParagraph"/>
        <w:numPr>
          <w:ilvl w:val="0"/>
          <w:numId w:val="2"/>
        </w:numPr>
        <w:spacing w:after="80"/>
      </w:pPr>
      <w:r>
        <w:rPr>
          <w:rFonts w:ascii="Calibri" w:cs="Calibri" w:eastAsia="Calibri" w:hAnsi="Calibri"/>
          <w:sz w:val="21"/>
          <w:szCs w:val="21"/>
        </w:rPr>
        <w:t xml:space="preserve">Price endogeneity: own-fare coefficients are wrong-signed in both classes, most plausibly because fares respond to demand. This is the main weakness of the models and limits their use for fare analysis.</w:t>
      </w:r>
    </w:p>
    <w:p>
      <w:pPr>
        <w:pStyle w:val="ListParagraph"/>
        <w:numPr>
          <w:ilvl w:val="0"/>
          <w:numId w:val="2"/>
        </w:numPr>
        <w:spacing w:after="80"/>
      </w:pPr>
      <w:r>
        <w:rPr>
          <w:rFonts w:ascii="Calibri" w:cs="Calibri" w:eastAsia="Calibri" w:hAnsi="Calibri"/>
          <w:sz w:val="21"/>
          <w:szCs w:val="21"/>
        </w:rPr>
        <w:t xml:space="preserve">Residual multicollinearity: dropping GasPrice brings all VIFs below 10, but ln(Fare_1st) (8.6) and ln(Employment) (7.0) remain moderately inflated, and the negative Economy cross-fare coefficient may partly reflect this.</w:t>
      </w:r>
    </w:p>
    <w:p>
      <w:pPr>
        <w:pStyle w:val="ListParagraph"/>
        <w:numPr>
          <w:ilvl w:val="0"/>
          <w:numId w:val="2"/>
        </w:numPr>
        <w:spacing w:after="80"/>
      </w:pPr>
      <w:r>
        <w:rPr>
          <w:rFonts w:ascii="Calibri" w:cs="Calibri" w:eastAsia="Calibri" w:hAnsi="Calibri"/>
          <w:sz w:val="21"/>
          <w:szCs w:val="21"/>
        </w:rPr>
        <w:t xml:space="preserve">Small sample: 36 quarterly observations (35 for dynamic models) for 9-10 parameters limits power, especially for the lagged-demand test. Durbin's h could not be computed.</w:t>
      </w:r>
    </w:p>
    <w:p>
      <w:pPr>
        <w:pStyle w:val="ListParagraph"/>
        <w:numPr>
          <w:ilvl w:val="0"/>
          <w:numId w:val="2"/>
        </w:numPr>
        <w:spacing w:after="80"/>
      </w:pPr>
      <w:r>
        <w:rPr>
          <w:rFonts w:ascii="Calibri" w:cs="Calibri" w:eastAsia="Calibri" w:hAnsi="Calibri"/>
          <w:sz w:val="21"/>
          <w:szCs w:val="21"/>
        </w:rPr>
        <w:t xml:space="preserve">The 1st Class choice of a dynamic model is a judgement: γ is significant only at roughly the 10-12% level, and the AIC advantage is below 2.</w:t>
      </w:r>
    </w:p>
    <w:p>
      <w:pPr>
        <w:pStyle w:val="ListParagraph"/>
        <w:numPr>
          <w:ilvl w:val="0"/>
          <w:numId w:val="2"/>
        </w:numPr>
        <w:spacing w:after="80"/>
      </w:pPr>
      <w:r>
        <w:rPr>
          <w:rFonts w:ascii="Calibri" w:cs="Calibri" w:eastAsia="Calibri" w:hAnsi="Calibri"/>
          <w:sz w:val="21"/>
          <w:szCs w:val="21"/>
        </w:rPr>
        <w:t xml:space="preserve">Seasonality is pooled across years; the year-by-year check supports this for Economy, with somewhat more drift for 1st Class.</w:t>
      </w:r>
    </w:p>
    <w:p>
      <w:pPr>
        <w:pStyle w:val="ListParagraph"/>
        <w:numPr>
          <w:ilvl w:val="0"/>
          <w:numId w:val="2"/>
        </w:numPr>
        <w:spacing w:after="80"/>
      </w:pPr>
      <w:r>
        <w:rPr>
          <w:rFonts w:ascii="Calibri" w:cs="Calibri" w:eastAsia="Calibri" w:hAnsi="Calibri"/>
          <w:sz w:val="21"/>
          <w:szCs w:val="21"/>
        </w:rPr>
        <w:t xml:space="preserve">Dropping GasPrice risks omitted-variable bias if driving costs truly matter; the data cannot separate its effect from that of employment.</w:t>
      </w:r>
    </w:p>
    <w:p>
      <w:pPr>
        <w:pStyle w:val="Heading2"/>
        <w:spacing w:after="120" w:before="280"/>
      </w:pPr>
      <w:r>
        <w:rPr>
          <w:rFonts w:ascii="Calibri" w:cs="Calibri" w:eastAsia="Calibri" w:hAnsi="Calibri"/>
          <w:b/>
          <w:bCs/>
          <w:color w:val="2E5395"/>
          <w:sz w:val="24"/>
          <w:szCs w:val="24"/>
        </w:rPr>
        <w:t xml:space="preserve">5.2 Conclusion</w:t>
      </w:r>
    </w:p>
    <w:p>
      <w:pPr>
        <w:spacing w:after="160" w:line="276"/>
        <w:jc w:val="both"/>
      </w:pPr>
      <w:r>
        <w:rPr>
          <w:rFonts w:ascii="Calibri" w:cs="Calibri" w:eastAsia="Calibri" w:hAnsi="Calibri"/>
          <w:sz w:val="21"/>
          <w:szCs w:val="21"/>
        </w:rPr>
        <w:t xml:space="preserve">Log-log direct demand models were estimated for Economy and 1st Class ridership, with and without lagged demand, and multicollinearity among the regressors was diagnosed and reduced by removing gas price. The final Economy model is the refined static model: ridership is roughly proportional to regional employment, modestly boosted by air-fare increases, and strongly seasonal, with no evidence of lagged demand. The final 1st Class model is the refined dynamic model: none of its price or economic elasticities is significant, but it shows markedly stronger seasonality than Economy and moderate, borderline evidence of habit persistence (γ = 0.29), whose inclusion also corrects autocorrelated residuals. The main unresolved issue is the wrong-signed own-fare elasticity, most plausibly due to endogenous pricing, so the models describe the drivers of ridership well but should not yet be used to forecast the effect of fare changes.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6E0" w:sz="4" w:space="4"/>
      </w:pBdr>
      <w:jc w:val="right"/>
    </w:pPr>
    <w:r>
      <w:rPr>
        <w:rFonts w:ascii="Calibri" w:cs="Calibri" w:eastAsia="Calibri" w:hAnsi="Calibri"/>
        <w:i/>
        <w:iCs/>
        <w:color w:val="595959"/>
        <w:sz w:val="16"/>
        <w:szCs w:val="16"/>
      </w:rPr>
      <w:t xml:space="preserve">Direct Demand Model — Corridor Ridership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2026-09-21T21:56:36.262Z</dcterms:created>
  <dcterms:modified xsi:type="dcterms:W3CDTF">2026-09-21T21:56:36.270Z</dcterms:modified>
</cp:coreProperties>
</file>

<file path=docProps/custom.xml><?xml version="1.0" encoding="utf-8"?>
<Properties xmlns="http://schemas.openxmlformats.org/officeDocument/2006/custom-properties" xmlns:vt="http://schemas.openxmlformats.org/officeDocument/2006/docPropsVTypes"/>
</file>