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7003A" w14:textId="6C9CFD55" w:rsidR="00504F73" w:rsidRDefault="00504F73">
      <w:pPr>
        <w:rPr>
          <w:rFonts w:asciiTheme="majorHAnsi" w:hAnsiTheme="majorHAnsi" w:cstheme="majorHAnsi"/>
          <w:sz w:val="32"/>
          <w:szCs w:val="32"/>
          <w:lang w:val="en-IN"/>
        </w:rPr>
      </w:pPr>
      <w:r>
        <w:rPr>
          <w:rFonts w:asciiTheme="majorHAnsi" w:hAnsiTheme="majorHAnsi" w:cstheme="majorHAnsi"/>
          <w:sz w:val="32"/>
          <w:szCs w:val="32"/>
          <w:lang w:val="en-IN"/>
        </w:rPr>
        <w:t>Formalization of Stronger futures in Northern Territory Act 2012 (Division 3 subsection 41 and 42)</w:t>
      </w:r>
    </w:p>
    <w:p w14:paraId="19E8F742" w14:textId="10BA5D4F" w:rsidR="00D6119E" w:rsidRDefault="00504F73">
      <w:pPr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The formalization has been done using </w:t>
      </w:r>
      <w:r>
        <w:rPr>
          <w:rFonts w:cstheme="minorHAnsi"/>
          <w:i/>
          <w:iCs/>
          <w:sz w:val="24"/>
          <w:szCs w:val="24"/>
          <w:lang w:val="en-IN"/>
        </w:rPr>
        <w:t xml:space="preserve">Defeasible </w:t>
      </w:r>
      <w:r>
        <w:rPr>
          <w:rFonts w:cstheme="minorHAnsi"/>
          <w:sz w:val="24"/>
          <w:szCs w:val="24"/>
          <w:lang w:val="en-IN"/>
        </w:rPr>
        <w:t>rules and deontic modalities of obligation and permission. The section primarily focuses on obtaining a community</w:t>
      </w:r>
      <w:r w:rsidR="006C7BC7">
        <w:rPr>
          <w:rFonts w:cstheme="minorHAnsi"/>
          <w:sz w:val="24"/>
          <w:szCs w:val="24"/>
          <w:lang w:val="en-IN"/>
        </w:rPr>
        <w:t xml:space="preserve"> store</w:t>
      </w:r>
      <w:r>
        <w:rPr>
          <w:rFonts w:cstheme="minorHAnsi"/>
          <w:sz w:val="24"/>
          <w:szCs w:val="24"/>
          <w:lang w:val="en-IN"/>
        </w:rPr>
        <w:t xml:space="preserve"> licence </w:t>
      </w:r>
      <w:r w:rsidR="006C7BC7">
        <w:rPr>
          <w:rFonts w:cstheme="minorHAnsi"/>
          <w:sz w:val="24"/>
          <w:szCs w:val="24"/>
          <w:lang w:val="en-IN"/>
        </w:rPr>
        <w:t>through the permission of the secretory (the process has many obligations and rules).</w:t>
      </w:r>
    </w:p>
    <w:p w14:paraId="60A30BE0" w14:textId="1AF1E45C" w:rsidR="006C7BC7" w:rsidRDefault="006C7BC7">
      <w:pPr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The process has been developed by the lines of </w:t>
      </w:r>
      <w:r>
        <w:rPr>
          <w:rFonts w:cstheme="minorHAnsi"/>
          <w:i/>
          <w:iCs/>
          <w:sz w:val="24"/>
          <w:szCs w:val="24"/>
          <w:lang w:val="en-IN"/>
        </w:rPr>
        <w:t>Modelling contracts using RuleML</w:t>
      </w:r>
      <w:r>
        <w:rPr>
          <w:rFonts w:cstheme="minorHAnsi"/>
          <w:sz w:val="24"/>
          <w:szCs w:val="24"/>
          <w:lang w:val="en-IN"/>
        </w:rPr>
        <w:t xml:space="preserve"> [1].</w:t>
      </w:r>
    </w:p>
    <w:p w14:paraId="35B486EB" w14:textId="3553A1CA" w:rsidR="006C7BC7" w:rsidRDefault="00522BDB">
      <w:pPr>
        <w:rPr>
          <w:rFonts w:asciiTheme="majorHAnsi" w:hAnsiTheme="majorHAnsi" w:cstheme="majorHAnsi"/>
          <w:sz w:val="24"/>
          <w:szCs w:val="24"/>
          <w:lang w:val="en-IN"/>
        </w:rPr>
      </w:pPr>
      <w:r w:rsidRPr="00522BDB">
        <w:rPr>
          <w:rFonts w:asciiTheme="majorHAnsi" w:hAnsiTheme="majorHAnsi" w:cstheme="majorHAnsi"/>
          <w:sz w:val="24"/>
          <w:szCs w:val="24"/>
          <w:lang w:val="en-IN"/>
        </w:rPr>
        <w:drawing>
          <wp:inline distT="0" distB="0" distL="0" distR="0" wp14:anchorId="7A71D665" wp14:editId="6D857E85">
            <wp:extent cx="3858937" cy="6191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0385" cy="6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8465" w14:textId="3568C905" w:rsidR="00522BDB" w:rsidRDefault="00522BDB">
      <w:pPr>
        <w:rPr>
          <w:rFonts w:asciiTheme="majorHAnsi" w:hAnsiTheme="majorHAnsi" w:cstheme="majorHAnsi"/>
          <w:sz w:val="24"/>
          <w:szCs w:val="24"/>
          <w:lang w:val="en-IN"/>
        </w:rPr>
      </w:pPr>
      <w:r w:rsidRPr="00522BDB">
        <w:rPr>
          <w:rFonts w:asciiTheme="majorHAnsi" w:hAnsiTheme="majorHAnsi" w:cstheme="majorHAnsi"/>
          <w:sz w:val="24"/>
          <w:szCs w:val="24"/>
          <w:lang w:val="en-IN"/>
        </w:rPr>
        <w:drawing>
          <wp:inline distT="0" distB="0" distL="0" distR="0" wp14:anchorId="476BE8DC" wp14:editId="2575DB3F">
            <wp:extent cx="4138675" cy="53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6189" cy="5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8316" w14:textId="77A8C1C4" w:rsidR="008C4ECC" w:rsidRDefault="008C4ECC">
      <w:pPr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IN"/>
        </w:rPr>
        <w:t xml:space="preserve">(r2 &gt; r1) </w:t>
      </w:r>
      <w:r>
        <w:rPr>
          <w:rFonts w:asciiTheme="majorHAnsi" w:hAnsiTheme="majorHAnsi" w:cstheme="majorHAnsi"/>
          <w:sz w:val="24"/>
          <w:szCs w:val="24"/>
          <w:lang w:val="en-IN"/>
        </w:rPr>
        <w:t xml:space="preserve">Superiority relation between two rules </w:t>
      </w:r>
    </w:p>
    <w:p w14:paraId="682EEA63" w14:textId="385593CE" w:rsidR="008C4ECC" w:rsidRDefault="008C4ECC">
      <w:pPr>
        <w:rPr>
          <w:rFonts w:asciiTheme="majorHAnsi" w:hAnsiTheme="majorHAnsi" w:cstheme="majorHAnsi"/>
          <w:sz w:val="24"/>
          <w:szCs w:val="24"/>
          <w:lang w:val="en-IN"/>
        </w:rPr>
      </w:pPr>
      <w:r w:rsidRPr="008C4ECC">
        <w:rPr>
          <w:rFonts w:asciiTheme="majorHAnsi" w:hAnsiTheme="majorHAnsi" w:cstheme="majorHAnsi"/>
          <w:sz w:val="24"/>
          <w:szCs w:val="24"/>
          <w:lang w:val="en-IN"/>
        </w:rPr>
        <w:drawing>
          <wp:anchor distT="0" distB="0" distL="114300" distR="114300" simplePos="0" relativeHeight="251658240" behindDoc="0" locked="0" layoutInCell="1" allowOverlap="1" wp14:anchorId="38F2B01B" wp14:editId="4C1BAA3F">
            <wp:simplePos x="0" y="0"/>
            <wp:positionH relativeFrom="column">
              <wp:posOffset>333375</wp:posOffset>
            </wp:positionH>
            <wp:positionV relativeFrom="paragraph">
              <wp:posOffset>12064</wp:posOffset>
            </wp:positionV>
            <wp:extent cx="552450" cy="22989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5" cy="230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  <w:lang w:val="en-IN"/>
        </w:rPr>
        <w:t xml:space="preserve">Here                  states that A is obligatory such that s is the subject of the obligation and b is the beneficiary. </w:t>
      </w:r>
    </w:p>
    <w:p w14:paraId="46140A9F" w14:textId="541BD328" w:rsidR="008C4ECC" w:rsidRDefault="008C4ECC">
      <w:pPr>
        <w:rPr>
          <w:rFonts w:asciiTheme="majorHAnsi" w:hAnsiTheme="majorHAnsi" w:cstheme="majorHAnsi"/>
          <w:sz w:val="24"/>
          <w:szCs w:val="24"/>
          <w:lang w:val="en-IN"/>
        </w:rPr>
      </w:pPr>
      <w:r w:rsidRPr="008C4ECC">
        <w:rPr>
          <w:rFonts w:asciiTheme="majorHAnsi" w:hAnsiTheme="majorHAnsi" w:cstheme="majorHAnsi"/>
          <w:sz w:val="24"/>
          <w:szCs w:val="24"/>
          <w:lang w:val="en-IN"/>
        </w:rPr>
        <w:drawing>
          <wp:inline distT="0" distB="0" distL="0" distR="0" wp14:anchorId="468ABB38" wp14:editId="4ACBC530">
            <wp:extent cx="5155093" cy="762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655" cy="7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781A" w14:textId="493D5A54" w:rsidR="00D34883" w:rsidRDefault="00D34883">
      <w:pPr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t>Similarly, the written notice from the manager and the owner must be done in specific time frame, unless the secretary has approved for longer period of duration.</w:t>
      </w:r>
    </w:p>
    <w:p w14:paraId="6BCA807A" w14:textId="51BF2BA5" w:rsidR="00D34883" w:rsidRDefault="00D34883">
      <w:pPr>
        <w:rPr>
          <w:rFonts w:asciiTheme="majorHAnsi" w:hAnsiTheme="majorHAnsi" w:cstheme="majorHAnsi"/>
          <w:sz w:val="24"/>
          <w:szCs w:val="24"/>
          <w:lang w:val="en-IN"/>
        </w:rPr>
      </w:pPr>
      <w:r w:rsidRPr="00D34883">
        <w:rPr>
          <w:rFonts w:asciiTheme="majorHAnsi" w:hAnsiTheme="majorHAnsi" w:cstheme="majorHAnsi"/>
          <w:sz w:val="24"/>
          <w:szCs w:val="24"/>
          <w:lang w:val="en-IN"/>
        </w:rPr>
        <w:drawing>
          <wp:inline distT="0" distB="0" distL="0" distR="0" wp14:anchorId="6335ADDF" wp14:editId="1F87E046">
            <wp:extent cx="6081316" cy="60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612" cy="6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3EB2" w14:textId="775AB035" w:rsidR="00D34883" w:rsidRDefault="00D34883">
      <w:pPr>
        <w:rPr>
          <w:noProof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t xml:space="preserve">The superiority relation is as follows </w:t>
      </w:r>
      <w:r>
        <w:rPr>
          <w:rFonts w:asciiTheme="majorHAnsi" w:hAnsiTheme="majorHAnsi" w:cstheme="majorHAnsi"/>
          <w:b/>
          <w:bCs/>
          <w:sz w:val="24"/>
          <w:szCs w:val="24"/>
          <w:lang w:val="en-IN"/>
        </w:rPr>
        <w:t>(r1&gt;r2&gt;r3&gt;r4)</w:t>
      </w:r>
      <w:r>
        <w:rPr>
          <w:rFonts w:asciiTheme="majorHAnsi" w:hAnsiTheme="majorHAnsi" w:cstheme="majorHAnsi"/>
          <w:sz w:val="24"/>
          <w:szCs w:val="24"/>
          <w:lang w:val="en-IN"/>
        </w:rPr>
        <w:t xml:space="preserve">. If there is no </w:t>
      </w:r>
      <w:r w:rsidR="00475E9B">
        <w:rPr>
          <w:rFonts w:asciiTheme="majorHAnsi" w:hAnsiTheme="majorHAnsi" w:cstheme="majorHAnsi"/>
          <w:sz w:val="24"/>
          <w:szCs w:val="24"/>
          <w:lang w:val="en-IN"/>
        </w:rPr>
        <w:t>obligation followed in rule 1 then there will not be any further rules. In defeasible rules the rule superiority determines which rule has higher precedence on the other.</w:t>
      </w:r>
      <w:r w:rsidR="0095220B" w:rsidRPr="0095220B">
        <w:rPr>
          <w:noProof/>
        </w:rPr>
        <w:t xml:space="preserve"> </w:t>
      </w:r>
    </w:p>
    <w:p w14:paraId="76E082DA" w14:textId="77777777" w:rsidR="0095675D" w:rsidRDefault="0095675D">
      <w:pPr>
        <w:rPr>
          <w:rFonts w:cstheme="minorHAnsi"/>
          <w:noProof/>
        </w:rPr>
      </w:pPr>
      <w:r w:rsidRPr="0095675D">
        <w:rPr>
          <w:rFonts w:cstheme="minorHAnsi"/>
          <w:i/>
          <w:iCs/>
          <w:noProof/>
        </w:rPr>
        <w:t>¬</w:t>
      </w:r>
      <w:r w:rsidRPr="0095675D">
        <w:rPr>
          <w:i/>
          <w:iCs/>
          <w:noProof/>
        </w:rPr>
        <w:t>circumstances(surroundings),</w:t>
      </w:r>
      <w:r w:rsidRPr="0095675D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¬</w:t>
      </w:r>
      <w:r>
        <w:rPr>
          <w:rFonts w:cstheme="minorHAnsi"/>
          <w:i/>
          <w:iCs/>
          <w:noProof/>
        </w:rPr>
        <w:t>subsection37,</w:t>
      </w:r>
      <w:r w:rsidRPr="0095675D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¬</w:t>
      </w:r>
      <w:r>
        <w:rPr>
          <w:rFonts w:cstheme="minorHAnsi"/>
          <w:i/>
          <w:iCs/>
          <w:noProof/>
        </w:rPr>
        <w:t>Notice(owner),</w:t>
      </w:r>
      <w:r w:rsidRPr="0095675D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¬</w:t>
      </w:r>
      <w:r>
        <w:rPr>
          <w:rFonts w:cstheme="minorHAnsi"/>
          <w:i/>
          <w:iCs/>
          <w:noProof/>
        </w:rPr>
        <w:t>Notice(Manager),</w:t>
      </w:r>
      <w:r w:rsidRPr="0095675D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¬</w:t>
      </w:r>
      <w:r>
        <w:rPr>
          <w:rFonts w:cstheme="minorHAnsi"/>
          <w:i/>
          <w:iCs/>
          <w:noProof/>
        </w:rPr>
        <w:t>WrittenNotice(Manger),</w:t>
      </w:r>
      <w:r w:rsidRPr="0095675D">
        <w:rPr>
          <w:rFonts w:cstheme="minorHAnsi"/>
          <w:noProof/>
        </w:rPr>
        <w:t xml:space="preserve"> </w:t>
      </w:r>
      <w:r w:rsidRPr="0095675D">
        <w:rPr>
          <w:rFonts w:cstheme="minorHAnsi"/>
          <w:i/>
          <w:iCs/>
          <w:noProof/>
        </w:rPr>
        <w:t>¬</w:t>
      </w:r>
      <w:r w:rsidRPr="0095675D">
        <w:rPr>
          <w:rFonts w:cstheme="minorHAnsi"/>
          <w:i/>
          <w:iCs/>
          <w:noProof/>
        </w:rPr>
        <w:t xml:space="preserve">WrittenNotice(Owner), </w:t>
      </w:r>
      <w:r w:rsidRPr="0095675D">
        <w:rPr>
          <w:rFonts w:cstheme="minorHAnsi"/>
          <w:i/>
          <w:iCs/>
          <w:noProof/>
        </w:rPr>
        <w:t>¬</w:t>
      </w:r>
      <w:r w:rsidRPr="0095675D">
        <w:rPr>
          <w:rFonts w:cstheme="minorHAnsi"/>
          <w:i/>
          <w:iCs/>
          <w:noProof/>
        </w:rPr>
        <w:t xml:space="preserve">SpecificperiodinNotice(&lt;10), </w:t>
      </w:r>
      <w:r w:rsidRPr="0095675D">
        <w:rPr>
          <w:rFonts w:cstheme="minorHAnsi"/>
          <w:i/>
          <w:iCs/>
          <w:noProof/>
        </w:rPr>
        <w:t>¬</w:t>
      </w:r>
      <w:r w:rsidRPr="0095675D">
        <w:rPr>
          <w:rFonts w:cstheme="minorHAnsi"/>
          <w:i/>
          <w:iCs/>
          <w:noProof/>
        </w:rPr>
        <w:t xml:space="preserve">SecretaryapprovalLongerPeriod </w:t>
      </w:r>
      <w:r w:rsidRPr="0095675D">
        <w:rPr>
          <w:rFonts w:cstheme="minorHAnsi"/>
          <w:b/>
          <w:bCs/>
          <w:i/>
          <w:iCs/>
          <w:noProof/>
          <w:sz w:val="32"/>
          <w:szCs w:val="32"/>
        </w:rPr>
        <w:t>=&gt;</w:t>
      </w:r>
      <w:r w:rsidRPr="0095675D">
        <w:rPr>
          <w:rFonts w:cstheme="minorHAnsi"/>
          <w:i/>
          <w:iCs/>
          <w:noProof/>
        </w:rPr>
        <w:t xml:space="preserve"> </w:t>
      </w:r>
      <w:r w:rsidRPr="0095675D">
        <w:rPr>
          <w:rFonts w:cstheme="minorHAnsi"/>
          <w:i/>
          <w:iCs/>
          <w:noProof/>
        </w:rPr>
        <w:t>¬</w:t>
      </w:r>
      <w:r w:rsidRPr="0095675D">
        <w:rPr>
          <w:rFonts w:cstheme="minorHAnsi"/>
          <w:i/>
          <w:iCs/>
          <w:noProof/>
        </w:rPr>
        <w:t>determination(licence)</w:t>
      </w:r>
      <w:r>
        <w:rPr>
          <w:rFonts w:cstheme="minorHAnsi"/>
          <w:i/>
          <w:iCs/>
          <w:noProof/>
        </w:rPr>
        <w:t xml:space="preserve">  </w:t>
      </w:r>
      <w:r>
        <w:rPr>
          <w:rFonts w:cstheme="minorHAnsi"/>
          <w:noProof/>
        </w:rPr>
        <w:t xml:space="preserve">         ------ rule(5)</w:t>
      </w:r>
    </w:p>
    <w:p w14:paraId="6D26D23E" w14:textId="574A1663" w:rsidR="0095675D" w:rsidRPr="0095675D" w:rsidRDefault="0095675D">
      <w:pPr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cstheme="minorHAnsi"/>
          <w:noProof/>
        </w:rPr>
        <w:t xml:space="preserve">Using the (r1,r2,r3,r4) and r5 we deduce according to this deduction step </w:t>
      </w:r>
      <w:r w:rsidR="005B5C3E">
        <w:rPr>
          <w:noProof/>
        </w:rPr>
        <w:drawing>
          <wp:inline distT="0" distB="0" distL="0" distR="0" wp14:anchorId="5437CB94" wp14:editId="7B89C447">
            <wp:extent cx="4466667" cy="5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t xml:space="preserve">     </w:t>
      </w:r>
    </w:p>
    <w:p w14:paraId="4CF49212" w14:textId="3D19931B" w:rsidR="00D34883" w:rsidRPr="008C3466" w:rsidRDefault="00FC412D">
      <w:pPr>
        <w:rPr>
          <w:rFonts w:asciiTheme="majorHAnsi" w:hAnsiTheme="majorHAnsi" w:cstheme="majorHAnsi"/>
          <w:i/>
          <w:iCs/>
          <w:sz w:val="24"/>
          <w:szCs w:val="24"/>
          <w:lang w:val="en-IN"/>
        </w:rPr>
      </w:pPr>
      <w:r w:rsidRPr="00FC412D">
        <w:rPr>
          <w:rFonts w:asciiTheme="majorHAnsi" w:hAnsiTheme="majorHAnsi" w:cstheme="majorHAnsi"/>
          <w:b/>
          <w:bCs/>
          <w:i/>
          <w:iCs/>
          <w:sz w:val="24"/>
          <w:szCs w:val="24"/>
          <w:lang w:val="en-IN"/>
        </w:rPr>
        <w:drawing>
          <wp:anchor distT="0" distB="0" distL="114300" distR="114300" simplePos="0" relativeHeight="251659264" behindDoc="0" locked="0" layoutInCell="1" allowOverlap="1" wp14:anchorId="2D53DFCE" wp14:editId="55AA7FE8">
            <wp:simplePos x="0" y="0"/>
            <wp:positionH relativeFrom="column">
              <wp:posOffset>628650</wp:posOffset>
            </wp:positionH>
            <wp:positionV relativeFrom="paragraph">
              <wp:posOffset>205105</wp:posOffset>
            </wp:positionV>
            <wp:extent cx="3467100" cy="24638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701" cy="248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466" w:rsidRPr="00FC412D">
        <w:rPr>
          <w:rFonts w:asciiTheme="majorHAnsi" w:hAnsiTheme="majorHAnsi" w:cstheme="majorHAnsi"/>
          <w:b/>
          <w:bCs/>
          <w:i/>
          <w:iCs/>
          <w:sz w:val="24"/>
          <w:szCs w:val="24"/>
          <w:lang w:val="en-IN"/>
        </w:rPr>
        <w:t>determination(lic</w:t>
      </w:r>
      <w:r w:rsidRPr="00FC412D">
        <w:rPr>
          <w:rFonts w:asciiTheme="majorHAnsi" w:hAnsiTheme="majorHAnsi" w:cstheme="majorHAnsi"/>
          <w:b/>
          <w:bCs/>
          <w:i/>
          <w:iCs/>
          <w:sz w:val="24"/>
          <w:szCs w:val="24"/>
          <w:lang w:val="en-IN"/>
        </w:rPr>
        <w:t>en</w:t>
      </w:r>
      <w:r w:rsidR="008C3466" w:rsidRPr="00FC412D">
        <w:rPr>
          <w:rFonts w:asciiTheme="majorHAnsi" w:hAnsiTheme="majorHAnsi" w:cstheme="majorHAnsi"/>
          <w:b/>
          <w:bCs/>
          <w:i/>
          <w:iCs/>
          <w:sz w:val="24"/>
          <w:szCs w:val="24"/>
          <w:lang w:val="en-IN"/>
        </w:rPr>
        <w:t>ce</w:t>
      </w:r>
      <w:proofErr w:type="gramStart"/>
      <w:r w:rsidR="008C3466" w:rsidRPr="00FC412D">
        <w:rPr>
          <w:rFonts w:asciiTheme="majorHAnsi" w:hAnsiTheme="majorHAnsi" w:cstheme="majorHAnsi"/>
          <w:b/>
          <w:bCs/>
          <w:i/>
          <w:iCs/>
          <w:sz w:val="24"/>
          <w:szCs w:val="24"/>
          <w:lang w:val="en-IN"/>
        </w:rPr>
        <w:t>),</w:t>
      </w:r>
      <w:r w:rsidRPr="00FC412D">
        <w:rPr>
          <w:rFonts w:asciiTheme="majorHAnsi" w:hAnsiTheme="majorHAnsi" w:cstheme="majorHAnsi"/>
          <w:b/>
          <w:bCs/>
          <w:i/>
          <w:iCs/>
          <w:sz w:val="24"/>
          <w:szCs w:val="24"/>
          <w:lang w:val="en-IN"/>
        </w:rPr>
        <w:t>Notice</w:t>
      </w:r>
      <w:proofErr w:type="gramEnd"/>
      <w:r w:rsidRPr="00FC412D">
        <w:rPr>
          <w:rFonts w:asciiTheme="majorHAnsi" w:hAnsiTheme="majorHAnsi" w:cstheme="majorHAnsi"/>
          <w:b/>
          <w:bCs/>
          <w:i/>
          <w:iCs/>
          <w:sz w:val="24"/>
          <w:szCs w:val="24"/>
          <w:lang w:val="en-IN"/>
        </w:rPr>
        <w:t>(owner),Notice(Manager),WrittenNotice(owner),WrittenNotice(manager</w:t>
      </w:r>
      <w:r>
        <w:rPr>
          <w:rFonts w:asciiTheme="majorHAnsi" w:hAnsiTheme="majorHAnsi" w:cstheme="majorHAnsi"/>
          <w:i/>
          <w:iCs/>
          <w:sz w:val="24"/>
          <w:szCs w:val="24"/>
          <w:lang w:val="en-IN"/>
        </w:rPr>
        <w:t>)</w:t>
      </w:r>
      <w:r w:rsidRPr="00FC412D">
        <w:rPr>
          <w:noProof/>
        </w:rPr>
        <w:t xml:space="preserve"> </w:t>
      </w:r>
    </w:p>
    <w:sectPr w:rsidR="00D34883" w:rsidRPr="008C34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F73"/>
    <w:rsid w:val="00475E9B"/>
    <w:rsid w:val="00504F73"/>
    <w:rsid w:val="00522BDB"/>
    <w:rsid w:val="005B5C3E"/>
    <w:rsid w:val="006C7BC7"/>
    <w:rsid w:val="008C3466"/>
    <w:rsid w:val="008C4ECC"/>
    <w:rsid w:val="0095220B"/>
    <w:rsid w:val="0095675D"/>
    <w:rsid w:val="00D34883"/>
    <w:rsid w:val="00D6119E"/>
    <w:rsid w:val="00FC4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9580C"/>
  <w15:chartTrackingRefBased/>
  <w15:docId w15:val="{45CBEFDD-1EB8-480A-89DE-4A77BCF42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1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SANKHYA SINGH</dc:creator>
  <cp:keywords/>
  <dc:description/>
  <cp:lastModifiedBy>Sankhya Singh</cp:lastModifiedBy>
  <cp:revision>1</cp:revision>
  <dcterms:created xsi:type="dcterms:W3CDTF">2020-08-11T07:14:00Z</dcterms:created>
  <dcterms:modified xsi:type="dcterms:W3CDTF">2020-08-11T23:50:00Z</dcterms:modified>
</cp:coreProperties>
</file>