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B6EB8" w14:textId="77777777" w:rsidR="002A2475" w:rsidRDefault="002A2475" w:rsidP="00667129">
      <w:pPr>
        <w:ind w:firstLine="720"/>
      </w:pPr>
      <w:r>
        <w:rPr>
          <w:rFonts w:ascii="Calibri" w:hAnsi="Calibri" w:cs="Calibri"/>
          <w:noProof/>
          <w:color w:val="000000"/>
          <w:sz w:val="22"/>
          <w:szCs w:val="22"/>
        </w:rPr>
        <w:drawing>
          <wp:inline distT="0" distB="0" distL="0" distR="0" wp14:anchorId="0200D97D" wp14:editId="75A44F7F">
            <wp:extent cx="5943600" cy="1924050"/>
            <wp:effectExtent l="0" t="0" r="0" b="0"/>
            <wp:docPr id="1622573794" name="Picture 65" descr="Cyber Security Advisory Stay Al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yber Security Advisory Stay Ale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24050"/>
                    </a:xfrm>
                    <a:prstGeom prst="rect">
                      <a:avLst/>
                    </a:prstGeom>
                    <a:noFill/>
                    <a:ln>
                      <a:noFill/>
                    </a:ln>
                  </pic:spPr>
                </pic:pic>
              </a:graphicData>
            </a:graphic>
          </wp:inline>
        </w:drawing>
      </w:r>
    </w:p>
    <w:p w14:paraId="20B3877A" w14:textId="77777777" w:rsidR="002A2475" w:rsidRDefault="002A2475" w:rsidP="002A2475"/>
    <w:tbl>
      <w:tblPr>
        <w:tblW w:w="10500" w:type="dxa"/>
        <w:tblCellMar>
          <w:left w:w="0" w:type="dxa"/>
          <w:right w:w="0" w:type="dxa"/>
        </w:tblCellMar>
        <w:tblLook w:val="04A0" w:firstRow="1" w:lastRow="0" w:firstColumn="1" w:lastColumn="0" w:noHBand="0" w:noVBand="1"/>
      </w:tblPr>
      <w:tblGrid>
        <w:gridCol w:w="3750"/>
        <w:gridCol w:w="300"/>
        <w:gridCol w:w="5850"/>
        <w:gridCol w:w="600"/>
      </w:tblGrid>
      <w:tr w:rsidR="002A2475" w:rsidRPr="004F534B" w14:paraId="7F2C1354" w14:textId="77777777" w:rsidTr="00DB6E3F">
        <w:trPr>
          <w:trHeight w:val="450"/>
        </w:trPr>
        <w:tc>
          <w:tcPr>
            <w:tcW w:w="10500" w:type="dxa"/>
            <w:gridSpan w:val="4"/>
            <w:tcBorders>
              <w:top w:val="single" w:sz="24" w:space="0" w:color="ED7D31" w:themeColor="accent2"/>
            </w:tcBorders>
            <w:vAlign w:val="center"/>
            <w:hideMark/>
          </w:tcPr>
          <w:p w14:paraId="226105E6" w14:textId="77777777" w:rsidR="002A2475" w:rsidRPr="004F534B" w:rsidRDefault="002A2475" w:rsidP="00DB6E3F"/>
        </w:tc>
      </w:tr>
      <w:tr w:rsidR="002A2475" w:rsidRPr="004F534B" w14:paraId="12F6C324" w14:textId="77777777" w:rsidTr="00DB6E3F">
        <w:trPr>
          <w:trHeight w:val="6090"/>
        </w:trPr>
        <w:tc>
          <w:tcPr>
            <w:tcW w:w="3750" w:type="dxa"/>
            <w:vAlign w:val="center"/>
            <w:hideMark/>
          </w:tcPr>
          <w:p w14:paraId="58EE885B" w14:textId="77777777" w:rsidR="002A2475" w:rsidRPr="004F534B" w:rsidRDefault="002A2475" w:rsidP="00DB6E3F">
            <w:r w:rsidRPr="004F534B">
              <w:rPr>
                <w:noProof/>
              </w:rPr>
              <w:drawing>
                <wp:inline distT="0" distB="0" distL="0" distR="0" wp14:anchorId="3B8AB918" wp14:editId="53EBA529">
                  <wp:extent cx="2374900" cy="3352800"/>
                  <wp:effectExtent l="0" t="0" r="6350" b="0"/>
                  <wp:docPr id="1827224096" name="Picture 63" descr="Close-up of a silver and brown spo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4096" name="Picture 63" descr="Close-up of a silver and brown spoo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4900" cy="3352800"/>
                          </a:xfrm>
                          <a:prstGeom prst="rect">
                            <a:avLst/>
                          </a:prstGeom>
                          <a:noFill/>
                          <a:ln>
                            <a:noFill/>
                          </a:ln>
                        </pic:spPr>
                      </pic:pic>
                    </a:graphicData>
                  </a:graphic>
                </wp:inline>
              </w:drawing>
            </w:r>
          </w:p>
        </w:tc>
        <w:tc>
          <w:tcPr>
            <w:tcW w:w="300" w:type="dxa"/>
            <w:vAlign w:val="center"/>
            <w:hideMark/>
          </w:tcPr>
          <w:p w14:paraId="51F1FB3A" w14:textId="77777777" w:rsidR="002A2475" w:rsidRPr="004F534B" w:rsidRDefault="002A2475" w:rsidP="00DB6E3F"/>
        </w:tc>
        <w:tc>
          <w:tcPr>
            <w:tcW w:w="5850" w:type="dxa"/>
            <w:hideMark/>
          </w:tcPr>
          <w:tbl>
            <w:tblPr>
              <w:tblW w:w="5850" w:type="dxa"/>
              <w:tblCellMar>
                <w:left w:w="0" w:type="dxa"/>
                <w:right w:w="0" w:type="dxa"/>
              </w:tblCellMar>
              <w:tblLook w:val="04A0" w:firstRow="1" w:lastRow="0" w:firstColumn="1" w:lastColumn="0" w:noHBand="0" w:noVBand="1"/>
            </w:tblPr>
            <w:tblGrid>
              <w:gridCol w:w="975"/>
              <w:gridCol w:w="150"/>
              <w:gridCol w:w="225"/>
              <w:gridCol w:w="4500"/>
            </w:tblGrid>
            <w:tr w:rsidR="002A2475" w:rsidRPr="004F534B" w14:paraId="3321C085" w14:textId="77777777" w:rsidTr="00DB6E3F">
              <w:trPr>
                <w:trHeight w:val="5775"/>
              </w:trPr>
              <w:tc>
                <w:tcPr>
                  <w:tcW w:w="5850" w:type="dxa"/>
                  <w:gridSpan w:val="4"/>
                  <w:vAlign w:val="center"/>
                  <w:hideMark/>
                </w:tcPr>
                <w:p w14:paraId="4B3FB6B0" w14:textId="77777777" w:rsidR="002A2475" w:rsidRPr="004F534B" w:rsidRDefault="002A2475" w:rsidP="00DB6E3F">
                  <w:r w:rsidRPr="004F534B">
                    <w:t>As the </w:t>
                  </w:r>
                  <w:r w:rsidRPr="004F534B">
                    <w:rPr>
                      <w:b/>
                      <w:bCs/>
                    </w:rPr>
                    <w:t>Attack Surface</w:t>
                  </w:r>
                  <w:r w:rsidRPr="004F534B">
                    <w:t> expands, and with the rise of more sophisticated threat actors, vulnerability management has shifted from a reactive stance to a proactive and predictive approach. This transformation calls for the embrace of risk-based methodologies, utilization of advanced threat intelligence, and alignment with the broader security architecture. Contemporary vulnerability management must take into account an organization's distinct threat environment and customize remediation strategies accordingly.</w:t>
                  </w:r>
                </w:p>
                <w:p w14:paraId="665056E0" w14:textId="77777777" w:rsidR="002A2475" w:rsidRPr="004F534B" w:rsidRDefault="002A2475" w:rsidP="00DB6E3F">
                  <w:r w:rsidRPr="004F534B">
                    <w:t>This is where our proactive </w:t>
                  </w:r>
                  <w:r w:rsidRPr="004F534B">
                    <w:rPr>
                      <w:b/>
                      <w:bCs/>
                    </w:rPr>
                    <w:t>Advanced Vulnerability Management (AVM)</w:t>
                  </w:r>
                  <w:r w:rsidRPr="004F534B">
                    <w:t> services come to play and help you to build a robust Vulnerability Management System which is based on a Risk-Based Approach, Asset Value, Severity of Vulnerabilities, and Threat Actors.</w:t>
                  </w:r>
                </w:p>
              </w:tc>
            </w:tr>
            <w:tr w:rsidR="002A2475" w:rsidRPr="004F534B" w14:paraId="5A6748D3" w14:textId="77777777" w:rsidTr="00DB6E3F">
              <w:trPr>
                <w:trHeight w:val="315"/>
              </w:trPr>
              <w:tc>
                <w:tcPr>
                  <w:tcW w:w="975" w:type="dxa"/>
                  <w:vAlign w:val="center"/>
                  <w:hideMark/>
                </w:tcPr>
                <w:p w14:paraId="30E36C6F" w14:textId="77777777" w:rsidR="002A2475" w:rsidRPr="004F534B" w:rsidRDefault="002A2475" w:rsidP="00DB6E3F">
                  <w:r w:rsidRPr="004F534B">
                    <w:t> </w:t>
                  </w:r>
                </w:p>
              </w:tc>
              <w:tc>
                <w:tcPr>
                  <w:tcW w:w="150" w:type="dxa"/>
                  <w:vAlign w:val="center"/>
                  <w:hideMark/>
                </w:tcPr>
                <w:p w14:paraId="1FC3A80E" w14:textId="77777777" w:rsidR="002A2475" w:rsidRPr="004F534B" w:rsidRDefault="002A2475" w:rsidP="00DB6E3F">
                  <w:r w:rsidRPr="004F534B">
                    <w:t> </w:t>
                  </w:r>
                </w:p>
              </w:tc>
              <w:tc>
                <w:tcPr>
                  <w:tcW w:w="225" w:type="dxa"/>
                  <w:vAlign w:val="center"/>
                  <w:hideMark/>
                </w:tcPr>
                <w:p w14:paraId="3012F0BC" w14:textId="77777777" w:rsidR="002A2475" w:rsidRPr="004F534B" w:rsidRDefault="002A2475" w:rsidP="00DB6E3F"/>
              </w:tc>
              <w:tc>
                <w:tcPr>
                  <w:tcW w:w="4500" w:type="dxa"/>
                  <w:vAlign w:val="center"/>
                  <w:hideMark/>
                </w:tcPr>
                <w:p w14:paraId="61AA395B" w14:textId="77777777" w:rsidR="002A2475" w:rsidRPr="004F534B" w:rsidRDefault="002A2475" w:rsidP="00DB6E3F"/>
              </w:tc>
            </w:tr>
          </w:tbl>
          <w:p w14:paraId="4761AEA7" w14:textId="77777777" w:rsidR="002A2475" w:rsidRPr="004F534B" w:rsidRDefault="002A2475" w:rsidP="00DB6E3F"/>
        </w:tc>
        <w:tc>
          <w:tcPr>
            <w:tcW w:w="600" w:type="dxa"/>
            <w:vAlign w:val="center"/>
            <w:hideMark/>
          </w:tcPr>
          <w:p w14:paraId="09761B02" w14:textId="77777777" w:rsidR="002A2475" w:rsidRPr="004F534B" w:rsidRDefault="002A2475" w:rsidP="00DB6E3F"/>
        </w:tc>
      </w:tr>
      <w:tr w:rsidR="002A2475" w:rsidRPr="004F534B" w14:paraId="321A084E" w14:textId="77777777" w:rsidTr="00DB6E3F">
        <w:trPr>
          <w:trHeight w:val="450"/>
        </w:trPr>
        <w:tc>
          <w:tcPr>
            <w:tcW w:w="10500" w:type="dxa"/>
            <w:gridSpan w:val="4"/>
            <w:vAlign w:val="center"/>
            <w:hideMark/>
          </w:tcPr>
          <w:p w14:paraId="1FA90463" w14:textId="77777777" w:rsidR="002A2475" w:rsidRPr="004F534B" w:rsidRDefault="002A2475" w:rsidP="00DB6E3F"/>
        </w:tc>
      </w:tr>
    </w:tbl>
    <w:p w14:paraId="2BBD76F9" w14:textId="77777777" w:rsidR="002A2475" w:rsidRDefault="002A2475" w:rsidP="002A2475"/>
    <w:p w14:paraId="1E89F1BF" w14:textId="77777777" w:rsidR="002A2475" w:rsidRDefault="002A2475" w:rsidP="002A2475"/>
    <w:p w14:paraId="2D0BE436" w14:textId="77777777" w:rsidR="002A2475" w:rsidRDefault="002A2475" w:rsidP="002A2475"/>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A2475" w14:paraId="4B44780D" w14:textId="77777777" w:rsidTr="00DB6E3F">
        <w:tc>
          <w:tcPr>
            <w:tcW w:w="9350" w:type="dxa"/>
            <w:shd w:val="clear" w:color="auto" w:fill="EAEDF1" w:themeFill="text2" w:themeFillTint="1A"/>
          </w:tcPr>
          <w:p w14:paraId="3C3EAB75" w14:textId="77777777" w:rsidR="002A2475" w:rsidRDefault="002A2475" w:rsidP="00DB6E3F">
            <w:pPr>
              <w:spacing w:after="160"/>
            </w:pPr>
            <w:hyperlink r:id="rId7" w:history="1">
              <w:r w:rsidRPr="00BF7BF5">
                <w:rPr>
                  <w:rStyle w:val="Hyperlink"/>
                  <w:rFonts w:ascii="Calibri" w:hAnsi="Calibri" w:cs="Calibri"/>
                  <w:sz w:val="22"/>
                  <w:szCs w:val="22"/>
                </w:rPr>
                <w:t xml:space="preserve">VMware </w:t>
              </w:r>
              <w:proofErr w:type="spellStart"/>
              <w:r w:rsidRPr="00BF7BF5">
                <w:rPr>
                  <w:rStyle w:val="Hyperlink"/>
                  <w:rFonts w:ascii="Calibri" w:hAnsi="Calibri" w:cs="Calibri"/>
                  <w:sz w:val="22"/>
                  <w:szCs w:val="22"/>
                </w:rPr>
                <w:t>ESXi</w:t>
              </w:r>
              <w:proofErr w:type="spellEnd"/>
              <w:r w:rsidRPr="00BF7BF5">
                <w:rPr>
                  <w:rStyle w:val="Hyperlink"/>
                  <w:rFonts w:ascii="Calibri" w:hAnsi="Calibri" w:cs="Calibri"/>
                  <w:sz w:val="22"/>
                  <w:szCs w:val="22"/>
                </w:rPr>
                <w:t>, vCenter Server, Workstation, and Fusion updates address multiple vulnerabilities</w:t>
              </w:r>
            </w:hyperlink>
          </w:p>
        </w:tc>
      </w:tr>
    </w:tbl>
    <w:p w14:paraId="1CBE6EAE" w14:textId="77777777" w:rsidR="002A2475" w:rsidRDefault="002A2475" w:rsidP="002A2475"/>
    <w:p w14:paraId="50A8C886" w14:textId="77777777" w:rsidR="002A2475" w:rsidRDefault="002A2475" w:rsidP="002A2475"/>
    <w:p w14:paraId="7621A92C" w14:textId="77777777" w:rsidR="002A2475" w:rsidRDefault="002A2475" w:rsidP="002A2475"/>
    <w:p w14:paraId="0463FDCA" w14:textId="77777777" w:rsidR="002A2475" w:rsidRDefault="002A2475" w:rsidP="002A2475"/>
    <w:p w14:paraId="0B0BEB27" w14:textId="77777777" w:rsidR="002A2475" w:rsidRDefault="002A2475" w:rsidP="002A2475">
      <w:pPr>
        <w:ind w:left="-720"/>
        <w:rPr>
          <w:rFonts w:ascii="Arial" w:hAnsi="Arial" w:cs="Arial"/>
          <w:sz w:val="36"/>
          <w:szCs w:val="36"/>
        </w:rPr>
      </w:pPr>
      <w:r w:rsidRPr="004F46DB">
        <w:rPr>
          <w:rFonts w:ascii="Arial" w:hAnsi="Arial" w:cs="Arial"/>
          <w:b/>
          <w:bCs/>
          <w:sz w:val="36"/>
          <w:szCs w:val="36"/>
        </w:rPr>
        <w:t>Vulnerability Detail &amp; Resolution:</w:t>
      </w:r>
    </w:p>
    <w:tbl>
      <w:tblPr>
        <w:tblW w:w="11880" w:type="dxa"/>
        <w:tblInd w:w="-1260" w:type="dxa"/>
        <w:shd w:val="clear" w:color="auto" w:fill="FBE4D5"/>
        <w:tblLayout w:type="fixed"/>
        <w:tblCellMar>
          <w:left w:w="0" w:type="dxa"/>
          <w:right w:w="0" w:type="dxa"/>
        </w:tblCellMar>
        <w:tblLook w:val="04A0" w:firstRow="1" w:lastRow="0" w:firstColumn="1" w:lastColumn="0" w:noHBand="0" w:noVBand="1"/>
      </w:tblPr>
      <w:tblGrid>
        <w:gridCol w:w="11880"/>
      </w:tblGrid>
      <w:tr w:rsidR="002A2475" w:rsidRPr="004F534B" w14:paraId="1111D6E9" w14:textId="77777777" w:rsidTr="00DB6E3F">
        <w:trPr>
          <w:trHeight w:val="555"/>
        </w:trPr>
        <w:tc>
          <w:tcPr>
            <w:tcW w:w="11880" w:type="dxa"/>
            <w:shd w:val="clear" w:color="auto" w:fill="FBE4D5"/>
            <w:vAlign w:val="center"/>
            <w:hideMark/>
          </w:tcPr>
          <w:p w14:paraId="6348F68E" w14:textId="77777777" w:rsidR="002A2475" w:rsidRDefault="002A2475" w:rsidP="00DB6E3F">
            <w:pPr>
              <w:spacing w:after="0"/>
              <w:rPr>
                <w:b/>
                <w:bCs/>
              </w:rPr>
            </w:pPr>
            <w:r w:rsidRPr="00F242F1">
              <w:rPr>
                <w:b/>
                <w:bCs/>
                <w:u w:val="single"/>
              </w:rPr>
              <w:t>VMSA-2025-0010:</w:t>
            </w:r>
            <w:r w:rsidRPr="004021A8">
              <w:rPr>
                <w:b/>
                <w:bCs/>
              </w:rPr>
              <w:t xml:space="preserve"> </w:t>
            </w:r>
            <w:r w:rsidRPr="00BF7BF5">
              <w:rPr>
                <w:b/>
                <w:bCs/>
              </w:rPr>
              <w:t xml:space="preserve">VMware </w:t>
            </w:r>
            <w:proofErr w:type="spellStart"/>
            <w:r w:rsidRPr="00BF7BF5">
              <w:rPr>
                <w:b/>
                <w:bCs/>
              </w:rPr>
              <w:t>ESXi</w:t>
            </w:r>
            <w:proofErr w:type="spellEnd"/>
            <w:r w:rsidRPr="00BF7BF5">
              <w:rPr>
                <w:b/>
                <w:bCs/>
              </w:rPr>
              <w:t>, vCenter Server, Workstation, and Fusion updates address multiple vulnerabilities (CVE-2025-41225, CVE-2025-41226, CVE-2025-41227, CVE-2025-41228)</w:t>
            </w:r>
          </w:p>
          <w:tbl>
            <w:tblPr>
              <w:tblW w:w="5469" w:type="dxa"/>
              <w:tblInd w:w="1811" w:type="dxa"/>
              <w:tblLayout w:type="fixed"/>
              <w:tblLook w:val="04A0" w:firstRow="1" w:lastRow="0" w:firstColumn="1" w:lastColumn="0" w:noHBand="0" w:noVBand="1"/>
            </w:tblPr>
            <w:tblGrid>
              <w:gridCol w:w="1294"/>
              <w:gridCol w:w="896"/>
              <w:gridCol w:w="999"/>
              <w:gridCol w:w="1200"/>
              <w:gridCol w:w="1080"/>
            </w:tblGrid>
            <w:tr w:rsidR="002A2475" w:rsidRPr="008E400A" w14:paraId="67275E0A" w14:textId="77777777" w:rsidTr="00DB6E3F">
              <w:trPr>
                <w:trHeight w:val="362"/>
              </w:trPr>
              <w:tc>
                <w:tcPr>
                  <w:tcW w:w="5469" w:type="dxa"/>
                  <w:gridSpan w:val="5"/>
                  <w:tcBorders>
                    <w:top w:val="single" w:sz="4" w:space="0" w:color="auto"/>
                    <w:left w:val="single" w:sz="4" w:space="0" w:color="auto"/>
                    <w:bottom w:val="single" w:sz="4" w:space="0" w:color="auto"/>
                    <w:right w:val="single" w:sz="4" w:space="0" w:color="auto"/>
                  </w:tcBorders>
                  <w:noWrap/>
                  <w:vAlign w:val="center"/>
                  <w:hideMark/>
                </w:tcPr>
                <w:p w14:paraId="0127990E" w14:textId="77777777" w:rsidR="002A2475" w:rsidRPr="008E400A" w:rsidRDefault="002A2475" w:rsidP="00DB6E3F">
                  <w:pPr>
                    <w:spacing w:after="0" w:line="240" w:lineRule="auto"/>
                    <w:jc w:val="center"/>
                    <w:rPr>
                      <w:rFonts w:ascii="Calibri" w:eastAsia="Times New Roman" w:hAnsi="Calibri" w:cs="Calibri"/>
                      <w:color w:val="000000"/>
                      <w:kern w:val="0"/>
                      <w:sz w:val="20"/>
                      <w:szCs w:val="20"/>
                      <w14:ligatures w14:val="none"/>
                    </w:rPr>
                  </w:pPr>
                  <w:r w:rsidRPr="008E400A">
                    <w:rPr>
                      <w:rFonts w:ascii="Calibri" w:eastAsia="Times New Roman" w:hAnsi="Calibri" w:cs="Calibri"/>
                      <w:color w:val="000000"/>
                      <w:kern w:val="0"/>
                      <w:sz w:val="20"/>
                      <w:szCs w:val="20"/>
                      <w14:ligatures w14:val="none"/>
                    </w:rPr>
                    <w:t>CVSS Score Rating</w:t>
                  </w:r>
                </w:p>
              </w:tc>
            </w:tr>
            <w:tr w:rsidR="002A2475" w:rsidRPr="008E400A" w14:paraId="0E5E4FB6" w14:textId="77777777" w:rsidTr="00DB6E3F">
              <w:trPr>
                <w:trHeight w:val="362"/>
              </w:trPr>
              <w:tc>
                <w:tcPr>
                  <w:tcW w:w="1294" w:type="dxa"/>
                  <w:tcBorders>
                    <w:top w:val="nil"/>
                    <w:left w:val="single" w:sz="4" w:space="0" w:color="auto"/>
                    <w:bottom w:val="single" w:sz="4" w:space="0" w:color="auto"/>
                    <w:right w:val="single" w:sz="4" w:space="0" w:color="auto"/>
                  </w:tcBorders>
                  <w:noWrap/>
                  <w:vAlign w:val="bottom"/>
                  <w:hideMark/>
                </w:tcPr>
                <w:p w14:paraId="6C4F8910" w14:textId="77777777" w:rsidR="002A2475" w:rsidRPr="008E400A" w:rsidRDefault="002A2475" w:rsidP="00DB6E3F">
                  <w:pPr>
                    <w:spacing w:after="0" w:line="240" w:lineRule="auto"/>
                    <w:rPr>
                      <w:rFonts w:ascii="Calibri" w:eastAsia="Times New Roman" w:hAnsi="Calibri" w:cs="Calibri"/>
                      <w:color w:val="000000"/>
                      <w:kern w:val="0"/>
                      <w:sz w:val="20"/>
                      <w:szCs w:val="20"/>
                      <w14:ligatures w14:val="none"/>
                    </w:rPr>
                  </w:pPr>
                  <w:r w:rsidRPr="008E400A">
                    <w:rPr>
                      <w:rFonts w:ascii="Calibri" w:eastAsia="Times New Roman" w:hAnsi="Calibri" w:cs="Calibri"/>
                      <w:color w:val="000000"/>
                      <w:kern w:val="0"/>
                      <w:sz w:val="20"/>
                      <w:szCs w:val="20"/>
                      <w14:ligatures w14:val="none"/>
                    </w:rPr>
                    <w:t>Severity</w:t>
                  </w:r>
                </w:p>
              </w:tc>
              <w:tc>
                <w:tcPr>
                  <w:tcW w:w="896" w:type="dxa"/>
                  <w:tcBorders>
                    <w:top w:val="nil"/>
                    <w:left w:val="nil"/>
                    <w:bottom w:val="single" w:sz="4" w:space="0" w:color="auto"/>
                    <w:right w:val="single" w:sz="4" w:space="0" w:color="auto"/>
                  </w:tcBorders>
                  <w:shd w:val="clear" w:color="000000" w:fill="61CBF3"/>
                  <w:noWrap/>
                  <w:vAlign w:val="center"/>
                  <w:hideMark/>
                </w:tcPr>
                <w:p w14:paraId="424A118A"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Low</w:t>
                  </w:r>
                </w:p>
              </w:tc>
              <w:tc>
                <w:tcPr>
                  <w:tcW w:w="999" w:type="dxa"/>
                  <w:tcBorders>
                    <w:top w:val="nil"/>
                    <w:left w:val="nil"/>
                    <w:bottom w:val="single" w:sz="4" w:space="0" w:color="auto"/>
                    <w:right w:val="single" w:sz="4" w:space="0" w:color="auto"/>
                  </w:tcBorders>
                  <w:shd w:val="clear" w:color="000000" w:fill="FFFF00"/>
                  <w:noWrap/>
                  <w:vAlign w:val="center"/>
                  <w:hideMark/>
                </w:tcPr>
                <w:p w14:paraId="2E8FB62C"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Medium</w:t>
                  </w:r>
                </w:p>
              </w:tc>
              <w:tc>
                <w:tcPr>
                  <w:tcW w:w="1200" w:type="dxa"/>
                  <w:tcBorders>
                    <w:top w:val="nil"/>
                    <w:left w:val="nil"/>
                    <w:bottom w:val="single" w:sz="4" w:space="0" w:color="auto"/>
                    <w:right w:val="single" w:sz="4" w:space="0" w:color="auto"/>
                  </w:tcBorders>
                  <w:shd w:val="clear" w:color="000000" w:fill="F1A983"/>
                  <w:noWrap/>
                  <w:vAlign w:val="center"/>
                  <w:hideMark/>
                </w:tcPr>
                <w:p w14:paraId="5A4C840F"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High</w:t>
                  </w:r>
                </w:p>
              </w:tc>
              <w:tc>
                <w:tcPr>
                  <w:tcW w:w="1080" w:type="dxa"/>
                  <w:tcBorders>
                    <w:top w:val="nil"/>
                    <w:left w:val="nil"/>
                    <w:bottom w:val="single" w:sz="4" w:space="0" w:color="auto"/>
                    <w:right w:val="single" w:sz="4" w:space="0" w:color="auto"/>
                  </w:tcBorders>
                  <w:shd w:val="clear" w:color="000000" w:fill="FF0000"/>
                  <w:noWrap/>
                  <w:vAlign w:val="center"/>
                  <w:hideMark/>
                </w:tcPr>
                <w:p w14:paraId="447317A1"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Critical</w:t>
                  </w:r>
                </w:p>
              </w:tc>
            </w:tr>
            <w:tr w:rsidR="002A2475" w:rsidRPr="008E400A" w14:paraId="446A7010" w14:textId="77777777" w:rsidTr="00DB6E3F">
              <w:trPr>
                <w:trHeight w:val="362"/>
              </w:trPr>
              <w:tc>
                <w:tcPr>
                  <w:tcW w:w="1294" w:type="dxa"/>
                  <w:tcBorders>
                    <w:top w:val="nil"/>
                    <w:left w:val="single" w:sz="4" w:space="0" w:color="auto"/>
                    <w:bottom w:val="single" w:sz="4" w:space="0" w:color="auto"/>
                    <w:right w:val="single" w:sz="4" w:space="0" w:color="auto"/>
                  </w:tcBorders>
                  <w:noWrap/>
                  <w:vAlign w:val="bottom"/>
                  <w:hideMark/>
                </w:tcPr>
                <w:p w14:paraId="5324B2E3" w14:textId="77777777" w:rsidR="002A2475" w:rsidRPr="008E400A" w:rsidRDefault="002A2475" w:rsidP="00DB6E3F">
                  <w:pPr>
                    <w:spacing w:after="0" w:line="240" w:lineRule="auto"/>
                    <w:rPr>
                      <w:rFonts w:ascii="Calibri" w:eastAsia="Times New Roman" w:hAnsi="Calibri" w:cs="Calibri"/>
                      <w:color w:val="000000"/>
                      <w:kern w:val="0"/>
                      <w:sz w:val="20"/>
                      <w:szCs w:val="20"/>
                      <w14:ligatures w14:val="none"/>
                    </w:rPr>
                  </w:pPr>
                  <w:r w:rsidRPr="008E400A">
                    <w:rPr>
                      <w:rFonts w:ascii="Calibri" w:eastAsia="Times New Roman" w:hAnsi="Calibri" w:cs="Calibri"/>
                      <w:color w:val="000000"/>
                      <w:kern w:val="0"/>
                      <w:sz w:val="20"/>
                      <w:szCs w:val="20"/>
                      <w14:ligatures w14:val="none"/>
                    </w:rPr>
                    <w:t>CVSS Score</w:t>
                  </w:r>
                </w:p>
              </w:tc>
              <w:tc>
                <w:tcPr>
                  <w:tcW w:w="896" w:type="dxa"/>
                  <w:tcBorders>
                    <w:top w:val="nil"/>
                    <w:left w:val="nil"/>
                    <w:bottom w:val="single" w:sz="4" w:space="0" w:color="auto"/>
                    <w:right w:val="single" w:sz="4" w:space="0" w:color="auto"/>
                  </w:tcBorders>
                  <w:shd w:val="clear" w:color="000000" w:fill="FFFFFF"/>
                  <w:noWrap/>
                  <w:vAlign w:val="center"/>
                  <w:hideMark/>
                </w:tcPr>
                <w:p w14:paraId="41EF8A07"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0.1-3.9</w:t>
                  </w:r>
                </w:p>
              </w:tc>
              <w:tc>
                <w:tcPr>
                  <w:tcW w:w="999" w:type="dxa"/>
                  <w:tcBorders>
                    <w:top w:val="nil"/>
                    <w:left w:val="nil"/>
                    <w:bottom w:val="single" w:sz="4" w:space="0" w:color="auto"/>
                    <w:right w:val="single" w:sz="4" w:space="0" w:color="auto"/>
                  </w:tcBorders>
                  <w:shd w:val="clear" w:color="000000" w:fill="FFFFFF"/>
                  <w:noWrap/>
                  <w:vAlign w:val="center"/>
                  <w:hideMark/>
                </w:tcPr>
                <w:p w14:paraId="1D8F0709"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4.0-6.9</w:t>
                  </w:r>
                </w:p>
              </w:tc>
              <w:tc>
                <w:tcPr>
                  <w:tcW w:w="1200" w:type="dxa"/>
                  <w:tcBorders>
                    <w:top w:val="nil"/>
                    <w:left w:val="nil"/>
                    <w:bottom w:val="single" w:sz="4" w:space="0" w:color="auto"/>
                    <w:right w:val="single" w:sz="4" w:space="0" w:color="auto"/>
                  </w:tcBorders>
                  <w:shd w:val="clear" w:color="000000" w:fill="FFFFFF"/>
                  <w:noWrap/>
                  <w:vAlign w:val="center"/>
                  <w:hideMark/>
                </w:tcPr>
                <w:p w14:paraId="130DAB9B" w14:textId="77777777" w:rsidR="002A2475"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7.0-8.9</w:t>
                  </w:r>
                </w:p>
                <w:p w14:paraId="0E7D09CA"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Pr>
                      <w:rFonts w:ascii="Calibri" w:eastAsia="Times New Roman" w:hAnsi="Calibri" w:cs="Calibri"/>
                      <w:color w:val="333333"/>
                      <w:kern w:val="0"/>
                      <w:sz w:val="20"/>
                      <w:szCs w:val="20"/>
                      <w14:ligatures w14:val="none"/>
                    </w:rPr>
                    <w:sym w:font="Wingdings" w:char="F0FC"/>
                  </w:r>
                  <w:r>
                    <w:rPr>
                      <w:rFonts w:ascii="Calibri" w:eastAsia="Times New Roman" w:hAnsi="Calibri" w:cs="Calibri"/>
                      <w:color w:val="333333"/>
                      <w:kern w:val="0"/>
                      <w:sz w:val="20"/>
                      <w:szCs w:val="20"/>
                      <w14:ligatures w14:val="none"/>
                    </w:rPr>
                    <w:t xml:space="preserve"> </w:t>
                  </w:r>
                </w:p>
              </w:tc>
              <w:tc>
                <w:tcPr>
                  <w:tcW w:w="1080" w:type="dxa"/>
                  <w:tcBorders>
                    <w:top w:val="nil"/>
                    <w:left w:val="nil"/>
                    <w:bottom w:val="single" w:sz="4" w:space="0" w:color="auto"/>
                    <w:right w:val="single" w:sz="4" w:space="0" w:color="auto"/>
                  </w:tcBorders>
                  <w:shd w:val="clear" w:color="000000" w:fill="FFFFFF"/>
                  <w:noWrap/>
                  <w:vAlign w:val="center"/>
                  <w:hideMark/>
                </w:tcPr>
                <w:p w14:paraId="6DED51DD"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9.0-10.0</w:t>
                  </w:r>
                </w:p>
              </w:tc>
            </w:tr>
          </w:tbl>
          <w:p w14:paraId="4259FB7E" w14:textId="77777777" w:rsidR="002A2475" w:rsidRPr="004F534B" w:rsidRDefault="002A2475" w:rsidP="00DB6E3F"/>
        </w:tc>
      </w:tr>
      <w:tr w:rsidR="002A2475" w:rsidRPr="004F534B" w14:paraId="1D7A905C" w14:textId="77777777" w:rsidTr="00DB6E3F">
        <w:trPr>
          <w:trHeight w:val="3960"/>
        </w:trPr>
        <w:tc>
          <w:tcPr>
            <w:tcW w:w="11880" w:type="dxa"/>
            <w:shd w:val="clear" w:color="auto" w:fill="FBE4D5"/>
            <w:vAlign w:val="center"/>
            <w:hideMark/>
          </w:tcPr>
          <w:p w14:paraId="746E5CB8" w14:textId="77777777" w:rsidR="002A2475" w:rsidRDefault="002A2475" w:rsidP="00DB6E3F">
            <w:pPr>
              <w:rPr>
                <w:b/>
                <w:bCs/>
              </w:rPr>
            </w:pPr>
          </w:p>
          <w:p w14:paraId="48E7E1E6" w14:textId="77777777" w:rsidR="002A2475" w:rsidRDefault="002A2475" w:rsidP="00DB6E3F">
            <w:pPr>
              <w:pStyle w:val="ListParagraph"/>
              <w:numPr>
                <w:ilvl w:val="0"/>
                <w:numId w:val="1"/>
              </w:numPr>
              <w:spacing w:after="0" w:line="240" w:lineRule="auto"/>
              <w:contextualSpacing w:val="0"/>
              <w:jc w:val="both"/>
              <w:rPr>
                <w:rFonts w:eastAsia="Times New Roman"/>
                <w:sz w:val="22"/>
                <w:szCs w:val="22"/>
              </w:rPr>
            </w:pPr>
            <w:r>
              <w:rPr>
                <w:rFonts w:eastAsia="Times New Roman"/>
                <w:color w:val="000000"/>
                <w:sz w:val="22"/>
                <w:szCs w:val="22"/>
                <w:u w:val="single"/>
              </w:rPr>
              <w:t>VMware vCenter Server authenticated command-execution vulnerability (CVE-2025-41225):</w:t>
            </w:r>
          </w:p>
          <w:p w14:paraId="02D2137E" w14:textId="77777777" w:rsidR="002A2475" w:rsidRDefault="002A2475" w:rsidP="00DB6E3F">
            <w:pPr>
              <w:pStyle w:val="ListParagraph"/>
              <w:jc w:val="both"/>
              <w:rPr>
                <w:sz w:val="22"/>
                <w:szCs w:val="22"/>
              </w:rPr>
            </w:pPr>
            <w:r w:rsidRPr="005C235D">
              <w:rPr>
                <w:b/>
                <w:bCs/>
                <w:color w:val="000000"/>
                <w:sz w:val="22"/>
                <w:szCs w:val="22"/>
                <w:u w:val="single"/>
              </w:rPr>
              <w:t>Description</w:t>
            </w:r>
            <w:r w:rsidRPr="005C235D">
              <w:rPr>
                <w:color w:val="000000"/>
                <w:sz w:val="22"/>
                <w:szCs w:val="22"/>
                <w:u w:val="single"/>
              </w:rPr>
              <w:t>:</w:t>
            </w:r>
            <w:r>
              <w:rPr>
                <w:color w:val="000000"/>
                <w:sz w:val="22"/>
                <w:szCs w:val="22"/>
              </w:rPr>
              <w:t xml:space="preserve"> The vCenter Server contains an authenticated command-execution vulnerability. VMware has evaluated the severity of this issue to be in the Important severity range with a maximum CVSSv3 base score of 8.8.</w:t>
            </w:r>
          </w:p>
          <w:p w14:paraId="50428192" w14:textId="77777777" w:rsidR="002A2475" w:rsidRPr="005C235D" w:rsidRDefault="002A2475" w:rsidP="00DB6E3F">
            <w:pPr>
              <w:pStyle w:val="ListParagraph"/>
              <w:jc w:val="both"/>
              <w:rPr>
                <w:color w:val="000000"/>
                <w:sz w:val="22"/>
                <w:szCs w:val="22"/>
              </w:rPr>
            </w:pPr>
            <w:r w:rsidRPr="005C235D">
              <w:rPr>
                <w:color w:val="000000"/>
                <w:sz w:val="22"/>
                <w:szCs w:val="22"/>
              </w:rPr>
              <w:t>CVE-2025-41225 is an authenticated command-execution vulnerability in VMware vCenter Server that allows a privileged attacker to execute arbitrary commands. This type of CVE generally impacts system integrity and can lead to full administrative compromise if exploited in environments with inadequate privilege separation.</w:t>
            </w:r>
          </w:p>
          <w:p w14:paraId="22718BBF" w14:textId="77777777" w:rsidR="002A2475" w:rsidRPr="005C235D" w:rsidRDefault="002A2475" w:rsidP="00DB6E3F">
            <w:pPr>
              <w:pStyle w:val="ListParagraph"/>
              <w:jc w:val="both"/>
              <w:rPr>
                <w:color w:val="000000"/>
                <w:sz w:val="22"/>
                <w:szCs w:val="22"/>
              </w:rPr>
            </w:pPr>
            <w:r w:rsidRPr="005C235D">
              <w:rPr>
                <w:b/>
                <w:bCs/>
                <w:color w:val="000000"/>
                <w:sz w:val="22"/>
                <w:szCs w:val="22"/>
                <w:u w:val="single"/>
              </w:rPr>
              <w:t>Security Impact</w:t>
            </w:r>
            <w:r w:rsidRPr="005C235D">
              <w:rPr>
                <w:color w:val="000000"/>
                <w:sz w:val="22"/>
                <w:szCs w:val="22"/>
                <w:u w:val="single"/>
              </w:rPr>
              <w:t>:</w:t>
            </w:r>
            <w:r>
              <w:rPr>
                <w:color w:val="000000"/>
                <w:sz w:val="22"/>
                <w:szCs w:val="22"/>
              </w:rPr>
              <w:t xml:space="preserve"> </w:t>
            </w:r>
            <w:r w:rsidRPr="005C235D">
              <w:rPr>
                <w:color w:val="000000"/>
                <w:sz w:val="22"/>
                <w:szCs w:val="22"/>
              </w:rPr>
              <w:t>An attacker with sufficient permission could leverage this flaw to execute unauthorized commands, potentially leading to data breaches, lateral movement, or service disruption, undermining both confidentiality and system control.</w:t>
            </w:r>
          </w:p>
          <w:p w14:paraId="790AD05C" w14:textId="77777777" w:rsidR="002A2475" w:rsidRDefault="002A2475" w:rsidP="00DB6E3F">
            <w:pPr>
              <w:pStyle w:val="ListParagraph"/>
              <w:jc w:val="both"/>
              <w:rPr>
                <w:color w:val="000000"/>
                <w:sz w:val="22"/>
                <w:szCs w:val="22"/>
              </w:rPr>
            </w:pPr>
            <w:r w:rsidRPr="005C235D">
              <w:rPr>
                <w:b/>
                <w:bCs/>
                <w:color w:val="000000"/>
                <w:sz w:val="22"/>
                <w:szCs w:val="22"/>
                <w:u w:val="single"/>
              </w:rPr>
              <w:t>Known Attack Vectors</w:t>
            </w:r>
            <w:r w:rsidRPr="005C235D">
              <w:rPr>
                <w:color w:val="000000"/>
                <w:sz w:val="22"/>
                <w:szCs w:val="22"/>
                <w:u w:val="single"/>
              </w:rPr>
              <w:t>:</w:t>
            </w:r>
            <w:r>
              <w:rPr>
                <w:color w:val="000000"/>
                <w:sz w:val="22"/>
                <w:szCs w:val="22"/>
              </w:rPr>
              <w:t xml:space="preserve"> A malicious actor with privileges to create or modify alarms and run script action may exploit this issue to run arbitrary commands on the vCenter Server.</w:t>
            </w:r>
          </w:p>
          <w:p w14:paraId="2EE85F8B" w14:textId="77777777" w:rsidR="002A2475" w:rsidRDefault="002A2475" w:rsidP="00DB6E3F">
            <w:pPr>
              <w:pStyle w:val="ListParagraph"/>
              <w:jc w:val="both"/>
              <w:rPr>
                <w:sz w:val="22"/>
                <w:szCs w:val="22"/>
              </w:rPr>
            </w:pPr>
          </w:p>
          <w:p w14:paraId="23A636BB" w14:textId="77777777" w:rsidR="002A2475" w:rsidRDefault="002A2475" w:rsidP="00DB6E3F">
            <w:pPr>
              <w:pStyle w:val="ListParagraph"/>
              <w:numPr>
                <w:ilvl w:val="0"/>
                <w:numId w:val="1"/>
              </w:numPr>
              <w:spacing w:after="0" w:line="240" w:lineRule="auto"/>
              <w:contextualSpacing w:val="0"/>
              <w:jc w:val="both"/>
              <w:rPr>
                <w:rFonts w:eastAsia="Times New Roman"/>
                <w:sz w:val="22"/>
                <w:szCs w:val="22"/>
              </w:rPr>
            </w:pPr>
            <w:r>
              <w:rPr>
                <w:rFonts w:eastAsia="Times New Roman"/>
                <w:color w:val="000000"/>
                <w:sz w:val="22"/>
                <w:szCs w:val="22"/>
                <w:u w:val="single"/>
              </w:rPr>
              <w:t xml:space="preserve">Guest Operations Denial-of-Service Vulnerability (CVE-2025-41226) </w:t>
            </w:r>
            <w:r>
              <w:rPr>
                <w:rFonts w:eastAsia="Times New Roman"/>
                <w:color w:val="000000"/>
                <w:sz w:val="22"/>
                <w:szCs w:val="22"/>
              </w:rPr>
              <w:t> </w:t>
            </w:r>
          </w:p>
          <w:p w14:paraId="3A8E789A" w14:textId="77777777" w:rsidR="002A2475" w:rsidRDefault="002A2475" w:rsidP="00DB6E3F">
            <w:pPr>
              <w:pStyle w:val="ListParagraph"/>
              <w:jc w:val="both"/>
              <w:rPr>
                <w:color w:val="000000"/>
                <w:sz w:val="22"/>
                <w:szCs w:val="22"/>
              </w:rPr>
            </w:pPr>
            <w:r w:rsidRPr="005C235D">
              <w:rPr>
                <w:b/>
                <w:bCs/>
                <w:color w:val="000000"/>
                <w:sz w:val="22"/>
                <w:szCs w:val="22"/>
                <w:u w:val="single"/>
              </w:rPr>
              <w:t>Description</w:t>
            </w:r>
            <w:r w:rsidRPr="005C235D">
              <w:rPr>
                <w:color w:val="000000"/>
                <w:sz w:val="22"/>
                <w:szCs w:val="22"/>
                <w:u w:val="single"/>
              </w:rPr>
              <w:t>:</w:t>
            </w:r>
            <w:r>
              <w:rPr>
                <w:color w:val="000000"/>
                <w:sz w:val="22"/>
                <w:szCs w:val="22"/>
              </w:rPr>
              <w:t xml:space="preserve"> VMware </w:t>
            </w:r>
            <w:proofErr w:type="spellStart"/>
            <w:r>
              <w:rPr>
                <w:color w:val="000000"/>
                <w:sz w:val="22"/>
                <w:szCs w:val="22"/>
              </w:rPr>
              <w:t>ESXi</w:t>
            </w:r>
            <w:proofErr w:type="spellEnd"/>
            <w:r>
              <w:rPr>
                <w:color w:val="000000"/>
                <w:sz w:val="22"/>
                <w:szCs w:val="22"/>
              </w:rPr>
              <w:t xml:space="preserve"> contains a denial-of-service vulnerability that occurs when performing a guest operation. VMware has evaluated the severity of this issue to be in the Moderate severity range with a maximum CVSSv3 base score of 6.8.</w:t>
            </w:r>
          </w:p>
          <w:p w14:paraId="06B58F87" w14:textId="77777777" w:rsidR="002A2475" w:rsidRDefault="002A2475" w:rsidP="00DB6E3F">
            <w:pPr>
              <w:pStyle w:val="ListParagraph"/>
              <w:jc w:val="both"/>
              <w:rPr>
                <w:sz w:val="22"/>
                <w:szCs w:val="22"/>
              </w:rPr>
            </w:pPr>
            <w:r w:rsidRPr="005C235D">
              <w:rPr>
                <w:sz w:val="22"/>
                <w:szCs w:val="22"/>
              </w:rPr>
              <w:t xml:space="preserve">CVE-2025-41226 is a denial-of-service (DoS) vulnerability in VMware </w:t>
            </w:r>
            <w:proofErr w:type="spellStart"/>
            <w:r w:rsidRPr="005C235D">
              <w:rPr>
                <w:sz w:val="22"/>
                <w:szCs w:val="22"/>
              </w:rPr>
              <w:t>ESXi</w:t>
            </w:r>
            <w:proofErr w:type="spellEnd"/>
            <w:r w:rsidRPr="005C235D">
              <w:rPr>
                <w:sz w:val="22"/>
                <w:szCs w:val="22"/>
              </w:rPr>
              <w:t xml:space="preserve"> triggered during guest operations, allowing an authenticated user to disrupt virtual machine availability. In general, such CVEs impact system availability and can halt workloads or degrade service reliability.</w:t>
            </w:r>
          </w:p>
          <w:p w14:paraId="7E4FF0E0" w14:textId="77777777" w:rsidR="002A2475" w:rsidRDefault="002A2475" w:rsidP="00DB6E3F">
            <w:pPr>
              <w:pStyle w:val="ListParagraph"/>
              <w:jc w:val="both"/>
              <w:rPr>
                <w:sz w:val="22"/>
                <w:szCs w:val="22"/>
              </w:rPr>
            </w:pPr>
            <w:r w:rsidRPr="005C235D">
              <w:rPr>
                <w:b/>
                <w:bCs/>
                <w:color w:val="000000"/>
                <w:sz w:val="22"/>
                <w:szCs w:val="22"/>
                <w:u w:val="single"/>
              </w:rPr>
              <w:t>Security Impact</w:t>
            </w:r>
            <w:r w:rsidRPr="005C235D">
              <w:rPr>
                <w:color w:val="000000"/>
                <w:sz w:val="22"/>
                <w:szCs w:val="22"/>
                <w:u w:val="single"/>
              </w:rPr>
              <w:t>:</w:t>
            </w:r>
            <w:r>
              <w:rPr>
                <w:color w:val="000000"/>
                <w:sz w:val="22"/>
                <w:szCs w:val="22"/>
              </w:rPr>
              <w:t xml:space="preserve"> </w:t>
            </w:r>
            <w:r w:rsidRPr="005C235D">
              <w:rPr>
                <w:color w:val="000000"/>
                <w:sz w:val="22"/>
                <w:szCs w:val="22"/>
              </w:rPr>
              <w:t>An attacker with guest operation privileges could exploit this vulnerability to crash or freeze guest VMs, leading to service outages or performance degradation. While it doesn’t allow code execution or data access, it poses a risk to system uptime and operational continuity</w:t>
            </w:r>
            <w:r>
              <w:rPr>
                <w:color w:val="000000"/>
                <w:sz w:val="22"/>
                <w:szCs w:val="22"/>
              </w:rPr>
              <w:t>.</w:t>
            </w:r>
          </w:p>
          <w:p w14:paraId="5BD8C27A" w14:textId="77777777" w:rsidR="002A2475" w:rsidRPr="005C235D" w:rsidRDefault="002A2475" w:rsidP="00DB6E3F">
            <w:pPr>
              <w:pStyle w:val="ListParagraph"/>
              <w:jc w:val="both"/>
              <w:rPr>
                <w:color w:val="000000"/>
                <w:sz w:val="22"/>
                <w:szCs w:val="22"/>
              </w:rPr>
            </w:pPr>
            <w:r w:rsidRPr="005C235D">
              <w:rPr>
                <w:b/>
                <w:bCs/>
                <w:color w:val="000000"/>
                <w:sz w:val="22"/>
                <w:szCs w:val="22"/>
                <w:u w:val="single"/>
              </w:rPr>
              <w:t>Known Attack Vectors</w:t>
            </w:r>
            <w:r w:rsidRPr="005C235D">
              <w:rPr>
                <w:color w:val="000000"/>
                <w:sz w:val="22"/>
                <w:szCs w:val="22"/>
                <w:u w:val="single"/>
              </w:rPr>
              <w:t>:</w:t>
            </w:r>
            <w:r>
              <w:rPr>
                <w:color w:val="000000"/>
                <w:sz w:val="22"/>
                <w:szCs w:val="22"/>
              </w:rPr>
              <w:t xml:space="preserve"> A malicious actor with guest operation privileges on a VM, who is already authenticated through vCenter Server or </w:t>
            </w:r>
            <w:proofErr w:type="spellStart"/>
            <w:r>
              <w:rPr>
                <w:color w:val="000000"/>
                <w:sz w:val="22"/>
                <w:szCs w:val="22"/>
              </w:rPr>
              <w:t>ESXi</w:t>
            </w:r>
            <w:proofErr w:type="spellEnd"/>
            <w:r>
              <w:rPr>
                <w:color w:val="000000"/>
                <w:sz w:val="22"/>
                <w:szCs w:val="22"/>
              </w:rPr>
              <w:t xml:space="preserve"> may trigger this issue to create a denial-of-service condition of guest VMs with VMware Tools running and guest operations enabled.</w:t>
            </w:r>
          </w:p>
          <w:p w14:paraId="25A99AF6" w14:textId="77777777" w:rsidR="002A2475" w:rsidRDefault="002A2475" w:rsidP="00DB6E3F">
            <w:pPr>
              <w:pStyle w:val="ListParagraph"/>
              <w:jc w:val="both"/>
              <w:rPr>
                <w:sz w:val="22"/>
                <w:szCs w:val="22"/>
              </w:rPr>
            </w:pPr>
          </w:p>
          <w:p w14:paraId="76AAA4A2" w14:textId="77777777" w:rsidR="002A2475" w:rsidRDefault="002A2475" w:rsidP="00DB6E3F">
            <w:pPr>
              <w:pStyle w:val="ListParagraph"/>
              <w:numPr>
                <w:ilvl w:val="0"/>
                <w:numId w:val="1"/>
              </w:numPr>
              <w:spacing w:after="0" w:line="240" w:lineRule="auto"/>
              <w:contextualSpacing w:val="0"/>
              <w:jc w:val="both"/>
              <w:rPr>
                <w:rFonts w:eastAsia="Times New Roman"/>
                <w:sz w:val="22"/>
                <w:szCs w:val="22"/>
                <w:u w:val="single"/>
              </w:rPr>
            </w:pPr>
            <w:r>
              <w:rPr>
                <w:rFonts w:eastAsia="Times New Roman"/>
                <w:color w:val="000000"/>
                <w:sz w:val="22"/>
                <w:szCs w:val="22"/>
                <w:u w:val="single"/>
              </w:rPr>
              <w:t>Denial-of-Service Vulnerability (CVE-2025-41227)</w:t>
            </w:r>
          </w:p>
          <w:p w14:paraId="0B7ACFD1" w14:textId="77777777" w:rsidR="002A2475" w:rsidRDefault="002A2475" w:rsidP="00DB6E3F">
            <w:pPr>
              <w:pStyle w:val="ListParagraph"/>
              <w:jc w:val="both"/>
              <w:rPr>
                <w:color w:val="000000"/>
                <w:sz w:val="22"/>
                <w:szCs w:val="22"/>
              </w:rPr>
            </w:pPr>
            <w:r>
              <w:rPr>
                <w:b/>
                <w:bCs/>
                <w:color w:val="000000"/>
                <w:sz w:val="22"/>
                <w:szCs w:val="22"/>
              </w:rPr>
              <w:t>Description</w:t>
            </w:r>
            <w:r w:rsidRPr="005C235D">
              <w:rPr>
                <w:b/>
                <w:bCs/>
                <w:color w:val="000000"/>
                <w:sz w:val="22"/>
                <w:szCs w:val="22"/>
              </w:rPr>
              <w:t xml:space="preserve">: </w:t>
            </w:r>
            <w:r w:rsidRPr="005C235D">
              <w:rPr>
                <w:color w:val="000000"/>
                <w:sz w:val="22"/>
                <w:szCs w:val="22"/>
              </w:rPr>
              <w:t xml:space="preserve">VMware </w:t>
            </w:r>
            <w:proofErr w:type="spellStart"/>
            <w:r w:rsidRPr="005C235D">
              <w:rPr>
                <w:color w:val="000000"/>
                <w:sz w:val="22"/>
                <w:szCs w:val="22"/>
              </w:rPr>
              <w:t>ESXi</w:t>
            </w:r>
            <w:proofErr w:type="spellEnd"/>
            <w:r w:rsidRPr="005C235D">
              <w:rPr>
                <w:color w:val="000000"/>
                <w:sz w:val="22"/>
                <w:szCs w:val="22"/>
              </w:rPr>
              <w:t>, Workstation, and Fusion contain a denial-of-service vulnerability due to certain guest options. VMware has evaluated the severity of this issue to be in the Moderate severity range with a maximum CVSSv3 base score of 5.5.</w:t>
            </w:r>
          </w:p>
          <w:p w14:paraId="01834D3C" w14:textId="77777777" w:rsidR="002A2475" w:rsidRDefault="002A2475" w:rsidP="00DB6E3F">
            <w:pPr>
              <w:pStyle w:val="ListParagraph"/>
              <w:jc w:val="both"/>
              <w:rPr>
                <w:sz w:val="22"/>
                <w:szCs w:val="22"/>
              </w:rPr>
            </w:pPr>
            <w:r w:rsidRPr="005C235D">
              <w:rPr>
                <w:sz w:val="22"/>
                <w:szCs w:val="22"/>
              </w:rPr>
              <w:t>CVE-2025-4122</w:t>
            </w:r>
            <w:r>
              <w:rPr>
                <w:sz w:val="22"/>
                <w:szCs w:val="22"/>
              </w:rPr>
              <w:t>7 is a</w:t>
            </w:r>
            <w:r w:rsidRPr="00307C67">
              <w:rPr>
                <w:sz w:val="22"/>
                <w:szCs w:val="22"/>
              </w:rPr>
              <w:t xml:space="preserve"> denial-of-service vulnerability </w:t>
            </w:r>
            <w:r>
              <w:rPr>
                <w:sz w:val="22"/>
                <w:szCs w:val="22"/>
              </w:rPr>
              <w:t xml:space="preserve">that </w:t>
            </w:r>
            <w:r w:rsidRPr="00307C67">
              <w:rPr>
                <w:sz w:val="22"/>
                <w:szCs w:val="22"/>
              </w:rPr>
              <w:t xml:space="preserve">affects VMware </w:t>
            </w:r>
            <w:proofErr w:type="spellStart"/>
            <w:r w:rsidRPr="00307C67">
              <w:rPr>
                <w:sz w:val="22"/>
                <w:szCs w:val="22"/>
              </w:rPr>
              <w:t>ESXi</w:t>
            </w:r>
            <w:proofErr w:type="spellEnd"/>
            <w:r w:rsidRPr="00307C67">
              <w:rPr>
                <w:sz w:val="22"/>
                <w:szCs w:val="22"/>
              </w:rPr>
              <w:t>, Workstation, and Fusion, allowing a low-privileged guest user to exhaust host process memory. Such vulnerabilities typically impact system availability by crashing or degrading virtualized environments.</w:t>
            </w:r>
          </w:p>
          <w:p w14:paraId="2536B524" w14:textId="77777777" w:rsidR="002A2475" w:rsidRPr="005C235D" w:rsidRDefault="002A2475" w:rsidP="00DB6E3F">
            <w:pPr>
              <w:pStyle w:val="ListParagraph"/>
              <w:jc w:val="both"/>
              <w:rPr>
                <w:b/>
                <w:bCs/>
                <w:color w:val="000000"/>
                <w:sz w:val="22"/>
                <w:szCs w:val="22"/>
              </w:rPr>
            </w:pPr>
            <w:r w:rsidRPr="005C235D">
              <w:rPr>
                <w:b/>
                <w:bCs/>
                <w:color w:val="000000"/>
                <w:sz w:val="22"/>
                <w:szCs w:val="22"/>
                <w:u w:val="single"/>
              </w:rPr>
              <w:lastRenderedPageBreak/>
              <w:t>Security Impact</w:t>
            </w:r>
            <w:r w:rsidRPr="005C235D">
              <w:rPr>
                <w:color w:val="000000"/>
                <w:sz w:val="22"/>
                <w:szCs w:val="22"/>
                <w:u w:val="single"/>
              </w:rPr>
              <w:t>:</w:t>
            </w:r>
            <w:r>
              <w:rPr>
                <w:color w:val="000000"/>
                <w:sz w:val="22"/>
                <w:szCs w:val="22"/>
              </w:rPr>
              <w:t xml:space="preserve"> </w:t>
            </w:r>
            <w:r w:rsidRPr="00307C67">
              <w:rPr>
                <w:color w:val="000000"/>
                <w:sz w:val="22"/>
                <w:szCs w:val="22"/>
              </w:rPr>
              <w:t>An attacker within a guest OS could trigger resource exhaustion, causing host-side denial-of-service. While it doesn’t allow system compromise, it can disrupt hosted workloads and affect service reliability.</w:t>
            </w:r>
          </w:p>
          <w:p w14:paraId="3ECFDE5A" w14:textId="77777777" w:rsidR="002A2475" w:rsidRDefault="002A2475" w:rsidP="00DB6E3F">
            <w:pPr>
              <w:pStyle w:val="ListParagraph"/>
              <w:jc w:val="both"/>
              <w:rPr>
                <w:sz w:val="22"/>
                <w:szCs w:val="22"/>
              </w:rPr>
            </w:pPr>
            <w:r w:rsidRPr="00307C67">
              <w:rPr>
                <w:b/>
                <w:bCs/>
                <w:color w:val="000000"/>
                <w:sz w:val="22"/>
                <w:szCs w:val="22"/>
                <w:u w:val="single"/>
              </w:rPr>
              <w:t>Known Attack Vectors</w:t>
            </w:r>
            <w:r w:rsidRPr="00307C67">
              <w:rPr>
                <w:color w:val="000000"/>
                <w:sz w:val="22"/>
                <w:szCs w:val="22"/>
                <w:u w:val="single"/>
              </w:rPr>
              <w:t>:</w:t>
            </w:r>
            <w:r>
              <w:rPr>
                <w:color w:val="000000"/>
                <w:sz w:val="22"/>
                <w:szCs w:val="22"/>
              </w:rPr>
              <w:t xml:space="preserve"> A malicious actor with non-administrative privileges within a guest operating system may be able to exploit this issue by exhausting memory of the host process leading to a denial-of-service condition.</w:t>
            </w:r>
          </w:p>
          <w:p w14:paraId="4791F17B" w14:textId="77777777" w:rsidR="002A2475" w:rsidRDefault="002A2475" w:rsidP="00DB6E3F">
            <w:pPr>
              <w:pStyle w:val="ListParagraph"/>
              <w:ind w:left="0"/>
              <w:jc w:val="both"/>
              <w:rPr>
                <w:sz w:val="20"/>
                <w:szCs w:val="20"/>
                <w:u w:val="single"/>
              </w:rPr>
            </w:pPr>
          </w:p>
          <w:p w14:paraId="44E9E87B" w14:textId="77777777" w:rsidR="002A2475" w:rsidRDefault="002A2475" w:rsidP="00DB6E3F">
            <w:pPr>
              <w:pStyle w:val="ListParagraph"/>
              <w:numPr>
                <w:ilvl w:val="0"/>
                <w:numId w:val="1"/>
              </w:numPr>
              <w:spacing w:after="0" w:line="240" w:lineRule="auto"/>
              <w:contextualSpacing w:val="0"/>
              <w:jc w:val="both"/>
              <w:rPr>
                <w:rFonts w:eastAsia="Times New Roman"/>
                <w:sz w:val="20"/>
                <w:szCs w:val="20"/>
                <w:u w:val="single"/>
              </w:rPr>
            </w:pPr>
            <w:r w:rsidRPr="005C235D">
              <w:rPr>
                <w:rFonts w:eastAsia="Times New Roman"/>
                <w:color w:val="000000"/>
                <w:sz w:val="22"/>
                <w:szCs w:val="22"/>
                <w:u w:val="single"/>
              </w:rPr>
              <w:t>VMware</w:t>
            </w:r>
            <w:r>
              <w:rPr>
                <w:rFonts w:eastAsia="Times New Roman"/>
                <w:color w:val="000000"/>
                <w:sz w:val="20"/>
                <w:szCs w:val="20"/>
                <w:u w:val="single"/>
              </w:rPr>
              <w:t xml:space="preserve"> </w:t>
            </w:r>
            <w:proofErr w:type="spellStart"/>
            <w:r>
              <w:rPr>
                <w:rFonts w:eastAsia="Times New Roman"/>
                <w:color w:val="000000"/>
                <w:sz w:val="20"/>
                <w:szCs w:val="20"/>
                <w:u w:val="single"/>
              </w:rPr>
              <w:t>ESXi</w:t>
            </w:r>
            <w:proofErr w:type="spellEnd"/>
            <w:r>
              <w:rPr>
                <w:rFonts w:eastAsia="Times New Roman"/>
                <w:color w:val="000000"/>
                <w:sz w:val="20"/>
                <w:szCs w:val="20"/>
                <w:u w:val="single"/>
              </w:rPr>
              <w:t xml:space="preserve"> and vCenter Server Reflected Cross Site Scripting (XSS) Vulnerability (CVE-2025-41228)</w:t>
            </w:r>
          </w:p>
          <w:p w14:paraId="5C8886A1" w14:textId="77777777" w:rsidR="002A2475" w:rsidRDefault="002A2475" w:rsidP="00DB6E3F">
            <w:pPr>
              <w:pStyle w:val="ListParagraph"/>
              <w:jc w:val="both"/>
              <w:rPr>
                <w:color w:val="000000"/>
                <w:sz w:val="22"/>
                <w:szCs w:val="22"/>
              </w:rPr>
            </w:pPr>
            <w:r w:rsidRPr="00307C67">
              <w:rPr>
                <w:b/>
                <w:bCs/>
                <w:color w:val="000000"/>
                <w:sz w:val="22"/>
                <w:szCs w:val="22"/>
                <w:u w:val="single"/>
              </w:rPr>
              <w:t>Description</w:t>
            </w:r>
            <w:r w:rsidRPr="00307C67">
              <w:rPr>
                <w:color w:val="000000"/>
                <w:sz w:val="22"/>
                <w:szCs w:val="22"/>
                <w:u w:val="single"/>
              </w:rPr>
              <w:t>:</w:t>
            </w:r>
            <w:r>
              <w:rPr>
                <w:color w:val="000000"/>
                <w:sz w:val="22"/>
                <w:szCs w:val="22"/>
              </w:rPr>
              <w:t xml:space="preserve"> VMware </w:t>
            </w:r>
            <w:proofErr w:type="spellStart"/>
            <w:r>
              <w:rPr>
                <w:color w:val="000000"/>
                <w:sz w:val="22"/>
                <w:szCs w:val="22"/>
              </w:rPr>
              <w:t>ESXi</w:t>
            </w:r>
            <w:proofErr w:type="spellEnd"/>
            <w:r>
              <w:rPr>
                <w:color w:val="000000"/>
                <w:sz w:val="22"/>
                <w:szCs w:val="22"/>
              </w:rPr>
              <w:t xml:space="preserve"> and vCenter Server contain a reflected cross-site scripting vulnerability due to improper input validation. VMware has evaluated the severity of this issue to be in the Moderate severity range with a maximum CVSSv3 base score of 4.3.</w:t>
            </w:r>
          </w:p>
          <w:p w14:paraId="7CA1C76B" w14:textId="77777777" w:rsidR="002A2475" w:rsidRDefault="002A2475" w:rsidP="00DB6E3F">
            <w:pPr>
              <w:pStyle w:val="ListParagraph"/>
              <w:jc w:val="both"/>
              <w:rPr>
                <w:sz w:val="22"/>
                <w:szCs w:val="22"/>
              </w:rPr>
            </w:pPr>
            <w:r w:rsidRPr="00307C67">
              <w:rPr>
                <w:sz w:val="22"/>
                <w:szCs w:val="22"/>
              </w:rPr>
              <w:t xml:space="preserve">CVE-2025-41228 is a reflected cross-site scripting (XSS) vulnerability in VMware </w:t>
            </w:r>
            <w:proofErr w:type="spellStart"/>
            <w:r w:rsidRPr="00307C67">
              <w:rPr>
                <w:sz w:val="22"/>
                <w:szCs w:val="22"/>
              </w:rPr>
              <w:t>ESXi</w:t>
            </w:r>
            <w:proofErr w:type="spellEnd"/>
            <w:r w:rsidRPr="00307C67">
              <w:rPr>
                <w:sz w:val="22"/>
                <w:szCs w:val="22"/>
              </w:rPr>
              <w:t xml:space="preserve"> and vCenter Server, stemming from improper input validation. In general, XSS flaws can enable session hijacking, redirection, or manipulation of browser-side content.</w:t>
            </w:r>
          </w:p>
          <w:p w14:paraId="656C5A84" w14:textId="77777777" w:rsidR="002A2475" w:rsidRPr="00307C67" w:rsidRDefault="002A2475" w:rsidP="00DB6E3F">
            <w:pPr>
              <w:pStyle w:val="ListParagraph"/>
              <w:jc w:val="both"/>
              <w:rPr>
                <w:color w:val="000000"/>
                <w:sz w:val="22"/>
                <w:szCs w:val="22"/>
              </w:rPr>
            </w:pPr>
            <w:r w:rsidRPr="005C235D">
              <w:rPr>
                <w:b/>
                <w:bCs/>
                <w:color w:val="000000"/>
                <w:sz w:val="22"/>
                <w:szCs w:val="22"/>
                <w:u w:val="single"/>
              </w:rPr>
              <w:t>Security Impact</w:t>
            </w:r>
            <w:r w:rsidRPr="005C235D">
              <w:rPr>
                <w:color w:val="000000"/>
                <w:sz w:val="22"/>
                <w:szCs w:val="22"/>
                <w:u w:val="single"/>
              </w:rPr>
              <w:t>:</w:t>
            </w:r>
            <w:r>
              <w:rPr>
                <w:color w:val="000000"/>
                <w:sz w:val="22"/>
                <w:szCs w:val="22"/>
              </w:rPr>
              <w:t xml:space="preserve"> </w:t>
            </w:r>
            <w:r w:rsidRPr="00307C67">
              <w:rPr>
                <w:color w:val="000000"/>
                <w:sz w:val="22"/>
                <w:szCs w:val="22"/>
              </w:rPr>
              <w:t>An attacker could craft a malicious link targeting the login interface to steal session data or trick users into accessing malicious content. While it doesn’t impact backend systems directly, it compromises user trust and interface integrity.</w:t>
            </w:r>
          </w:p>
          <w:p w14:paraId="08D96388" w14:textId="77777777" w:rsidR="002A2475" w:rsidRPr="00307C67" w:rsidRDefault="002A2475" w:rsidP="00DB6E3F">
            <w:pPr>
              <w:pStyle w:val="ListParagraph"/>
              <w:jc w:val="both"/>
              <w:rPr>
                <w:color w:val="000000"/>
                <w:sz w:val="22"/>
                <w:szCs w:val="22"/>
              </w:rPr>
            </w:pPr>
            <w:r w:rsidRPr="00307C67">
              <w:rPr>
                <w:b/>
                <w:bCs/>
                <w:color w:val="000000"/>
                <w:sz w:val="22"/>
                <w:szCs w:val="22"/>
                <w:u w:val="single"/>
              </w:rPr>
              <w:t>Known Attack Vectors</w:t>
            </w:r>
            <w:r w:rsidRPr="00307C67">
              <w:rPr>
                <w:color w:val="000000"/>
                <w:sz w:val="22"/>
                <w:szCs w:val="22"/>
                <w:u w:val="single"/>
              </w:rPr>
              <w:t>:</w:t>
            </w:r>
            <w:r>
              <w:rPr>
                <w:color w:val="000000"/>
                <w:sz w:val="22"/>
                <w:szCs w:val="22"/>
              </w:rPr>
              <w:t xml:space="preserve"> A malicious actor with network access to the login page of certain </w:t>
            </w:r>
            <w:proofErr w:type="spellStart"/>
            <w:r>
              <w:rPr>
                <w:color w:val="000000"/>
                <w:sz w:val="22"/>
                <w:szCs w:val="22"/>
              </w:rPr>
              <w:t>ESXi</w:t>
            </w:r>
            <w:proofErr w:type="spellEnd"/>
            <w:r>
              <w:rPr>
                <w:color w:val="000000"/>
                <w:sz w:val="22"/>
                <w:szCs w:val="22"/>
              </w:rPr>
              <w:t xml:space="preserve"> host or vCenter Server URL paths may exploit this issue to steal cookies or redirect to malicious websites.</w:t>
            </w:r>
          </w:p>
          <w:p w14:paraId="16CC0943" w14:textId="77777777" w:rsidR="002A2475" w:rsidRPr="008A4097" w:rsidRDefault="002A2475" w:rsidP="00DB6E3F">
            <w:pPr>
              <w:spacing w:after="0"/>
              <w:ind w:left="382"/>
              <w:contextualSpacing/>
              <w:rPr>
                <w:sz w:val="22"/>
                <w:szCs w:val="22"/>
              </w:rPr>
            </w:pPr>
            <w:r w:rsidRPr="008A4097">
              <w:rPr>
                <w:b/>
                <w:bCs/>
                <w:sz w:val="22"/>
                <w:szCs w:val="22"/>
              </w:rPr>
              <w:t xml:space="preserve">Products Affected: </w:t>
            </w:r>
          </w:p>
          <w:p w14:paraId="2C8C134D"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sidRPr="00307C67">
              <w:rPr>
                <w:rFonts w:eastAsia="Times New Roman"/>
                <w:color w:val="000000"/>
                <w:sz w:val="20"/>
                <w:szCs w:val="20"/>
                <w14:ligatures w14:val="none"/>
              </w:rPr>
              <w:t xml:space="preserve">VMware </w:t>
            </w:r>
            <w:proofErr w:type="spellStart"/>
            <w:r w:rsidRPr="00307C67">
              <w:rPr>
                <w:rFonts w:eastAsia="Times New Roman"/>
                <w:color w:val="000000"/>
                <w:sz w:val="20"/>
                <w:szCs w:val="20"/>
                <w14:ligatures w14:val="none"/>
              </w:rPr>
              <w:t>ESXi</w:t>
            </w:r>
            <w:proofErr w:type="spellEnd"/>
          </w:p>
          <w:p w14:paraId="14CD4126"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sidRPr="00307C67">
              <w:rPr>
                <w:rFonts w:eastAsia="Times New Roman"/>
                <w:color w:val="000000"/>
                <w:sz w:val="20"/>
                <w:szCs w:val="20"/>
                <w14:ligatures w14:val="none"/>
              </w:rPr>
              <w:t>VMware vCenter Server</w:t>
            </w:r>
          </w:p>
          <w:p w14:paraId="21490FEB"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sidRPr="00307C67">
              <w:rPr>
                <w:rFonts w:eastAsia="Times New Roman"/>
                <w:color w:val="000000"/>
                <w:sz w:val="20"/>
                <w:szCs w:val="20"/>
                <w14:ligatures w14:val="none"/>
              </w:rPr>
              <w:t xml:space="preserve">VMware Workstation Pro </w:t>
            </w:r>
          </w:p>
          <w:p w14:paraId="0AF47E4B"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sidRPr="00307C67">
              <w:rPr>
                <w:rFonts w:eastAsia="Times New Roman"/>
                <w:color w:val="000000"/>
                <w:sz w:val="20"/>
                <w:szCs w:val="20"/>
                <w14:ligatures w14:val="none"/>
              </w:rPr>
              <w:t>VMware Fusion</w:t>
            </w:r>
          </w:p>
          <w:p w14:paraId="609DC781"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sidRPr="00307C67">
              <w:rPr>
                <w:rFonts w:eastAsia="Times New Roman"/>
                <w:color w:val="000000"/>
                <w:sz w:val="20"/>
                <w:szCs w:val="20"/>
                <w14:ligatures w14:val="none"/>
              </w:rPr>
              <w:t>VMware Cloud Foundation</w:t>
            </w:r>
          </w:p>
          <w:p w14:paraId="1FFB8BEA"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sidRPr="00307C67">
              <w:rPr>
                <w:rFonts w:eastAsia="Times New Roman"/>
                <w:color w:val="000000"/>
                <w:sz w:val="20"/>
                <w:szCs w:val="20"/>
                <w14:ligatures w14:val="none"/>
              </w:rPr>
              <w:t>VMware Telco Cloud Platform</w:t>
            </w:r>
          </w:p>
          <w:p w14:paraId="103340A4" w14:textId="77777777" w:rsidR="002A2475" w:rsidRPr="00046BD3" w:rsidRDefault="002A2475" w:rsidP="00DB6E3F">
            <w:pPr>
              <w:pStyle w:val="ListParagraph"/>
              <w:numPr>
                <w:ilvl w:val="0"/>
                <w:numId w:val="1"/>
              </w:numPr>
              <w:spacing w:after="0"/>
              <w:rPr>
                <w:b/>
                <w:bCs/>
                <w:sz w:val="22"/>
                <w:szCs w:val="22"/>
              </w:rPr>
            </w:pPr>
            <w:r w:rsidRPr="00307C67">
              <w:rPr>
                <w:rFonts w:eastAsia="Times New Roman"/>
                <w:color w:val="000000"/>
                <w:sz w:val="20"/>
                <w:szCs w:val="20"/>
                <w14:ligatures w14:val="none"/>
              </w:rPr>
              <w:t>VMware Telco Cloud Infrastructure</w:t>
            </w:r>
          </w:p>
          <w:p w14:paraId="194382A3" w14:textId="77777777" w:rsidR="002A2475" w:rsidRPr="00046BD3" w:rsidRDefault="002A2475" w:rsidP="00DB6E3F">
            <w:pPr>
              <w:spacing w:after="0"/>
              <w:ind w:left="382"/>
              <w:rPr>
                <w:b/>
                <w:bCs/>
                <w:sz w:val="8"/>
                <w:szCs w:val="8"/>
              </w:rPr>
            </w:pPr>
          </w:p>
          <w:p w14:paraId="4DF75D63" w14:textId="77777777" w:rsidR="002A2475" w:rsidRDefault="002A2475" w:rsidP="00DB6E3F">
            <w:pPr>
              <w:spacing w:after="0"/>
              <w:ind w:left="382"/>
              <w:rPr>
                <w:sz w:val="22"/>
                <w:szCs w:val="22"/>
              </w:rPr>
            </w:pPr>
            <w:r w:rsidRPr="008A4097">
              <w:rPr>
                <w:b/>
                <w:bCs/>
                <w:sz w:val="22"/>
                <w:szCs w:val="22"/>
              </w:rPr>
              <w:t xml:space="preserve">Publication date: </w:t>
            </w:r>
            <w:r w:rsidRPr="008A4097">
              <w:rPr>
                <w:sz w:val="22"/>
                <w:szCs w:val="22"/>
              </w:rPr>
              <w:t>20 May 2025</w:t>
            </w:r>
            <w:r w:rsidRPr="008A4097">
              <w:rPr>
                <w:b/>
                <w:bCs/>
                <w:sz w:val="22"/>
                <w:szCs w:val="22"/>
              </w:rPr>
              <w:br/>
              <w:t xml:space="preserve">CVSSv3 Score Range: </w:t>
            </w:r>
            <w:r>
              <w:rPr>
                <w:sz w:val="22"/>
                <w:szCs w:val="22"/>
              </w:rPr>
              <w:t>4</w:t>
            </w:r>
            <w:r w:rsidRPr="008A4097">
              <w:rPr>
                <w:sz w:val="22"/>
                <w:szCs w:val="22"/>
              </w:rPr>
              <w:t>.3 – 8.</w:t>
            </w:r>
            <w:r>
              <w:rPr>
                <w:sz w:val="22"/>
                <w:szCs w:val="22"/>
              </w:rPr>
              <w:t>8</w:t>
            </w:r>
          </w:p>
          <w:p w14:paraId="25C68552" w14:textId="77777777" w:rsidR="002A2475" w:rsidRPr="00307C67" w:rsidRDefault="002A2475" w:rsidP="00DB6E3F">
            <w:pPr>
              <w:jc w:val="both"/>
              <w:rPr>
                <w:color w:val="000000"/>
                <w:sz w:val="22"/>
                <w:szCs w:val="22"/>
              </w:rPr>
            </w:pPr>
          </w:p>
          <w:p w14:paraId="4BF552E9" w14:textId="77777777" w:rsidR="002A2475" w:rsidRPr="004F534B" w:rsidRDefault="002A2475" w:rsidP="00DB6E3F"/>
        </w:tc>
      </w:tr>
    </w:tbl>
    <w:p w14:paraId="5F0B74FB" w14:textId="77777777" w:rsidR="00191F41" w:rsidRDefault="00191F41"/>
    <w:sectPr w:rsidR="00191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7D4157"/>
    <w:multiLevelType w:val="hybridMultilevel"/>
    <w:tmpl w:val="E31C571A"/>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num w:numId="1" w16cid:durableId="164994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475"/>
    <w:rsid w:val="00084254"/>
    <w:rsid w:val="00191F41"/>
    <w:rsid w:val="002A2475"/>
    <w:rsid w:val="00667129"/>
    <w:rsid w:val="00782046"/>
    <w:rsid w:val="00826AD0"/>
    <w:rsid w:val="00B95836"/>
    <w:rsid w:val="00BF7A68"/>
    <w:rsid w:val="00D8175F"/>
    <w:rsid w:val="00DF7A03"/>
    <w:rsid w:val="00F80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6AD802"/>
  <w15:chartTrackingRefBased/>
  <w15:docId w15:val="{AC9A4055-92F0-4F5F-BC30-99B0DCED5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475"/>
    <w:pPr>
      <w:spacing w:line="278" w:lineRule="auto"/>
    </w:pPr>
    <w:rPr>
      <w:sz w:val="24"/>
      <w:szCs w:val="24"/>
      <w:lang w:val="en-US"/>
    </w:rPr>
  </w:style>
  <w:style w:type="paragraph" w:styleId="Heading1">
    <w:name w:val="heading 1"/>
    <w:basedOn w:val="Normal"/>
    <w:next w:val="Normal"/>
    <w:link w:val="Heading1Char"/>
    <w:uiPriority w:val="9"/>
    <w:qFormat/>
    <w:rsid w:val="002A24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24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24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24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24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24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4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4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4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4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24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24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24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24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24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4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4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475"/>
    <w:rPr>
      <w:rFonts w:eastAsiaTheme="majorEastAsia" w:cstheme="majorBidi"/>
      <w:color w:val="272727" w:themeColor="text1" w:themeTint="D8"/>
    </w:rPr>
  </w:style>
  <w:style w:type="paragraph" w:styleId="Title">
    <w:name w:val="Title"/>
    <w:basedOn w:val="Normal"/>
    <w:next w:val="Normal"/>
    <w:link w:val="TitleChar"/>
    <w:uiPriority w:val="10"/>
    <w:qFormat/>
    <w:rsid w:val="002A24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4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4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475"/>
    <w:pPr>
      <w:spacing w:before="160"/>
      <w:jc w:val="center"/>
    </w:pPr>
    <w:rPr>
      <w:i/>
      <w:iCs/>
      <w:color w:val="404040" w:themeColor="text1" w:themeTint="BF"/>
    </w:rPr>
  </w:style>
  <w:style w:type="character" w:customStyle="1" w:styleId="QuoteChar">
    <w:name w:val="Quote Char"/>
    <w:basedOn w:val="DefaultParagraphFont"/>
    <w:link w:val="Quote"/>
    <w:uiPriority w:val="29"/>
    <w:rsid w:val="002A2475"/>
    <w:rPr>
      <w:i/>
      <w:iCs/>
      <w:color w:val="404040" w:themeColor="text1" w:themeTint="BF"/>
    </w:rPr>
  </w:style>
  <w:style w:type="paragraph" w:styleId="ListParagraph">
    <w:name w:val="List Paragraph"/>
    <w:basedOn w:val="Normal"/>
    <w:uiPriority w:val="34"/>
    <w:qFormat/>
    <w:rsid w:val="002A2475"/>
    <w:pPr>
      <w:ind w:left="720"/>
      <w:contextualSpacing/>
    </w:pPr>
  </w:style>
  <w:style w:type="character" w:styleId="IntenseEmphasis">
    <w:name w:val="Intense Emphasis"/>
    <w:basedOn w:val="DefaultParagraphFont"/>
    <w:uiPriority w:val="21"/>
    <w:qFormat/>
    <w:rsid w:val="002A2475"/>
    <w:rPr>
      <w:i/>
      <w:iCs/>
      <w:color w:val="2F5496" w:themeColor="accent1" w:themeShade="BF"/>
    </w:rPr>
  </w:style>
  <w:style w:type="paragraph" w:styleId="IntenseQuote">
    <w:name w:val="Intense Quote"/>
    <w:basedOn w:val="Normal"/>
    <w:next w:val="Normal"/>
    <w:link w:val="IntenseQuoteChar"/>
    <w:uiPriority w:val="30"/>
    <w:qFormat/>
    <w:rsid w:val="002A24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2475"/>
    <w:rPr>
      <w:i/>
      <w:iCs/>
      <w:color w:val="2F5496" w:themeColor="accent1" w:themeShade="BF"/>
    </w:rPr>
  </w:style>
  <w:style w:type="character" w:styleId="IntenseReference">
    <w:name w:val="Intense Reference"/>
    <w:basedOn w:val="DefaultParagraphFont"/>
    <w:uiPriority w:val="32"/>
    <w:qFormat/>
    <w:rsid w:val="002A2475"/>
    <w:rPr>
      <w:b/>
      <w:bCs/>
      <w:smallCaps/>
      <w:color w:val="2F5496" w:themeColor="accent1" w:themeShade="BF"/>
      <w:spacing w:val="5"/>
    </w:rPr>
  </w:style>
  <w:style w:type="table" w:styleId="TableGrid">
    <w:name w:val="Table Grid"/>
    <w:basedOn w:val="TableNormal"/>
    <w:uiPriority w:val="39"/>
    <w:rsid w:val="002A247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24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broadcom.com/web/ecx/support-content-notification/-/external/content/SecurityAdvisories/0/257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806</Words>
  <Characters>5084</Characters>
  <Application>Microsoft Office Word</Application>
  <DocSecurity>0</DocSecurity>
  <Lines>118</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Srivastava</dc:creator>
  <cp:keywords/>
  <dc:description/>
  <cp:lastModifiedBy>Ankit Srivastava</cp:lastModifiedBy>
  <cp:revision>3</cp:revision>
  <dcterms:created xsi:type="dcterms:W3CDTF">2025-07-25T09:44:00Z</dcterms:created>
  <dcterms:modified xsi:type="dcterms:W3CDTF">2025-07-26T07:06:00Z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4c83f6b0-f9a9-44de-ae8e-e1a4d985e09b</vt:lpwstr>
  </property>
</Properties>
</file>