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BA1A9" w14:textId="77777777" w:rsidR="002D0B38" w:rsidRPr="002D0B38" w:rsidRDefault="002D0B38" w:rsidP="002D0B38">
      <w:pPr>
        <w:rPr>
          <w:lang w:val="en-CA"/>
        </w:rPr>
      </w:pPr>
      <w:r w:rsidRPr="002D0B38">
        <w:rPr>
          <w:lang w:val="en-CA"/>
        </w:rPr>
        <w:t>The EA Efficiency Committee has been commissioned to improve the CAQ–CA–E2E processes in alignment with EA employee survey results and CIO direction for I.T.  The committee members are Arunesh, Gideon and me, with Paul as the EA Leadership Representative.</w:t>
      </w:r>
    </w:p>
    <w:p w14:paraId="3DF5A3CA" w14:textId="77777777" w:rsidR="002D0B38" w:rsidRPr="002D0B38" w:rsidRDefault="002D0B38" w:rsidP="002D0B38">
      <w:pPr>
        <w:rPr>
          <w:lang w:val="en-CA"/>
        </w:rPr>
      </w:pPr>
    </w:p>
    <w:p w14:paraId="13995C98" w14:textId="77777777" w:rsidR="002D0B38" w:rsidRPr="002D0B38" w:rsidRDefault="002D0B38" w:rsidP="002D0B38">
      <w:pPr>
        <w:rPr>
          <w:lang w:val="en-CA"/>
        </w:rPr>
      </w:pPr>
      <w:r w:rsidRPr="002D0B38">
        <w:rPr>
          <w:lang w:val="en-CA"/>
        </w:rPr>
        <w:t>We are creating a Framework that will form the core of the Candidate Architecture and End</w:t>
      </w:r>
      <w:r w:rsidRPr="002D0B38">
        <w:rPr>
          <w:lang w:val="en-CA"/>
        </w:rPr>
        <w:noBreakHyphen/>
        <w:t>to</w:t>
      </w:r>
      <w:r w:rsidRPr="002D0B38">
        <w:rPr>
          <w:lang w:val="en-CA"/>
        </w:rPr>
        <w:noBreakHyphen/>
        <w:t>End viewpoints. The intent of the Candidate Architecture Questionnaire will be addressed as we determine how it supports the Framework.</w:t>
      </w:r>
    </w:p>
    <w:p w14:paraId="7D81EF62" w14:textId="77777777" w:rsidR="002D0B38" w:rsidRPr="002D0B38" w:rsidRDefault="002D0B38" w:rsidP="002D0B38">
      <w:pPr>
        <w:rPr>
          <w:lang w:val="en-CA"/>
        </w:rPr>
      </w:pPr>
      <w:r w:rsidRPr="002D0B38">
        <w:rPr>
          <w:lang w:val="en-CA"/>
        </w:rPr>
        <w:t>Your EA leaders have selected you to represent your EA Business/Technology Unit in a Focus Group supporting this initiative.  Please contact me if you have any questions.</w:t>
      </w:r>
    </w:p>
    <w:p w14:paraId="7CC97D55" w14:textId="77777777" w:rsidR="002D0B38" w:rsidRPr="002D0B38" w:rsidRDefault="002D0B38" w:rsidP="002D0B38">
      <w:pPr>
        <w:rPr>
          <w:lang w:val="en-CA"/>
        </w:rPr>
      </w:pPr>
    </w:p>
    <w:p w14:paraId="58DA1419" w14:textId="77777777" w:rsidR="002D0B38" w:rsidRPr="002D0B38" w:rsidRDefault="002D0B38" w:rsidP="002D0B38">
      <w:pPr>
        <w:rPr>
          <w:b/>
          <w:bCs/>
          <w:lang w:val="en-CA"/>
        </w:rPr>
      </w:pPr>
      <w:r w:rsidRPr="002D0B38">
        <w:rPr>
          <w:b/>
          <w:bCs/>
          <w:lang w:val="en-CA"/>
        </w:rPr>
        <w:t>Preparation Work - Due Date: Thursday, March 12th, 12:00 p.m. EST</w:t>
      </w:r>
    </w:p>
    <w:p w14:paraId="4141E46A" w14:textId="77777777" w:rsidR="002D0B38" w:rsidRPr="002D0B38" w:rsidRDefault="002D0B38" w:rsidP="002D0B38">
      <w:pPr>
        <w:rPr>
          <w:b/>
          <w:bCs/>
          <w:lang w:val="en-CA"/>
        </w:rPr>
      </w:pPr>
    </w:p>
    <w:p w14:paraId="17E48E7A" w14:textId="77777777" w:rsidR="002D0B38" w:rsidRPr="002D0B38" w:rsidRDefault="002D0B38" w:rsidP="002D0B38">
      <w:pPr>
        <w:rPr>
          <w:lang w:val="en-CA"/>
        </w:rPr>
      </w:pPr>
      <w:r w:rsidRPr="002D0B38">
        <w:rPr>
          <w:lang w:val="en-CA"/>
        </w:rPr>
        <w:t>Send me one gap in the CAQ–CA–E2E process that is affecting your Unit’s effectiveness. Use the form below to frame up your challenge and recommendations</w:t>
      </w:r>
      <w:r w:rsidRPr="002D0B38">
        <w:rPr>
          <w:b/>
          <w:bCs/>
          <w:lang w:val="en-CA"/>
        </w:rPr>
        <w:t>. You will be presenting the gap</w:t>
      </w:r>
      <w:r w:rsidRPr="002D0B38">
        <w:rPr>
          <w:lang w:val="en-CA"/>
        </w:rPr>
        <w:t xml:space="preserve"> from your Unit to the Focus Group in a quick</w:t>
      </w:r>
      <w:r w:rsidRPr="002D0B38">
        <w:rPr>
          <w:lang w:val="en-CA"/>
        </w:rPr>
        <w:noBreakHyphen/>
        <w:t>fire forum.</w:t>
      </w:r>
    </w:p>
    <w:p w14:paraId="363A9B3D" w14:textId="77777777" w:rsidR="002D0B38" w:rsidRPr="002D0B38" w:rsidRDefault="002D0B38" w:rsidP="002D0B38">
      <w:pPr>
        <w:rPr>
          <w:lang w:val="en-CA"/>
        </w:rPr>
      </w:pPr>
    </w:p>
    <w:tbl>
      <w:tblPr>
        <w:tblStyle w:val="TableGrid"/>
        <w:tblW w:w="0" w:type="auto"/>
        <w:tblInd w:w="1327" w:type="dxa"/>
        <w:tblLook w:val="04A0" w:firstRow="1" w:lastRow="0" w:firstColumn="1" w:lastColumn="0" w:noHBand="0" w:noVBand="1"/>
      </w:tblPr>
      <w:tblGrid>
        <w:gridCol w:w="2493"/>
        <w:gridCol w:w="5530"/>
      </w:tblGrid>
      <w:tr w:rsidR="002D0B38" w:rsidRPr="002D0B38" w14:paraId="01ECEE23" w14:textId="77777777">
        <w:tc>
          <w:tcPr>
            <w:tcW w:w="2779" w:type="dxa"/>
            <w:tcBorders>
              <w:top w:val="single" w:sz="4" w:space="0" w:color="auto"/>
              <w:left w:val="single" w:sz="4" w:space="0" w:color="auto"/>
              <w:bottom w:val="single" w:sz="4" w:space="0" w:color="auto"/>
              <w:right w:val="single" w:sz="4" w:space="0" w:color="auto"/>
            </w:tcBorders>
            <w:hideMark/>
          </w:tcPr>
          <w:p w14:paraId="0162407E" w14:textId="77777777" w:rsidR="002D0B38" w:rsidRPr="002D0B38" w:rsidRDefault="002D0B38" w:rsidP="002D0B38">
            <w:pPr>
              <w:spacing w:after="160" w:line="278" w:lineRule="auto"/>
              <w:rPr>
                <w:b/>
                <w:bCs/>
                <w:lang w:val="en-CA"/>
              </w:rPr>
            </w:pPr>
            <w:r w:rsidRPr="002D0B38">
              <w:rPr>
                <w:b/>
                <w:bCs/>
                <w:lang w:val="en-CA"/>
              </w:rPr>
              <w:t>Section</w:t>
            </w:r>
          </w:p>
        </w:tc>
        <w:tc>
          <w:tcPr>
            <w:tcW w:w="7655" w:type="dxa"/>
            <w:tcBorders>
              <w:top w:val="single" w:sz="4" w:space="0" w:color="auto"/>
              <w:left w:val="single" w:sz="4" w:space="0" w:color="auto"/>
              <w:bottom w:val="single" w:sz="4" w:space="0" w:color="auto"/>
              <w:right w:val="single" w:sz="4" w:space="0" w:color="auto"/>
            </w:tcBorders>
            <w:hideMark/>
          </w:tcPr>
          <w:p w14:paraId="3150C045" w14:textId="77777777" w:rsidR="002D0B38" w:rsidRPr="002D0B38" w:rsidRDefault="002D0B38" w:rsidP="002D0B38">
            <w:pPr>
              <w:spacing w:after="160" w:line="278" w:lineRule="auto"/>
              <w:rPr>
                <w:b/>
                <w:bCs/>
                <w:lang w:val="en-CA"/>
              </w:rPr>
            </w:pPr>
            <w:r w:rsidRPr="002D0B38">
              <w:rPr>
                <w:b/>
                <w:bCs/>
                <w:lang w:val="en-CA"/>
              </w:rPr>
              <w:t>Response</w:t>
            </w:r>
          </w:p>
        </w:tc>
      </w:tr>
      <w:tr w:rsidR="002D0B38" w:rsidRPr="002D0B38" w14:paraId="32D56EA9" w14:textId="77777777">
        <w:tc>
          <w:tcPr>
            <w:tcW w:w="2779" w:type="dxa"/>
            <w:tcBorders>
              <w:top w:val="single" w:sz="4" w:space="0" w:color="auto"/>
              <w:left w:val="single" w:sz="4" w:space="0" w:color="auto"/>
              <w:bottom w:val="single" w:sz="4" w:space="0" w:color="auto"/>
              <w:right w:val="single" w:sz="4" w:space="0" w:color="auto"/>
            </w:tcBorders>
            <w:hideMark/>
          </w:tcPr>
          <w:p w14:paraId="7978763D" w14:textId="77777777" w:rsidR="002D0B38" w:rsidRPr="002D0B38" w:rsidRDefault="002D0B38" w:rsidP="002D0B38">
            <w:pPr>
              <w:spacing w:after="160" w:line="278" w:lineRule="auto"/>
              <w:rPr>
                <w:lang w:val="en-CA"/>
              </w:rPr>
            </w:pPr>
            <w:r w:rsidRPr="002D0B38">
              <w:rPr>
                <w:lang w:val="en-CA"/>
              </w:rPr>
              <w:t>Title (challenge)</w:t>
            </w:r>
          </w:p>
        </w:tc>
        <w:tc>
          <w:tcPr>
            <w:tcW w:w="7655" w:type="dxa"/>
            <w:tcBorders>
              <w:top w:val="single" w:sz="4" w:space="0" w:color="auto"/>
              <w:left w:val="single" w:sz="4" w:space="0" w:color="auto"/>
              <w:bottom w:val="single" w:sz="4" w:space="0" w:color="auto"/>
              <w:right w:val="single" w:sz="4" w:space="0" w:color="auto"/>
            </w:tcBorders>
          </w:tcPr>
          <w:p w14:paraId="1D5CE93B" w14:textId="77777777" w:rsidR="002D0B38" w:rsidRPr="002D0B38" w:rsidRDefault="002D0B38" w:rsidP="002D0B38">
            <w:pPr>
              <w:spacing w:after="160" w:line="278" w:lineRule="auto"/>
              <w:rPr>
                <w:i/>
                <w:iCs/>
                <w:lang w:val="en-CA"/>
              </w:rPr>
            </w:pPr>
            <w:r w:rsidRPr="002D0B38">
              <w:rPr>
                <w:i/>
                <w:iCs/>
                <w:lang w:val="en-CA"/>
              </w:rPr>
              <w:t>Keep the title short, use objective wording</w:t>
            </w:r>
          </w:p>
          <w:p w14:paraId="106C2DF7" w14:textId="77777777" w:rsidR="002D0B38" w:rsidRPr="002D0B38" w:rsidRDefault="002D0B38" w:rsidP="002D0B38">
            <w:pPr>
              <w:spacing w:after="160" w:line="278" w:lineRule="auto"/>
              <w:rPr>
                <w:lang w:val="en-CA"/>
              </w:rPr>
            </w:pPr>
          </w:p>
          <w:p w14:paraId="212C12AE" w14:textId="77777777" w:rsidR="002D0B38" w:rsidRPr="002D0B38" w:rsidRDefault="002D0B38" w:rsidP="002D0B38">
            <w:pPr>
              <w:spacing w:after="160" w:line="278" w:lineRule="auto"/>
              <w:rPr>
                <w:lang w:val="en-CA"/>
              </w:rPr>
            </w:pPr>
          </w:p>
        </w:tc>
      </w:tr>
      <w:tr w:rsidR="002D0B38" w:rsidRPr="002D0B38" w14:paraId="5B2EB8C7" w14:textId="77777777">
        <w:tc>
          <w:tcPr>
            <w:tcW w:w="2779" w:type="dxa"/>
            <w:tcBorders>
              <w:top w:val="single" w:sz="4" w:space="0" w:color="auto"/>
              <w:left w:val="single" w:sz="4" w:space="0" w:color="auto"/>
              <w:bottom w:val="single" w:sz="4" w:space="0" w:color="auto"/>
              <w:right w:val="single" w:sz="4" w:space="0" w:color="auto"/>
            </w:tcBorders>
            <w:hideMark/>
          </w:tcPr>
          <w:p w14:paraId="41030DE1" w14:textId="77777777" w:rsidR="002D0B38" w:rsidRPr="002D0B38" w:rsidRDefault="002D0B38" w:rsidP="002D0B38">
            <w:pPr>
              <w:spacing w:after="160" w:line="278" w:lineRule="auto"/>
              <w:rPr>
                <w:lang w:val="en-CA"/>
              </w:rPr>
            </w:pPr>
            <w:r w:rsidRPr="002D0B38">
              <w:rPr>
                <w:lang w:val="en-CA"/>
              </w:rPr>
              <w:t>Gap – what’s not working?</w:t>
            </w:r>
          </w:p>
        </w:tc>
        <w:tc>
          <w:tcPr>
            <w:tcW w:w="7655" w:type="dxa"/>
            <w:tcBorders>
              <w:top w:val="single" w:sz="4" w:space="0" w:color="auto"/>
              <w:left w:val="single" w:sz="4" w:space="0" w:color="auto"/>
              <w:bottom w:val="single" w:sz="4" w:space="0" w:color="auto"/>
              <w:right w:val="single" w:sz="4" w:space="0" w:color="auto"/>
            </w:tcBorders>
          </w:tcPr>
          <w:p w14:paraId="2D384B54" w14:textId="77777777" w:rsidR="002D0B38" w:rsidRPr="002D0B38" w:rsidRDefault="002D0B38" w:rsidP="002D0B38">
            <w:pPr>
              <w:spacing w:after="160" w:line="278" w:lineRule="auto"/>
              <w:rPr>
                <w:i/>
                <w:iCs/>
                <w:lang w:val="en-CA"/>
              </w:rPr>
            </w:pPr>
            <w:r w:rsidRPr="002D0B38">
              <w:rPr>
                <w:i/>
                <w:iCs/>
                <w:lang w:val="en-CA"/>
              </w:rPr>
              <w:t xml:space="preserve">Guidance: </w:t>
            </w:r>
          </w:p>
          <w:p w14:paraId="63AEA024" w14:textId="77777777" w:rsidR="002D0B38" w:rsidRPr="002D0B38" w:rsidRDefault="002D0B38" w:rsidP="002D0B38">
            <w:pPr>
              <w:numPr>
                <w:ilvl w:val="0"/>
                <w:numId w:val="1"/>
              </w:numPr>
              <w:spacing w:after="160" w:line="278" w:lineRule="auto"/>
              <w:rPr>
                <w:i/>
                <w:iCs/>
                <w:lang w:val="en-CA"/>
              </w:rPr>
            </w:pPr>
            <w:r w:rsidRPr="002D0B38">
              <w:rPr>
                <w:i/>
                <w:iCs/>
                <w:lang w:val="en-CA"/>
              </w:rPr>
              <w:t>What’s the gap?</w:t>
            </w:r>
          </w:p>
          <w:p w14:paraId="3D4281FC" w14:textId="77777777" w:rsidR="002D0B38" w:rsidRPr="002D0B38" w:rsidRDefault="002D0B38" w:rsidP="002D0B38">
            <w:pPr>
              <w:numPr>
                <w:ilvl w:val="0"/>
                <w:numId w:val="1"/>
              </w:numPr>
              <w:spacing w:after="160" w:line="278" w:lineRule="auto"/>
              <w:rPr>
                <w:i/>
                <w:iCs/>
                <w:lang w:val="en-CA"/>
              </w:rPr>
            </w:pPr>
            <w:r w:rsidRPr="002D0B38">
              <w:rPr>
                <w:i/>
                <w:iCs/>
                <w:lang w:val="en-CA"/>
              </w:rPr>
              <w:t>What’s the root cause?</w:t>
            </w:r>
          </w:p>
          <w:p w14:paraId="3B817285" w14:textId="77777777" w:rsidR="002D0B38" w:rsidRPr="002D0B38" w:rsidRDefault="002D0B38" w:rsidP="002D0B38">
            <w:pPr>
              <w:numPr>
                <w:ilvl w:val="0"/>
                <w:numId w:val="1"/>
              </w:numPr>
              <w:spacing w:after="160" w:line="278" w:lineRule="auto"/>
              <w:rPr>
                <w:i/>
                <w:iCs/>
                <w:lang w:val="en-CA"/>
              </w:rPr>
            </w:pPr>
            <w:r w:rsidRPr="002D0B38">
              <w:rPr>
                <w:i/>
                <w:iCs/>
                <w:lang w:val="en-CA"/>
              </w:rPr>
              <w:t>Why is it not working?</w:t>
            </w:r>
          </w:p>
          <w:p w14:paraId="70132737" w14:textId="77777777" w:rsidR="002D0B38" w:rsidRPr="002D0B38" w:rsidRDefault="002D0B38" w:rsidP="002D0B38">
            <w:pPr>
              <w:numPr>
                <w:ilvl w:val="0"/>
                <w:numId w:val="1"/>
              </w:numPr>
              <w:spacing w:after="160" w:line="278" w:lineRule="auto"/>
              <w:rPr>
                <w:i/>
                <w:iCs/>
                <w:lang w:val="en-CA"/>
              </w:rPr>
            </w:pPr>
            <w:r w:rsidRPr="002D0B38">
              <w:rPr>
                <w:i/>
                <w:iCs/>
                <w:lang w:val="en-CA"/>
              </w:rPr>
              <w:t xml:space="preserve">Consider a singular factor here for clarity.  Is it process or artifact, governance, role clarity, timing, </w:t>
            </w:r>
            <w:proofErr w:type="spellStart"/>
            <w:r w:rsidRPr="002D0B38">
              <w:rPr>
                <w:i/>
                <w:iCs/>
                <w:lang w:val="en-CA"/>
              </w:rPr>
              <w:t>etc</w:t>
            </w:r>
            <w:proofErr w:type="spellEnd"/>
            <w:r w:rsidRPr="002D0B38">
              <w:rPr>
                <w:i/>
                <w:iCs/>
                <w:lang w:val="en-CA"/>
              </w:rPr>
              <w:t>?</w:t>
            </w:r>
          </w:p>
          <w:p w14:paraId="29D44D16" w14:textId="77777777" w:rsidR="002D0B38" w:rsidRPr="002D0B38" w:rsidRDefault="002D0B38" w:rsidP="002D0B38">
            <w:pPr>
              <w:spacing w:after="160" w:line="278" w:lineRule="auto"/>
              <w:rPr>
                <w:lang w:val="en-CA"/>
              </w:rPr>
            </w:pPr>
          </w:p>
          <w:p w14:paraId="509E123E" w14:textId="77777777" w:rsidR="002D0B38" w:rsidRPr="002D0B38" w:rsidRDefault="002D0B38" w:rsidP="002D0B38">
            <w:pPr>
              <w:spacing w:after="160" w:line="278" w:lineRule="auto"/>
              <w:rPr>
                <w:i/>
                <w:iCs/>
                <w:lang w:val="en-CA"/>
              </w:rPr>
            </w:pPr>
          </w:p>
        </w:tc>
      </w:tr>
      <w:tr w:rsidR="002D0B38" w:rsidRPr="002D0B38" w14:paraId="07A8B48B" w14:textId="77777777">
        <w:tc>
          <w:tcPr>
            <w:tcW w:w="2779" w:type="dxa"/>
            <w:tcBorders>
              <w:top w:val="single" w:sz="4" w:space="0" w:color="auto"/>
              <w:left w:val="single" w:sz="4" w:space="0" w:color="auto"/>
              <w:bottom w:val="single" w:sz="4" w:space="0" w:color="auto"/>
              <w:right w:val="single" w:sz="4" w:space="0" w:color="auto"/>
            </w:tcBorders>
          </w:tcPr>
          <w:p w14:paraId="2A73857B" w14:textId="77777777" w:rsidR="002D0B38" w:rsidRPr="002D0B38" w:rsidRDefault="002D0B38" w:rsidP="002D0B38">
            <w:pPr>
              <w:spacing w:after="160" w:line="278" w:lineRule="auto"/>
              <w:rPr>
                <w:lang w:val="en-CA"/>
              </w:rPr>
            </w:pPr>
            <w:r w:rsidRPr="002D0B38">
              <w:rPr>
                <w:lang w:val="en-CA"/>
              </w:rPr>
              <w:lastRenderedPageBreak/>
              <w:t>Enterprise impact</w:t>
            </w:r>
          </w:p>
          <w:p w14:paraId="2CD49BB2" w14:textId="77777777" w:rsidR="002D0B38" w:rsidRPr="002D0B38" w:rsidRDefault="002D0B38" w:rsidP="002D0B38">
            <w:pPr>
              <w:spacing w:after="160" w:line="278" w:lineRule="auto"/>
              <w:rPr>
                <w:lang w:val="en-CA"/>
              </w:rPr>
            </w:pPr>
          </w:p>
        </w:tc>
        <w:tc>
          <w:tcPr>
            <w:tcW w:w="7655" w:type="dxa"/>
            <w:tcBorders>
              <w:top w:val="single" w:sz="4" w:space="0" w:color="auto"/>
              <w:left w:val="single" w:sz="4" w:space="0" w:color="auto"/>
              <w:bottom w:val="single" w:sz="4" w:space="0" w:color="auto"/>
              <w:right w:val="single" w:sz="4" w:space="0" w:color="auto"/>
            </w:tcBorders>
          </w:tcPr>
          <w:p w14:paraId="7365D799" w14:textId="77777777" w:rsidR="002D0B38" w:rsidRPr="002D0B38" w:rsidRDefault="002D0B38" w:rsidP="002D0B38">
            <w:pPr>
              <w:spacing w:after="160" w:line="278" w:lineRule="auto"/>
              <w:rPr>
                <w:i/>
                <w:iCs/>
                <w:lang w:val="en-CA"/>
              </w:rPr>
            </w:pPr>
            <w:r w:rsidRPr="002D0B38">
              <w:rPr>
                <w:i/>
                <w:iCs/>
                <w:lang w:val="en-CA"/>
              </w:rPr>
              <w:t xml:space="preserve">Scope and consequence if </w:t>
            </w:r>
            <w:proofErr w:type="gramStart"/>
            <w:r w:rsidRPr="002D0B38">
              <w:rPr>
                <w:i/>
                <w:iCs/>
                <w:lang w:val="en-CA"/>
              </w:rPr>
              <w:t>unresolved ?</w:t>
            </w:r>
            <w:proofErr w:type="gramEnd"/>
          </w:p>
          <w:p w14:paraId="250D03EA" w14:textId="77777777" w:rsidR="002D0B38" w:rsidRPr="002D0B38" w:rsidRDefault="002D0B38" w:rsidP="002D0B38">
            <w:pPr>
              <w:spacing w:after="160" w:line="278" w:lineRule="auto"/>
              <w:rPr>
                <w:lang w:val="en-CA"/>
              </w:rPr>
            </w:pPr>
          </w:p>
          <w:p w14:paraId="7F5C013E" w14:textId="77777777" w:rsidR="002D0B38" w:rsidRPr="002D0B38" w:rsidRDefault="002D0B38" w:rsidP="002D0B38">
            <w:pPr>
              <w:spacing w:after="160" w:line="278" w:lineRule="auto"/>
              <w:rPr>
                <w:lang w:val="en-CA"/>
              </w:rPr>
            </w:pPr>
          </w:p>
        </w:tc>
      </w:tr>
      <w:tr w:rsidR="002D0B38" w:rsidRPr="002D0B38" w14:paraId="503507B8" w14:textId="77777777">
        <w:tc>
          <w:tcPr>
            <w:tcW w:w="2779" w:type="dxa"/>
            <w:tcBorders>
              <w:top w:val="single" w:sz="4" w:space="0" w:color="auto"/>
              <w:left w:val="single" w:sz="4" w:space="0" w:color="auto"/>
              <w:bottom w:val="single" w:sz="4" w:space="0" w:color="auto"/>
              <w:right w:val="single" w:sz="4" w:space="0" w:color="auto"/>
            </w:tcBorders>
            <w:hideMark/>
          </w:tcPr>
          <w:p w14:paraId="6E22E646" w14:textId="77777777" w:rsidR="002D0B38" w:rsidRPr="002D0B38" w:rsidRDefault="002D0B38" w:rsidP="002D0B38">
            <w:pPr>
              <w:spacing w:after="160" w:line="278" w:lineRule="auto"/>
              <w:rPr>
                <w:lang w:val="en-CA"/>
              </w:rPr>
            </w:pPr>
            <w:r w:rsidRPr="002D0B38">
              <w:rPr>
                <w:lang w:val="en-CA"/>
              </w:rPr>
              <w:t>Recommendation</w:t>
            </w:r>
          </w:p>
        </w:tc>
        <w:tc>
          <w:tcPr>
            <w:tcW w:w="7655" w:type="dxa"/>
            <w:tcBorders>
              <w:top w:val="single" w:sz="4" w:space="0" w:color="auto"/>
              <w:left w:val="single" w:sz="4" w:space="0" w:color="auto"/>
              <w:bottom w:val="single" w:sz="4" w:space="0" w:color="auto"/>
              <w:right w:val="single" w:sz="4" w:space="0" w:color="auto"/>
            </w:tcBorders>
          </w:tcPr>
          <w:p w14:paraId="4BE90AF5" w14:textId="77777777" w:rsidR="002D0B38" w:rsidRPr="002D0B38" w:rsidRDefault="002D0B38" w:rsidP="002D0B38">
            <w:pPr>
              <w:spacing w:after="160" w:line="278" w:lineRule="auto"/>
              <w:rPr>
                <w:i/>
                <w:iCs/>
                <w:lang w:val="en-CA"/>
              </w:rPr>
            </w:pPr>
            <w:r w:rsidRPr="002D0B38">
              <w:rPr>
                <w:i/>
                <w:iCs/>
                <w:lang w:val="en-CA"/>
              </w:rPr>
              <w:t xml:space="preserve">What the specific succinct change that addresses this for the </w:t>
            </w:r>
            <w:proofErr w:type="gramStart"/>
            <w:r w:rsidRPr="002D0B38">
              <w:rPr>
                <w:i/>
                <w:iCs/>
                <w:lang w:val="en-CA"/>
              </w:rPr>
              <w:t>enterprise ?</w:t>
            </w:r>
            <w:proofErr w:type="gramEnd"/>
          </w:p>
          <w:p w14:paraId="465638D6" w14:textId="77777777" w:rsidR="002D0B38" w:rsidRPr="002D0B38" w:rsidRDefault="002D0B38" w:rsidP="002D0B38">
            <w:pPr>
              <w:spacing w:after="160" w:line="278" w:lineRule="auto"/>
              <w:rPr>
                <w:lang w:val="en-CA"/>
              </w:rPr>
            </w:pPr>
          </w:p>
          <w:p w14:paraId="74CF4FCB" w14:textId="77777777" w:rsidR="002D0B38" w:rsidRPr="002D0B38" w:rsidRDefault="002D0B38" w:rsidP="002D0B38">
            <w:pPr>
              <w:spacing w:after="160" w:line="278" w:lineRule="auto"/>
              <w:rPr>
                <w:lang w:val="en-CA"/>
              </w:rPr>
            </w:pPr>
          </w:p>
        </w:tc>
      </w:tr>
      <w:tr w:rsidR="002D0B38" w:rsidRPr="002D0B38" w14:paraId="4D720E55" w14:textId="77777777">
        <w:tc>
          <w:tcPr>
            <w:tcW w:w="2779" w:type="dxa"/>
            <w:tcBorders>
              <w:top w:val="single" w:sz="4" w:space="0" w:color="auto"/>
              <w:left w:val="single" w:sz="4" w:space="0" w:color="auto"/>
              <w:bottom w:val="single" w:sz="4" w:space="0" w:color="auto"/>
              <w:right w:val="single" w:sz="4" w:space="0" w:color="auto"/>
            </w:tcBorders>
            <w:hideMark/>
          </w:tcPr>
          <w:p w14:paraId="1D760A1E" w14:textId="77777777" w:rsidR="002D0B38" w:rsidRPr="002D0B38" w:rsidRDefault="002D0B38" w:rsidP="002D0B38">
            <w:pPr>
              <w:spacing w:after="160" w:line="278" w:lineRule="auto"/>
              <w:rPr>
                <w:lang w:val="en-CA"/>
              </w:rPr>
            </w:pPr>
            <w:r w:rsidRPr="002D0B38">
              <w:rPr>
                <w:lang w:val="en-CA"/>
              </w:rPr>
              <w:t>Adoption risk</w:t>
            </w:r>
          </w:p>
        </w:tc>
        <w:tc>
          <w:tcPr>
            <w:tcW w:w="7655" w:type="dxa"/>
            <w:tcBorders>
              <w:top w:val="single" w:sz="4" w:space="0" w:color="auto"/>
              <w:left w:val="single" w:sz="4" w:space="0" w:color="auto"/>
              <w:bottom w:val="single" w:sz="4" w:space="0" w:color="auto"/>
              <w:right w:val="single" w:sz="4" w:space="0" w:color="auto"/>
            </w:tcBorders>
          </w:tcPr>
          <w:p w14:paraId="546EE66E" w14:textId="77777777" w:rsidR="002D0B38" w:rsidRPr="002D0B38" w:rsidRDefault="002D0B38" w:rsidP="002D0B38">
            <w:pPr>
              <w:spacing w:after="160" w:line="278" w:lineRule="auto"/>
              <w:rPr>
                <w:i/>
                <w:iCs/>
                <w:lang w:val="en-CA"/>
              </w:rPr>
            </w:pPr>
            <w:r w:rsidRPr="002D0B38">
              <w:rPr>
                <w:i/>
                <w:iCs/>
                <w:lang w:val="en-CA"/>
              </w:rPr>
              <w:t xml:space="preserve">Guidance: </w:t>
            </w:r>
          </w:p>
          <w:p w14:paraId="3D8AF961" w14:textId="77777777" w:rsidR="002D0B38" w:rsidRPr="002D0B38" w:rsidRDefault="002D0B38" w:rsidP="002D0B38">
            <w:pPr>
              <w:numPr>
                <w:ilvl w:val="0"/>
                <w:numId w:val="1"/>
              </w:numPr>
              <w:spacing w:after="160" w:line="278" w:lineRule="auto"/>
              <w:rPr>
                <w:i/>
                <w:iCs/>
                <w:lang w:val="en-CA"/>
              </w:rPr>
            </w:pPr>
            <w:r w:rsidRPr="002D0B38">
              <w:rPr>
                <w:i/>
                <w:iCs/>
                <w:lang w:val="en-CA"/>
              </w:rPr>
              <w:t>Where would you anticipate resistance for the recommendation, and why?</w:t>
            </w:r>
          </w:p>
          <w:p w14:paraId="178DDBE7" w14:textId="77777777" w:rsidR="002D0B38" w:rsidRPr="002D0B38" w:rsidRDefault="002D0B38" w:rsidP="002D0B38">
            <w:pPr>
              <w:numPr>
                <w:ilvl w:val="0"/>
                <w:numId w:val="1"/>
              </w:numPr>
              <w:spacing w:after="160" w:line="278" w:lineRule="auto"/>
              <w:rPr>
                <w:i/>
                <w:iCs/>
                <w:lang w:val="en-CA"/>
              </w:rPr>
            </w:pPr>
            <w:r w:rsidRPr="002D0B38">
              <w:rPr>
                <w:i/>
                <w:iCs/>
                <w:lang w:val="en-CA"/>
              </w:rPr>
              <w:t>Mitigation (action) - concrete step that supports the organizational outcome</w:t>
            </w:r>
          </w:p>
          <w:p w14:paraId="3839E258" w14:textId="77777777" w:rsidR="002D0B38" w:rsidRPr="002D0B38" w:rsidRDefault="002D0B38" w:rsidP="002D0B38">
            <w:pPr>
              <w:spacing w:after="160" w:line="278" w:lineRule="auto"/>
              <w:rPr>
                <w:lang w:val="en-CA"/>
              </w:rPr>
            </w:pPr>
          </w:p>
          <w:p w14:paraId="1FAD1101" w14:textId="77777777" w:rsidR="002D0B38" w:rsidRPr="002D0B38" w:rsidRDefault="002D0B38" w:rsidP="002D0B38">
            <w:pPr>
              <w:spacing w:after="160" w:line="278" w:lineRule="auto"/>
              <w:rPr>
                <w:lang w:val="en-CA"/>
              </w:rPr>
            </w:pPr>
          </w:p>
        </w:tc>
      </w:tr>
    </w:tbl>
    <w:p w14:paraId="2B9CAAD9" w14:textId="77777777" w:rsidR="002D0B38" w:rsidRPr="002D0B38" w:rsidRDefault="002D0B38" w:rsidP="002D0B38">
      <w:pPr>
        <w:rPr>
          <w:lang w:val="en-CA"/>
        </w:rPr>
      </w:pPr>
    </w:p>
    <w:p w14:paraId="345303C0" w14:textId="77777777" w:rsidR="002D0B38" w:rsidRPr="002D0B38" w:rsidRDefault="002D0B38" w:rsidP="002D0B38">
      <w:pPr>
        <w:rPr>
          <w:lang w:val="en-CA"/>
        </w:rPr>
      </w:pPr>
    </w:p>
    <w:p w14:paraId="6FC3AA13" w14:textId="77777777" w:rsidR="002D0B38" w:rsidRPr="002D0B38" w:rsidRDefault="002D0B38" w:rsidP="002D0B38">
      <w:pPr>
        <w:rPr>
          <w:lang w:val="en-CA"/>
        </w:rPr>
      </w:pPr>
      <w:r w:rsidRPr="002D0B38">
        <w:rPr>
          <w:lang w:val="en-CA"/>
        </w:rPr>
        <w:t>Use this reference to understand the Enterprise Architecture goals of this initiative:</w:t>
      </w:r>
    </w:p>
    <w:p w14:paraId="40608620" w14:textId="77777777" w:rsidR="002D0B38" w:rsidRPr="002D0B38" w:rsidRDefault="002D0B38" w:rsidP="002D0B38">
      <w:pPr>
        <w:rPr>
          <w:lang w:val="en-CA"/>
        </w:rPr>
      </w:pPr>
    </w:p>
    <w:p w14:paraId="520650C4" w14:textId="77777777" w:rsidR="002D0B38" w:rsidRPr="002D0B38" w:rsidRDefault="002D0B38" w:rsidP="002D0B38">
      <w:pPr>
        <w:numPr>
          <w:ilvl w:val="0"/>
          <w:numId w:val="2"/>
        </w:numPr>
        <w:rPr>
          <w:lang w:val="en-CA"/>
        </w:rPr>
      </w:pPr>
      <w:r w:rsidRPr="002D0B38">
        <w:rPr>
          <w:b/>
          <w:bCs/>
          <w:lang w:val="en-CA"/>
        </w:rPr>
        <w:t>Enable early architectural influence</w:t>
      </w:r>
      <w:r w:rsidRPr="002D0B38">
        <w:rPr>
          <w:lang w:val="en-CA"/>
        </w:rPr>
        <w:t xml:space="preserve"> by giving Enterprise Architects the first meaningful points in the lifecycle to shape solution direction before estimates and commitments harden. </w:t>
      </w:r>
    </w:p>
    <w:p w14:paraId="5755528F" w14:textId="77777777" w:rsidR="002D0B38" w:rsidRPr="002D0B38" w:rsidRDefault="002D0B38" w:rsidP="002D0B38">
      <w:pPr>
        <w:numPr>
          <w:ilvl w:val="0"/>
          <w:numId w:val="2"/>
        </w:numPr>
        <w:rPr>
          <w:lang w:val="en-CA"/>
        </w:rPr>
      </w:pPr>
      <w:r w:rsidRPr="002D0B38">
        <w:rPr>
          <w:b/>
          <w:bCs/>
          <w:lang w:val="en-CA"/>
        </w:rPr>
        <w:t>Surface significant architectural challenges early</w:t>
      </w:r>
      <w:r w:rsidRPr="002D0B38">
        <w:rPr>
          <w:lang w:val="en-CA"/>
        </w:rPr>
        <w:t xml:space="preserve">, exposing risks, dependencies, and feasibility concerns that directly affect planning confidence. </w:t>
      </w:r>
    </w:p>
    <w:p w14:paraId="7F4D0C3D" w14:textId="77777777" w:rsidR="002D0B38" w:rsidRPr="002D0B38" w:rsidRDefault="002D0B38" w:rsidP="002D0B38">
      <w:pPr>
        <w:numPr>
          <w:ilvl w:val="0"/>
          <w:numId w:val="2"/>
        </w:numPr>
        <w:rPr>
          <w:lang w:val="en-CA"/>
        </w:rPr>
      </w:pPr>
      <w:r w:rsidRPr="002D0B38">
        <w:rPr>
          <w:b/>
          <w:bCs/>
          <w:lang w:val="en-CA"/>
        </w:rPr>
        <w:t>Strengthen Business planning quality</w:t>
      </w:r>
      <w:r w:rsidRPr="002D0B38">
        <w:rPr>
          <w:lang w:val="en-CA"/>
        </w:rPr>
        <w:t xml:space="preserve"> by providing clearer insight into architectural impacts, thereby improving estimate credibility and investment decisions. </w:t>
      </w:r>
    </w:p>
    <w:p w14:paraId="49DB8DA0" w14:textId="77777777" w:rsidR="002D0B38" w:rsidRPr="002D0B38" w:rsidRDefault="002D0B38" w:rsidP="002D0B38">
      <w:pPr>
        <w:numPr>
          <w:ilvl w:val="0"/>
          <w:numId w:val="2"/>
        </w:numPr>
        <w:rPr>
          <w:lang w:val="en-CA"/>
        </w:rPr>
      </w:pPr>
      <w:r w:rsidRPr="002D0B38">
        <w:rPr>
          <w:b/>
          <w:bCs/>
          <w:lang w:val="en-CA"/>
        </w:rPr>
        <w:lastRenderedPageBreak/>
        <w:t>Ensure alignment with enterprise standards and target</w:t>
      </w:r>
      <w:r w:rsidRPr="002D0B38">
        <w:rPr>
          <w:b/>
          <w:bCs/>
          <w:lang w:val="en-CA"/>
        </w:rPr>
        <w:noBreakHyphen/>
        <w:t>state direction</w:t>
      </w:r>
      <w:r w:rsidRPr="002D0B38">
        <w:rPr>
          <w:lang w:val="en-CA"/>
        </w:rPr>
        <w:t xml:space="preserve">, validating that proposed solutions are feasible, sustainable, and strategically coherent. </w:t>
      </w:r>
    </w:p>
    <w:p w14:paraId="06D50A92" w14:textId="77777777" w:rsidR="002D0B38" w:rsidRPr="002D0B38" w:rsidRDefault="002D0B38" w:rsidP="002D0B38">
      <w:pPr>
        <w:numPr>
          <w:ilvl w:val="0"/>
          <w:numId w:val="2"/>
        </w:numPr>
        <w:rPr>
          <w:lang w:val="en-CA"/>
        </w:rPr>
      </w:pPr>
      <w:r w:rsidRPr="002D0B38">
        <w:rPr>
          <w:b/>
          <w:bCs/>
          <w:lang w:val="en-CA"/>
        </w:rPr>
        <w:t>Reduce downstream rework and technical debt</w:t>
      </w:r>
      <w:r w:rsidRPr="002D0B38">
        <w:rPr>
          <w:lang w:val="en-CA"/>
        </w:rPr>
        <w:t xml:space="preserve"> by securing architectural integrity upfront and preventing late</w:t>
      </w:r>
      <w:r w:rsidRPr="002D0B38">
        <w:rPr>
          <w:lang w:val="en-CA"/>
        </w:rPr>
        <w:noBreakHyphen/>
        <w:t>stage surprises or redesign cycles.</w:t>
      </w:r>
    </w:p>
    <w:p w14:paraId="3603358B" w14:textId="77777777" w:rsidR="002D0B38" w:rsidRPr="002D0B38" w:rsidRDefault="002D0B38" w:rsidP="002D0B38">
      <w:pPr>
        <w:rPr>
          <w:lang w:val="en-CA"/>
        </w:rPr>
      </w:pPr>
    </w:p>
    <w:p w14:paraId="3429D94F" w14:textId="77777777" w:rsidR="002D0B38" w:rsidRPr="002D0B38" w:rsidRDefault="002D0B38" w:rsidP="002D0B38">
      <w:pPr>
        <w:rPr>
          <w:b/>
          <w:bCs/>
          <w:lang w:val="en-CA"/>
        </w:rPr>
      </w:pPr>
      <w:r w:rsidRPr="002D0B38">
        <w:rPr>
          <w:b/>
          <w:bCs/>
          <w:lang w:val="en-CA"/>
        </w:rPr>
        <w:t>Agenda</w:t>
      </w:r>
    </w:p>
    <w:p w14:paraId="44826DF0" w14:textId="77777777" w:rsidR="002D0B38" w:rsidRPr="002D0B38" w:rsidRDefault="002D0B38" w:rsidP="002D0B38">
      <w:pPr>
        <w:rPr>
          <w:lang w:val="en-CA"/>
        </w:rPr>
      </w:pPr>
    </w:p>
    <w:tbl>
      <w:tblPr>
        <w:tblStyle w:val="TableGrid"/>
        <w:tblW w:w="9776" w:type="dxa"/>
        <w:tblInd w:w="607" w:type="dxa"/>
        <w:tblLook w:val="04A0" w:firstRow="1" w:lastRow="0" w:firstColumn="1" w:lastColumn="0" w:noHBand="0" w:noVBand="1"/>
      </w:tblPr>
      <w:tblGrid>
        <w:gridCol w:w="1413"/>
        <w:gridCol w:w="3260"/>
        <w:gridCol w:w="5103"/>
      </w:tblGrid>
      <w:tr w:rsidR="002D0B38" w:rsidRPr="002D0B38" w14:paraId="50F4D921" w14:textId="77777777">
        <w:tc>
          <w:tcPr>
            <w:tcW w:w="1413" w:type="dxa"/>
            <w:tcBorders>
              <w:top w:val="single" w:sz="4" w:space="0" w:color="auto"/>
              <w:left w:val="single" w:sz="4" w:space="0" w:color="auto"/>
              <w:bottom w:val="single" w:sz="4" w:space="0" w:color="auto"/>
              <w:right w:val="single" w:sz="4" w:space="0" w:color="auto"/>
            </w:tcBorders>
            <w:hideMark/>
          </w:tcPr>
          <w:p w14:paraId="5AC0598A" w14:textId="77777777" w:rsidR="002D0B38" w:rsidRPr="002D0B38" w:rsidRDefault="002D0B38" w:rsidP="002D0B38">
            <w:pPr>
              <w:spacing w:after="160" w:line="278" w:lineRule="auto"/>
              <w:rPr>
                <w:lang w:val="en-CA"/>
              </w:rPr>
            </w:pPr>
            <w:r w:rsidRPr="002D0B38">
              <w:rPr>
                <w:lang w:val="en-CA"/>
              </w:rPr>
              <w:t>Time</w:t>
            </w:r>
          </w:p>
        </w:tc>
        <w:tc>
          <w:tcPr>
            <w:tcW w:w="3260" w:type="dxa"/>
            <w:tcBorders>
              <w:top w:val="single" w:sz="4" w:space="0" w:color="auto"/>
              <w:left w:val="single" w:sz="4" w:space="0" w:color="auto"/>
              <w:bottom w:val="single" w:sz="4" w:space="0" w:color="auto"/>
              <w:right w:val="single" w:sz="4" w:space="0" w:color="auto"/>
            </w:tcBorders>
            <w:hideMark/>
          </w:tcPr>
          <w:p w14:paraId="2037FCAB" w14:textId="77777777" w:rsidR="002D0B38" w:rsidRPr="002D0B38" w:rsidRDefault="002D0B38" w:rsidP="002D0B38">
            <w:pPr>
              <w:spacing w:after="160" w:line="278" w:lineRule="auto"/>
              <w:rPr>
                <w:lang w:val="en-CA"/>
              </w:rPr>
            </w:pPr>
            <w:r w:rsidRPr="002D0B38">
              <w:rPr>
                <w:lang w:val="en-CA"/>
              </w:rPr>
              <w:t>Agenda Item</w:t>
            </w:r>
          </w:p>
        </w:tc>
        <w:tc>
          <w:tcPr>
            <w:tcW w:w="5103" w:type="dxa"/>
            <w:tcBorders>
              <w:top w:val="single" w:sz="4" w:space="0" w:color="auto"/>
              <w:left w:val="single" w:sz="4" w:space="0" w:color="auto"/>
              <w:bottom w:val="single" w:sz="4" w:space="0" w:color="auto"/>
              <w:right w:val="single" w:sz="4" w:space="0" w:color="auto"/>
            </w:tcBorders>
            <w:hideMark/>
          </w:tcPr>
          <w:p w14:paraId="1EE4F76D" w14:textId="77777777" w:rsidR="002D0B38" w:rsidRPr="002D0B38" w:rsidRDefault="002D0B38" w:rsidP="002D0B38">
            <w:pPr>
              <w:spacing w:after="160" w:line="278" w:lineRule="auto"/>
              <w:rPr>
                <w:lang w:val="en-CA"/>
              </w:rPr>
            </w:pPr>
            <w:r w:rsidRPr="002D0B38">
              <w:rPr>
                <w:lang w:val="en-CA"/>
              </w:rPr>
              <w:t>Purpose</w:t>
            </w:r>
          </w:p>
        </w:tc>
      </w:tr>
      <w:tr w:rsidR="002D0B38" w:rsidRPr="002D0B38" w14:paraId="4D786DE6" w14:textId="77777777">
        <w:tc>
          <w:tcPr>
            <w:tcW w:w="1413" w:type="dxa"/>
            <w:tcBorders>
              <w:top w:val="single" w:sz="4" w:space="0" w:color="auto"/>
              <w:left w:val="single" w:sz="4" w:space="0" w:color="auto"/>
              <w:bottom w:val="single" w:sz="4" w:space="0" w:color="auto"/>
              <w:right w:val="single" w:sz="4" w:space="0" w:color="auto"/>
            </w:tcBorders>
            <w:hideMark/>
          </w:tcPr>
          <w:p w14:paraId="5C3A9A3B" w14:textId="77777777" w:rsidR="002D0B38" w:rsidRPr="002D0B38" w:rsidRDefault="002D0B38" w:rsidP="002D0B38">
            <w:pPr>
              <w:spacing w:after="160" w:line="278" w:lineRule="auto"/>
              <w:rPr>
                <w:lang w:val="en-CA"/>
              </w:rPr>
            </w:pPr>
            <w:r w:rsidRPr="002D0B38">
              <w:rPr>
                <w:lang w:val="en-CA"/>
              </w:rPr>
              <w:t>0–5 min</w:t>
            </w:r>
          </w:p>
        </w:tc>
        <w:tc>
          <w:tcPr>
            <w:tcW w:w="3260" w:type="dxa"/>
            <w:tcBorders>
              <w:top w:val="single" w:sz="4" w:space="0" w:color="auto"/>
              <w:left w:val="single" w:sz="4" w:space="0" w:color="auto"/>
              <w:bottom w:val="single" w:sz="4" w:space="0" w:color="auto"/>
              <w:right w:val="single" w:sz="4" w:space="0" w:color="auto"/>
            </w:tcBorders>
            <w:hideMark/>
          </w:tcPr>
          <w:p w14:paraId="4F3BC211" w14:textId="77777777" w:rsidR="002D0B38" w:rsidRPr="002D0B38" w:rsidRDefault="002D0B38" w:rsidP="002D0B38">
            <w:pPr>
              <w:spacing w:after="160" w:line="278" w:lineRule="auto"/>
              <w:rPr>
                <w:lang w:val="en-CA"/>
              </w:rPr>
            </w:pPr>
            <w:r w:rsidRPr="002D0B38">
              <w:rPr>
                <w:lang w:val="en-CA"/>
              </w:rPr>
              <w:t>Welcome &amp; Framing</w:t>
            </w:r>
          </w:p>
        </w:tc>
        <w:tc>
          <w:tcPr>
            <w:tcW w:w="5103" w:type="dxa"/>
            <w:tcBorders>
              <w:top w:val="single" w:sz="4" w:space="0" w:color="auto"/>
              <w:left w:val="single" w:sz="4" w:space="0" w:color="auto"/>
              <w:bottom w:val="single" w:sz="4" w:space="0" w:color="auto"/>
              <w:right w:val="single" w:sz="4" w:space="0" w:color="auto"/>
            </w:tcBorders>
            <w:hideMark/>
          </w:tcPr>
          <w:p w14:paraId="4290F0F3" w14:textId="77777777" w:rsidR="002D0B38" w:rsidRPr="002D0B38" w:rsidRDefault="002D0B38" w:rsidP="002D0B38">
            <w:pPr>
              <w:spacing w:after="160" w:line="278" w:lineRule="auto"/>
              <w:rPr>
                <w:lang w:val="en-CA"/>
              </w:rPr>
            </w:pPr>
            <w:r w:rsidRPr="002D0B38">
              <w:rPr>
                <w:lang w:val="en-CA"/>
              </w:rPr>
              <w:t>Objectives, boundaries, rules of engagement.</w:t>
            </w:r>
          </w:p>
        </w:tc>
      </w:tr>
      <w:tr w:rsidR="002D0B38" w:rsidRPr="002D0B38" w14:paraId="12FD5991" w14:textId="77777777">
        <w:tc>
          <w:tcPr>
            <w:tcW w:w="1413" w:type="dxa"/>
            <w:tcBorders>
              <w:top w:val="single" w:sz="4" w:space="0" w:color="auto"/>
              <w:left w:val="single" w:sz="4" w:space="0" w:color="auto"/>
              <w:bottom w:val="single" w:sz="4" w:space="0" w:color="auto"/>
              <w:right w:val="single" w:sz="4" w:space="0" w:color="auto"/>
            </w:tcBorders>
            <w:hideMark/>
          </w:tcPr>
          <w:p w14:paraId="201CDF4E" w14:textId="77777777" w:rsidR="002D0B38" w:rsidRPr="002D0B38" w:rsidRDefault="002D0B38" w:rsidP="002D0B38">
            <w:pPr>
              <w:spacing w:after="160" w:line="278" w:lineRule="auto"/>
              <w:rPr>
                <w:lang w:val="en-CA"/>
              </w:rPr>
            </w:pPr>
            <w:r w:rsidRPr="002D0B38">
              <w:rPr>
                <w:lang w:val="en-CA"/>
              </w:rPr>
              <w:t>5–10 min</w:t>
            </w:r>
          </w:p>
        </w:tc>
        <w:tc>
          <w:tcPr>
            <w:tcW w:w="3260" w:type="dxa"/>
            <w:tcBorders>
              <w:top w:val="single" w:sz="4" w:space="0" w:color="auto"/>
              <w:left w:val="single" w:sz="4" w:space="0" w:color="auto"/>
              <w:bottom w:val="single" w:sz="4" w:space="0" w:color="auto"/>
              <w:right w:val="single" w:sz="4" w:space="0" w:color="auto"/>
            </w:tcBorders>
            <w:hideMark/>
          </w:tcPr>
          <w:p w14:paraId="0EAF8982" w14:textId="77777777" w:rsidR="002D0B38" w:rsidRPr="002D0B38" w:rsidRDefault="002D0B38" w:rsidP="002D0B38">
            <w:pPr>
              <w:spacing w:after="160" w:line="278" w:lineRule="auto"/>
              <w:rPr>
                <w:lang w:val="en-CA"/>
              </w:rPr>
            </w:pPr>
            <w:r w:rsidRPr="002D0B38">
              <w:rPr>
                <w:lang w:val="en-CA"/>
              </w:rPr>
              <w:t>Intent Check (Lightning Round)</w:t>
            </w:r>
          </w:p>
        </w:tc>
        <w:tc>
          <w:tcPr>
            <w:tcW w:w="5103" w:type="dxa"/>
            <w:tcBorders>
              <w:top w:val="single" w:sz="4" w:space="0" w:color="auto"/>
              <w:left w:val="single" w:sz="4" w:space="0" w:color="auto"/>
              <w:bottom w:val="single" w:sz="4" w:space="0" w:color="auto"/>
              <w:right w:val="single" w:sz="4" w:space="0" w:color="auto"/>
            </w:tcBorders>
            <w:hideMark/>
          </w:tcPr>
          <w:p w14:paraId="7F3AEF5A" w14:textId="77777777" w:rsidR="002D0B38" w:rsidRPr="002D0B38" w:rsidRDefault="002D0B38" w:rsidP="002D0B38">
            <w:pPr>
              <w:spacing w:after="160" w:line="278" w:lineRule="auto"/>
              <w:rPr>
                <w:lang w:val="en-CA"/>
              </w:rPr>
            </w:pPr>
            <w:r w:rsidRPr="002D0B38">
              <w:rPr>
                <w:lang w:val="en-CA"/>
              </w:rPr>
              <w:t>Validate alignment to the framework’s goals.</w:t>
            </w:r>
          </w:p>
        </w:tc>
      </w:tr>
      <w:tr w:rsidR="002D0B38" w:rsidRPr="002D0B38" w14:paraId="63149A25" w14:textId="77777777">
        <w:tc>
          <w:tcPr>
            <w:tcW w:w="1413" w:type="dxa"/>
            <w:tcBorders>
              <w:top w:val="single" w:sz="4" w:space="0" w:color="auto"/>
              <w:left w:val="single" w:sz="4" w:space="0" w:color="auto"/>
              <w:bottom w:val="single" w:sz="4" w:space="0" w:color="auto"/>
              <w:right w:val="single" w:sz="4" w:space="0" w:color="auto"/>
            </w:tcBorders>
            <w:hideMark/>
          </w:tcPr>
          <w:p w14:paraId="1C61CB8C" w14:textId="77777777" w:rsidR="002D0B38" w:rsidRPr="002D0B38" w:rsidRDefault="002D0B38" w:rsidP="002D0B38">
            <w:pPr>
              <w:spacing w:after="160" w:line="278" w:lineRule="auto"/>
              <w:rPr>
                <w:lang w:val="en-CA"/>
              </w:rPr>
            </w:pPr>
            <w:r w:rsidRPr="002D0B38">
              <w:rPr>
                <w:lang w:val="en-CA"/>
              </w:rPr>
              <w:t>10–30 min</w:t>
            </w:r>
          </w:p>
        </w:tc>
        <w:tc>
          <w:tcPr>
            <w:tcW w:w="3260" w:type="dxa"/>
            <w:tcBorders>
              <w:top w:val="single" w:sz="4" w:space="0" w:color="auto"/>
              <w:left w:val="single" w:sz="4" w:space="0" w:color="auto"/>
              <w:bottom w:val="single" w:sz="4" w:space="0" w:color="auto"/>
              <w:right w:val="single" w:sz="4" w:space="0" w:color="auto"/>
            </w:tcBorders>
            <w:hideMark/>
          </w:tcPr>
          <w:p w14:paraId="6ECA725A" w14:textId="77777777" w:rsidR="002D0B38" w:rsidRPr="002D0B38" w:rsidRDefault="002D0B38" w:rsidP="002D0B38">
            <w:pPr>
              <w:spacing w:after="160" w:line="278" w:lineRule="auto"/>
              <w:rPr>
                <w:lang w:val="en-CA"/>
              </w:rPr>
            </w:pPr>
            <w:r w:rsidRPr="002D0B38">
              <w:rPr>
                <w:lang w:val="en-CA"/>
              </w:rPr>
              <w:t xml:space="preserve">What’s Not </w:t>
            </w:r>
            <w:proofErr w:type="gramStart"/>
            <w:r w:rsidRPr="002D0B38">
              <w:rPr>
                <w:lang w:val="en-CA"/>
              </w:rPr>
              <w:t>Working ,</w:t>
            </w:r>
            <w:proofErr w:type="gramEnd"/>
            <w:r w:rsidRPr="002D0B38">
              <w:rPr>
                <w:lang w:val="en-CA"/>
              </w:rPr>
              <w:t xml:space="preserve"> </w:t>
            </w:r>
            <w:proofErr w:type="gramStart"/>
            <w:r w:rsidRPr="002D0B38">
              <w:rPr>
                <w:lang w:val="en-CA"/>
              </w:rPr>
              <w:t>Why,  Recommendation</w:t>
            </w:r>
            <w:proofErr w:type="gramEnd"/>
            <w:r w:rsidRPr="002D0B38">
              <w:rPr>
                <w:lang w:val="en-CA"/>
              </w:rPr>
              <w:t xml:space="preserve"> </w:t>
            </w:r>
          </w:p>
        </w:tc>
        <w:tc>
          <w:tcPr>
            <w:tcW w:w="5103" w:type="dxa"/>
            <w:tcBorders>
              <w:top w:val="single" w:sz="4" w:space="0" w:color="auto"/>
              <w:left w:val="single" w:sz="4" w:space="0" w:color="auto"/>
              <w:bottom w:val="single" w:sz="4" w:space="0" w:color="auto"/>
              <w:right w:val="single" w:sz="4" w:space="0" w:color="auto"/>
            </w:tcBorders>
            <w:hideMark/>
          </w:tcPr>
          <w:p w14:paraId="6791E53F" w14:textId="77777777" w:rsidR="002D0B38" w:rsidRPr="002D0B38" w:rsidRDefault="002D0B38" w:rsidP="002D0B38">
            <w:pPr>
              <w:spacing w:after="160" w:line="278" w:lineRule="auto"/>
              <w:rPr>
                <w:lang w:val="en-CA"/>
              </w:rPr>
            </w:pPr>
            <w:r w:rsidRPr="002D0B38">
              <w:rPr>
                <w:lang w:val="en-CA"/>
              </w:rPr>
              <w:t>Each Unit presents one issue</w:t>
            </w:r>
          </w:p>
        </w:tc>
      </w:tr>
      <w:tr w:rsidR="002D0B38" w:rsidRPr="002D0B38" w14:paraId="092AB75E" w14:textId="77777777">
        <w:tc>
          <w:tcPr>
            <w:tcW w:w="1413" w:type="dxa"/>
            <w:tcBorders>
              <w:top w:val="single" w:sz="4" w:space="0" w:color="auto"/>
              <w:left w:val="single" w:sz="4" w:space="0" w:color="auto"/>
              <w:bottom w:val="single" w:sz="4" w:space="0" w:color="auto"/>
              <w:right w:val="single" w:sz="4" w:space="0" w:color="auto"/>
            </w:tcBorders>
            <w:hideMark/>
          </w:tcPr>
          <w:p w14:paraId="286A6BBD" w14:textId="77777777" w:rsidR="002D0B38" w:rsidRPr="002D0B38" w:rsidRDefault="002D0B38" w:rsidP="002D0B38">
            <w:pPr>
              <w:spacing w:after="160" w:line="278" w:lineRule="auto"/>
              <w:rPr>
                <w:lang w:val="en-CA"/>
              </w:rPr>
            </w:pPr>
            <w:r w:rsidRPr="002D0B38">
              <w:rPr>
                <w:lang w:val="en-CA"/>
              </w:rPr>
              <w:t>30–40 min</w:t>
            </w:r>
          </w:p>
        </w:tc>
        <w:tc>
          <w:tcPr>
            <w:tcW w:w="3260" w:type="dxa"/>
            <w:tcBorders>
              <w:top w:val="single" w:sz="4" w:space="0" w:color="auto"/>
              <w:left w:val="single" w:sz="4" w:space="0" w:color="auto"/>
              <w:bottom w:val="single" w:sz="4" w:space="0" w:color="auto"/>
              <w:right w:val="single" w:sz="4" w:space="0" w:color="auto"/>
            </w:tcBorders>
            <w:hideMark/>
          </w:tcPr>
          <w:p w14:paraId="15B3F386" w14:textId="77777777" w:rsidR="002D0B38" w:rsidRPr="002D0B38" w:rsidRDefault="002D0B38" w:rsidP="002D0B38">
            <w:pPr>
              <w:spacing w:after="160" w:line="278" w:lineRule="auto"/>
              <w:rPr>
                <w:lang w:val="en-CA"/>
              </w:rPr>
            </w:pPr>
            <w:r w:rsidRPr="002D0B38">
              <w:rPr>
                <w:lang w:val="en-CA"/>
              </w:rPr>
              <w:t>Prioritization: The Big Rocks</w:t>
            </w:r>
          </w:p>
        </w:tc>
        <w:tc>
          <w:tcPr>
            <w:tcW w:w="5103" w:type="dxa"/>
            <w:tcBorders>
              <w:top w:val="single" w:sz="4" w:space="0" w:color="auto"/>
              <w:left w:val="single" w:sz="4" w:space="0" w:color="auto"/>
              <w:bottom w:val="single" w:sz="4" w:space="0" w:color="auto"/>
              <w:right w:val="single" w:sz="4" w:space="0" w:color="auto"/>
            </w:tcBorders>
            <w:hideMark/>
          </w:tcPr>
          <w:p w14:paraId="3392288F" w14:textId="77777777" w:rsidR="002D0B38" w:rsidRPr="002D0B38" w:rsidRDefault="002D0B38" w:rsidP="002D0B38">
            <w:pPr>
              <w:spacing w:after="160" w:line="278" w:lineRule="auto"/>
              <w:rPr>
                <w:lang w:val="en-CA"/>
              </w:rPr>
            </w:pPr>
            <w:r w:rsidRPr="002D0B38">
              <w:rPr>
                <w:lang w:val="en-CA"/>
              </w:rPr>
              <w:t>Point</w:t>
            </w:r>
            <w:r w:rsidRPr="002D0B38">
              <w:rPr>
                <w:lang w:val="en-CA"/>
              </w:rPr>
              <w:noBreakHyphen/>
              <w:t>vote to identify the top enterprise</w:t>
            </w:r>
            <w:r w:rsidRPr="002D0B38">
              <w:rPr>
                <w:lang w:val="en-CA"/>
              </w:rPr>
              <w:noBreakHyphen/>
              <w:t>impacting changes.</w:t>
            </w:r>
          </w:p>
        </w:tc>
      </w:tr>
      <w:tr w:rsidR="002D0B38" w:rsidRPr="002D0B38" w14:paraId="334FF652" w14:textId="77777777">
        <w:tc>
          <w:tcPr>
            <w:tcW w:w="1413" w:type="dxa"/>
            <w:tcBorders>
              <w:top w:val="single" w:sz="4" w:space="0" w:color="auto"/>
              <w:left w:val="single" w:sz="4" w:space="0" w:color="auto"/>
              <w:bottom w:val="single" w:sz="4" w:space="0" w:color="auto"/>
              <w:right w:val="single" w:sz="4" w:space="0" w:color="auto"/>
            </w:tcBorders>
            <w:hideMark/>
          </w:tcPr>
          <w:p w14:paraId="46C93437" w14:textId="77777777" w:rsidR="002D0B38" w:rsidRPr="002D0B38" w:rsidRDefault="002D0B38" w:rsidP="002D0B38">
            <w:pPr>
              <w:spacing w:after="160" w:line="278" w:lineRule="auto"/>
              <w:rPr>
                <w:lang w:val="en-CA"/>
              </w:rPr>
            </w:pPr>
            <w:r w:rsidRPr="002D0B38">
              <w:rPr>
                <w:lang w:val="en-CA"/>
              </w:rPr>
              <w:t>40–50 min</w:t>
            </w:r>
          </w:p>
        </w:tc>
        <w:tc>
          <w:tcPr>
            <w:tcW w:w="3260" w:type="dxa"/>
            <w:tcBorders>
              <w:top w:val="single" w:sz="4" w:space="0" w:color="auto"/>
              <w:left w:val="single" w:sz="4" w:space="0" w:color="auto"/>
              <w:bottom w:val="single" w:sz="4" w:space="0" w:color="auto"/>
              <w:right w:val="single" w:sz="4" w:space="0" w:color="auto"/>
            </w:tcBorders>
            <w:hideMark/>
          </w:tcPr>
          <w:p w14:paraId="2FE4FC1F" w14:textId="77777777" w:rsidR="002D0B38" w:rsidRPr="002D0B38" w:rsidRDefault="002D0B38" w:rsidP="002D0B38">
            <w:pPr>
              <w:spacing w:after="160" w:line="278" w:lineRule="auto"/>
              <w:rPr>
                <w:lang w:val="en-CA"/>
              </w:rPr>
            </w:pPr>
            <w:r w:rsidRPr="002D0B38">
              <w:rPr>
                <w:lang w:val="en-CA"/>
              </w:rPr>
              <w:t>Lightening Opportunities</w:t>
            </w:r>
          </w:p>
        </w:tc>
        <w:tc>
          <w:tcPr>
            <w:tcW w:w="5103" w:type="dxa"/>
            <w:tcBorders>
              <w:top w:val="single" w:sz="4" w:space="0" w:color="auto"/>
              <w:left w:val="single" w:sz="4" w:space="0" w:color="auto"/>
              <w:bottom w:val="single" w:sz="4" w:space="0" w:color="auto"/>
              <w:right w:val="single" w:sz="4" w:space="0" w:color="auto"/>
            </w:tcBorders>
            <w:hideMark/>
          </w:tcPr>
          <w:p w14:paraId="7EA8F871" w14:textId="77777777" w:rsidR="002D0B38" w:rsidRPr="002D0B38" w:rsidRDefault="002D0B38" w:rsidP="002D0B38">
            <w:pPr>
              <w:spacing w:after="160" w:line="278" w:lineRule="auto"/>
              <w:rPr>
                <w:lang w:val="en-CA"/>
              </w:rPr>
            </w:pPr>
            <w:r w:rsidRPr="002D0B38">
              <w:rPr>
                <w:lang w:val="en-CA"/>
              </w:rPr>
              <w:t>Group discussion - identify areas where CA/E2E can be simplified without losing architectural and business planning integrity.</w:t>
            </w:r>
          </w:p>
        </w:tc>
      </w:tr>
      <w:tr w:rsidR="002D0B38" w:rsidRPr="002D0B38" w14:paraId="01839094" w14:textId="77777777">
        <w:tc>
          <w:tcPr>
            <w:tcW w:w="1413" w:type="dxa"/>
            <w:tcBorders>
              <w:top w:val="single" w:sz="4" w:space="0" w:color="auto"/>
              <w:left w:val="single" w:sz="4" w:space="0" w:color="auto"/>
              <w:bottom w:val="single" w:sz="4" w:space="0" w:color="auto"/>
              <w:right w:val="single" w:sz="4" w:space="0" w:color="auto"/>
            </w:tcBorders>
            <w:hideMark/>
          </w:tcPr>
          <w:p w14:paraId="1DA97797" w14:textId="77777777" w:rsidR="002D0B38" w:rsidRPr="002D0B38" w:rsidRDefault="002D0B38" w:rsidP="002D0B38">
            <w:pPr>
              <w:spacing w:after="160" w:line="278" w:lineRule="auto"/>
              <w:rPr>
                <w:lang w:val="en-CA"/>
              </w:rPr>
            </w:pPr>
            <w:r w:rsidRPr="002D0B38">
              <w:rPr>
                <w:lang w:val="en-CA"/>
              </w:rPr>
              <w:t>50–58 min</w:t>
            </w:r>
          </w:p>
        </w:tc>
        <w:tc>
          <w:tcPr>
            <w:tcW w:w="3260" w:type="dxa"/>
            <w:tcBorders>
              <w:top w:val="single" w:sz="4" w:space="0" w:color="auto"/>
              <w:left w:val="single" w:sz="4" w:space="0" w:color="auto"/>
              <w:bottom w:val="single" w:sz="4" w:space="0" w:color="auto"/>
              <w:right w:val="single" w:sz="4" w:space="0" w:color="auto"/>
            </w:tcBorders>
            <w:hideMark/>
          </w:tcPr>
          <w:p w14:paraId="095DA07E" w14:textId="77777777" w:rsidR="002D0B38" w:rsidRPr="002D0B38" w:rsidRDefault="002D0B38" w:rsidP="002D0B38">
            <w:pPr>
              <w:spacing w:after="160" w:line="278" w:lineRule="auto"/>
              <w:rPr>
                <w:lang w:val="en-CA"/>
              </w:rPr>
            </w:pPr>
            <w:r w:rsidRPr="002D0B38">
              <w:rPr>
                <w:lang w:val="en-CA"/>
              </w:rPr>
              <w:t xml:space="preserve">Adoption Risks &amp; Resistance </w:t>
            </w:r>
          </w:p>
        </w:tc>
        <w:tc>
          <w:tcPr>
            <w:tcW w:w="5103" w:type="dxa"/>
            <w:tcBorders>
              <w:top w:val="single" w:sz="4" w:space="0" w:color="auto"/>
              <w:left w:val="single" w:sz="4" w:space="0" w:color="auto"/>
              <w:bottom w:val="single" w:sz="4" w:space="0" w:color="auto"/>
              <w:right w:val="single" w:sz="4" w:space="0" w:color="auto"/>
            </w:tcBorders>
            <w:hideMark/>
          </w:tcPr>
          <w:p w14:paraId="67E2C3EF" w14:textId="77777777" w:rsidR="002D0B38" w:rsidRPr="002D0B38" w:rsidRDefault="002D0B38" w:rsidP="002D0B38">
            <w:pPr>
              <w:spacing w:after="160" w:line="278" w:lineRule="auto"/>
              <w:rPr>
                <w:lang w:val="en-CA"/>
              </w:rPr>
            </w:pPr>
            <w:r w:rsidRPr="002D0B38">
              <w:rPr>
                <w:lang w:val="en-CA"/>
              </w:rPr>
              <w:t xml:space="preserve">Group discussion - practical and cultural resistance; gather mitigation ideas </w:t>
            </w:r>
          </w:p>
        </w:tc>
      </w:tr>
      <w:tr w:rsidR="002D0B38" w:rsidRPr="002D0B38" w14:paraId="68DD371A" w14:textId="77777777">
        <w:tc>
          <w:tcPr>
            <w:tcW w:w="1413" w:type="dxa"/>
            <w:tcBorders>
              <w:top w:val="single" w:sz="4" w:space="0" w:color="auto"/>
              <w:left w:val="single" w:sz="4" w:space="0" w:color="auto"/>
              <w:bottom w:val="single" w:sz="4" w:space="0" w:color="auto"/>
              <w:right w:val="single" w:sz="4" w:space="0" w:color="auto"/>
            </w:tcBorders>
            <w:hideMark/>
          </w:tcPr>
          <w:p w14:paraId="2F4E2EB2" w14:textId="77777777" w:rsidR="002D0B38" w:rsidRPr="002D0B38" w:rsidRDefault="002D0B38" w:rsidP="002D0B38">
            <w:pPr>
              <w:spacing w:after="160" w:line="278" w:lineRule="auto"/>
              <w:rPr>
                <w:lang w:val="en-CA"/>
              </w:rPr>
            </w:pPr>
            <w:r w:rsidRPr="002D0B38">
              <w:rPr>
                <w:lang w:val="en-CA"/>
              </w:rPr>
              <w:t>58–60 min</w:t>
            </w:r>
          </w:p>
        </w:tc>
        <w:tc>
          <w:tcPr>
            <w:tcW w:w="3260" w:type="dxa"/>
            <w:tcBorders>
              <w:top w:val="single" w:sz="4" w:space="0" w:color="auto"/>
              <w:left w:val="single" w:sz="4" w:space="0" w:color="auto"/>
              <w:bottom w:val="single" w:sz="4" w:space="0" w:color="auto"/>
              <w:right w:val="single" w:sz="4" w:space="0" w:color="auto"/>
            </w:tcBorders>
            <w:hideMark/>
          </w:tcPr>
          <w:p w14:paraId="65622D97" w14:textId="77777777" w:rsidR="002D0B38" w:rsidRPr="002D0B38" w:rsidRDefault="002D0B38" w:rsidP="002D0B38">
            <w:pPr>
              <w:spacing w:after="160" w:line="278" w:lineRule="auto"/>
              <w:rPr>
                <w:lang w:val="en-CA"/>
              </w:rPr>
            </w:pPr>
            <w:r w:rsidRPr="002D0B38">
              <w:rPr>
                <w:lang w:val="en-CA"/>
              </w:rPr>
              <w:t>Close &amp; Next Steps</w:t>
            </w:r>
          </w:p>
        </w:tc>
        <w:tc>
          <w:tcPr>
            <w:tcW w:w="5103" w:type="dxa"/>
            <w:tcBorders>
              <w:top w:val="single" w:sz="4" w:space="0" w:color="auto"/>
              <w:left w:val="single" w:sz="4" w:space="0" w:color="auto"/>
              <w:bottom w:val="single" w:sz="4" w:space="0" w:color="auto"/>
              <w:right w:val="single" w:sz="4" w:space="0" w:color="auto"/>
            </w:tcBorders>
            <w:hideMark/>
          </w:tcPr>
          <w:p w14:paraId="027BF7C7" w14:textId="77777777" w:rsidR="002D0B38" w:rsidRPr="002D0B38" w:rsidRDefault="002D0B38" w:rsidP="002D0B38">
            <w:pPr>
              <w:spacing w:after="160" w:line="278" w:lineRule="auto"/>
              <w:rPr>
                <w:lang w:val="en-CA"/>
              </w:rPr>
            </w:pPr>
            <w:r w:rsidRPr="002D0B38">
              <w:rPr>
                <w:lang w:val="en-CA"/>
              </w:rPr>
              <w:t>Confirm top outcomes, decisions, and next steps.</w:t>
            </w:r>
          </w:p>
        </w:tc>
      </w:tr>
    </w:tbl>
    <w:p w14:paraId="0997C7ED" w14:textId="77777777" w:rsidR="002D0B38" w:rsidRPr="002D0B38" w:rsidRDefault="002D0B38" w:rsidP="002D0B38">
      <w:pPr>
        <w:rPr>
          <w:lang w:val="en-CA"/>
        </w:rPr>
      </w:pPr>
    </w:p>
    <w:p w14:paraId="1A84CD24" w14:textId="77777777" w:rsidR="002D0B38" w:rsidRDefault="002D0B38"/>
    <w:sectPr w:rsidR="002D0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7A7C"/>
    <w:multiLevelType w:val="hybridMultilevel"/>
    <w:tmpl w:val="FFFFFFFF"/>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Times New Roman" w:hint="default"/>
      </w:rPr>
    </w:lvl>
    <w:lvl w:ilvl="2" w:tplc="10090005">
      <w:start w:val="1"/>
      <w:numFmt w:val="bullet"/>
      <w:lvlText w:val=""/>
      <w:lvlJc w:val="left"/>
      <w:pPr>
        <w:ind w:left="1800" w:hanging="360"/>
      </w:pPr>
      <w:rPr>
        <w:rFonts w:ascii="Wingdings" w:hAnsi="Wingdings" w:hint="default"/>
      </w:rPr>
    </w:lvl>
    <w:lvl w:ilvl="3" w:tplc="10090001">
      <w:start w:val="1"/>
      <w:numFmt w:val="bullet"/>
      <w:lvlText w:val=""/>
      <w:lvlJc w:val="left"/>
      <w:pPr>
        <w:ind w:left="2520" w:hanging="360"/>
      </w:pPr>
      <w:rPr>
        <w:rFonts w:ascii="Symbol" w:hAnsi="Symbol" w:hint="default"/>
      </w:rPr>
    </w:lvl>
    <w:lvl w:ilvl="4" w:tplc="10090003">
      <w:start w:val="1"/>
      <w:numFmt w:val="bullet"/>
      <w:lvlText w:val="o"/>
      <w:lvlJc w:val="left"/>
      <w:pPr>
        <w:ind w:left="3240" w:hanging="360"/>
      </w:pPr>
      <w:rPr>
        <w:rFonts w:ascii="Courier New" w:hAnsi="Courier New" w:cs="Times New Roman" w:hint="default"/>
      </w:rPr>
    </w:lvl>
    <w:lvl w:ilvl="5" w:tplc="10090005">
      <w:start w:val="1"/>
      <w:numFmt w:val="bullet"/>
      <w:lvlText w:val=""/>
      <w:lvlJc w:val="left"/>
      <w:pPr>
        <w:ind w:left="3960" w:hanging="360"/>
      </w:pPr>
      <w:rPr>
        <w:rFonts w:ascii="Wingdings" w:hAnsi="Wingdings" w:hint="default"/>
      </w:rPr>
    </w:lvl>
    <w:lvl w:ilvl="6" w:tplc="10090001">
      <w:start w:val="1"/>
      <w:numFmt w:val="bullet"/>
      <w:lvlText w:val=""/>
      <w:lvlJc w:val="left"/>
      <w:pPr>
        <w:ind w:left="4680" w:hanging="360"/>
      </w:pPr>
      <w:rPr>
        <w:rFonts w:ascii="Symbol" w:hAnsi="Symbol" w:hint="default"/>
      </w:rPr>
    </w:lvl>
    <w:lvl w:ilvl="7" w:tplc="10090003">
      <w:start w:val="1"/>
      <w:numFmt w:val="bullet"/>
      <w:lvlText w:val="o"/>
      <w:lvlJc w:val="left"/>
      <w:pPr>
        <w:ind w:left="5400" w:hanging="360"/>
      </w:pPr>
      <w:rPr>
        <w:rFonts w:ascii="Courier New" w:hAnsi="Courier New" w:cs="Times New Roman" w:hint="default"/>
      </w:rPr>
    </w:lvl>
    <w:lvl w:ilvl="8" w:tplc="10090005">
      <w:start w:val="1"/>
      <w:numFmt w:val="bullet"/>
      <w:lvlText w:val=""/>
      <w:lvlJc w:val="left"/>
      <w:pPr>
        <w:ind w:left="6120" w:hanging="360"/>
      </w:pPr>
      <w:rPr>
        <w:rFonts w:ascii="Wingdings" w:hAnsi="Wingdings" w:hint="default"/>
      </w:rPr>
    </w:lvl>
  </w:abstractNum>
  <w:abstractNum w:abstractNumId="1" w15:restartNumberingAfterBreak="0">
    <w:nsid w:val="6BBC505F"/>
    <w:multiLevelType w:val="hybridMultilevel"/>
    <w:tmpl w:val="FFFFFFFF"/>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Times New Roman"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Times New Roman"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Times New Roman" w:hint="default"/>
      </w:rPr>
    </w:lvl>
    <w:lvl w:ilvl="8" w:tplc="10090005">
      <w:start w:val="1"/>
      <w:numFmt w:val="bullet"/>
      <w:lvlText w:val=""/>
      <w:lvlJc w:val="left"/>
      <w:pPr>
        <w:ind w:left="6480" w:hanging="360"/>
      </w:pPr>
      <w:rPr>
        <w:rFonts w:ascii="Wingdings" w:hAnsi="Wingdings" w:hint="default"/>
      </w:rPr>
    </w:lvl>
  </w:abstractNum>
  <w:num w:numId="1" w16cid:durableId="817650450">
    <w:abstractNumId w:val="0"/>
    <w:lvlOverride w:ilvl="0"/>
    <w:lvlOverride w:ilvl="1"/>
    <w:lvlOverride w:ilvl="2"/>
    <w:lvlOverride w:ilvl="3"/>
    <w:lvlOverride w:ilvl="4"/>
    <w:lvlOverride w:ilvl="5"/>
    <w:lvlOverride w:ilvl="6"/>
    <w:lvlOverride w:ilvl="7"/>
    <w:lvlOverride w:ilvl="8"/>
  </w:num>
  <w:num w:numId="2" w16cid:durableId="33469856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B38"/>
    <w:rsid w:val="002D0B38"/>
    <w:rsid w:val="00440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385B2"/>
  <w15:chartTrackingRefBased/>
  <w15:docId w15:val="{14E05A7E-FCF2-4BB8-B825-8BEE15564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B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B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B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B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B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B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B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B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B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B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B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B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B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B38"/>
    <w:rPr>
      <w:rFonts w:eastAsiaTheme="majorEastAsia" w:cstheme="majorBidi"/>
      <w:color w:val="272727" w:themeColor="text1" w:themeTint="D8"/>
    </w:rPr>
  </w:style>
  <w:style w:type="paragraph" w:styleId="Title">
    <w:name w:val="Title"/>
    <w:basedOn w:val="Normal"/>
    <w:next w:val="Normal"/>
    <w:link w:val="TitleChar"/>
    <w:uiPriority w:val="10"/>
    <w:qFormat/>
    <w:rsid w:val="002D0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B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B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B38"/>
    <w:pPr>
      <w:spacing w:before="160"/>
      <w:jc w:val="center"/>
    </w:pPr>
    <w:rPr>
      <w:i/>
      <w:iCs/>
      <w:color w:val="404040" w:themeColor="text1" w:themeTint="BF"/>
    </w:rPr>
  </w:style>
  <w:style w:type="character" w:customStyle="1" w:styleId="QuoteChar">
    <w:name w:val="Quote Char"/>
    <w:basedOn w:val="DefaultParagraphFont"/>
    <w:link w:val="Quote"/>
    <w:uiPriority w:val="29"/>
    <w:rsid w:val="002D0B38"/>
    <w:rPr>
      <w:i/>
      <w:iCs/>
      <w:color w:val="404040" w:themeColor="text1" w:themeTint="BF"/>
    </w:rPr>
  </w:style>
  <w:style w:type="paragraph" w:styleId="ListParagraph">
    <w:name w:val="List Paragraph"/>
    <w:basedOn w:val="Normal"/>
    <w:uiPriority w:val="34"/>
    <w:qFormat/>
    <w:rsid w:val="002D0B38"/>
    <w:pPr>
      <w:ind w:left="720"/>
      <w:contextualSpacing/>
    </w:pPr>
  </w:style>
  <w:style w:type="character" w:styleId="IntenseEmphasis">
    <w:name w:val="Intense Emphasis"/>
    <w:basedOn w:val="DefaultParagraphFont"/>
    <w:uiPriority w:val="21"/>
    <w:qFormat/>
    <w:rsid w:val="002D0B38"/>
    <w:rPr>
      <w:i/>
      <w:iCs/>
      <w:color w:val="0F4761" w:themeColor="accent1" w:themeShade="BF"/>
    </w:rPr>
  </w:style>
  <w:style w:type="paragraph" w:styleId="IntenseQuote">
    <w:name w:val="Intense Quote"/>
    <w:basedOn w:val="Normal"/>
    <w:next w:val="Normal"/>
    <w:link w:val="IntenseQuoteChar"/>
    <w:uiPriority w:val="30"/>
    <w:qFormat/>
    <w:rsid w:val="002D0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B38"/>
    <w:rPr>
      <w:i/>
      <w:iCs/>
      <w:color w:val="0F4761" w:themeColor="accent1" w:themeShade="BF"/>
    </w:rPr>
  </w:style>
  <w:style w:type="character" w:styleId="IntenseReference">
    <w:name w:val="Intense Reference"/>
    <w:basedOn w:val="DefaultParagraphFont"/>
    <w:uiPriority w:val="32"/>
    <w:qFormat/>
    <w:rsid w:val="002D0B38"/>
    <w:rPr>
      <w:b/>
      <w:bCs/>
      <w:smallCaps/>
      <w:color w:val="0F4761" w:themeColor="accent1" w:themeShade="BF"/>
      <w:spacing w:val="5"/>
    </w:rPr>
  </w:style>
  <w:style w:type="table" w:styleId="TableGrid">
    <w:name w:val="Table Grid"/>
    <w:basedOn w:val="TableNormal"/>
    <w:uiPriority w:val="39"/>
    <w:rsid w:val="002D0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463</Words>
  <Characters>2734</Characters>
  <Application>Microsoft Office Word</Application>
  <DocSecurity>0</DocSecurity>
  <Lines>104</Lines>
  <Paragraphs>54</Paragraphs>
  <ScaleCrop>false</ScaleCrop>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Chandrashekar, Santhosh Kumar</dc:creator>
  <cp:keywords/>
  <dc:description/>
  <cp:lastModifiedBy>Chandrashekar, Santhosh Kumar</cp:lastModifiedBy>
  <cp:revision>1</cp:revision>
  <dcterms:created xsi:type="dcterms:W3CDTF">2026-03-12T07:00:00Z</dcterms:created>
  <dcterms:modified xsi:type="dcterms:W3CDTF">2026-03-12T07:02:00Z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07bbe84-2447-47ed-9f95-d9c34bc076ba_Enabled">
    <vt:lpwstr>true</vt:lpwstr>
  </property>
  <property fmtid="{D5CDD505-2E9C-101B-9397-08002B2CF9AE}" pid="3" name="MSIP_Label_b07bbe84-2447-47ed-9f95-d9c34bc076ba_SetDate">
    <vt:lpwstr>2026-03-12T07:02:17Z</vt:lpwstr>
  </property>
  <property fmtid="{D5CDD505-2E9C-101B-9397-08002B2CF9AE}" pid="4" name="MSIP_Label_b07bbe84-2447-47ed-9f95-d9c34bc076ba_Method">
    <vt:lpwstr>Standard</vt:lpwstr>
  </property>
  <property fmtid="{D5CDD505-2E9C-101B-9397-08002B2CF9AE}" pid="5" name="MSIP_Label_b07bbe84-2447-47ed-9f95-d9c34bc076ba_Name">
    <vt:lpwstr>Confidential</vt:lpwstr>
  </property>
  <property fmtid="{D5CDD505-2E9C-101B-9397-08002B2CF9AE}" pid="6" name="MSIP_Label_b07bbe84-2447-47ed-9f95-d9c34bc076ba_SiteId">
    <vt:lpwstr>633f3069-d670-4419-9fee-2ab4251c88ee</vt:lpwstr>
  </property>
  <property fmtid="{D5CDD505-2E9C-101B-9397-08002B2CF9AE}" pid="7" name="MSIP_Label_b07bbe84-2447-47ed-9f95-d9c34bc076ba_ActionId">
    <vt:lpwstr>50951379-9ea2-4eef-b116-a34f5f7b1e35</vt:lpwstr>
  </property>
  <property fmtid="{D5CDD505-2E9C-101B-9397-08002B2CF9AE}" pid="8" name="MSIP_Label_b07bbe84-2447-47ed-9f95-d9c34bc076ba_ContentBits">
    <vt:lpwstr>0</vt:lpwstr>
  </property>
  <property fmtid="{D5CDD505-2E9C-101B-9397-08002B2CF9AE}" pid="9" name="MSIP_Label_b07bbe84-2447-47ed-9f95-d9c34bc076ba_Tag">
    <vt:lpwstr>10, 3, 0, 1</vt:lpwstr>
  </property>
</Properties>
</file>