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2"/>
          <w:szCs w:val="52"/>
        </w:rPr>
        <w:t xml:space="preserve">Database Services Roadmap</w:t>
      </w:r>
    </w:p>
    <w:p>
      <w:pPr>
        <w:spacing w:after="60" w:before="160"/>
        <w:jc w:val="center"/>
      </w:pPr>
      <w:r>
        <w:rPr>
          <w:color w:val="2E74B5"/>
          <w:sz w:val="30"/>
          <w:szCs w:val="30"/>
        </w:rPr>
        <w:t xml:space="preserve">Discovery-to-Delivery Working Guide</w:t>
      </w:r>
    </w:p>
    <w:p>
      <w:pPr>
        <w:spacing w:after="1200" w:before="100"/>
        <w:jc w:val="center"/>
      </w:pPr>
      <w:r>
        <w:rPr>
          <w:i/>
          <w:iCs/>
          <w:color w:val="595959"/>
          <w:sz w:val="20"/>
          <w:szCs w:val="20"/>
        </w:rPr>
        <w:t xml:space="preserve">Prepared for: Portfolio Architecture — Database Services  |  v2, July 2026</w:t>
      </w:r>
    </w:p>
    <w:p>
      <w:pPr>
        <w:spacing w:after="200"/>
        <w:jc w:val="center"/>
      </w:pPr>
      <w:r>
        <w:rPr>
          <w:i/>
          <w:iCs/>
          <w:color w:val="595959"/>
          <w:sz w:val="21"/>
          <w:szCs w:val="21"/>
        </w:rPr>
        <w:t xml:space="preserve">v2 update: now incorporates the approved I&amp;O Cloud Foundations Roadmap and the Enterprise Database Services Catalogue, so the structure below mirrors your actual, exec-approved format and the current-state facts are grounded in what's already documented.</w:t>
      </w:r>
    </w:p>
    <w:p>
      <w:r>
        <w:br w:type="page"/>
      </w:r>
    </w:p>
    <w:p>
      <w:pPr>
        <w:pStyle w:val="Heading1"/>
        <w:spacing w:after="160" w:before="360"/>
      </w:pPr>
      <w:r>
        <w:t xml:space="preserve">Contents</w:t>
      </w:r>
    </w:p>
    <w:p>
      <w:pPr>
        <w:spacing w:after="160" w:line="276"/>
      </w:pPr>
      <w:r>
        <w:t xml:space="preserve">1. Purpose of This Guide</w:t>
      </w:r>
    </w:p>
    <w:p>
      <w:pPr>
        <w:spacing w:after="160" w:line="276"/>
      </w:pPr>
      <w:r>
        <w:t xml:space="preserve">2. End-to-End Process Plan</w:t>
      </w:r>
    </w:p>
    <w:p>
      <w:pPr>
        <w:spacing w:after="160" w:line="276"/>
      </w:pPr>
      <w:r>
        <w:t xml:space="preserve">3. Discovery Framework — Questions for Your Working Sessions</w:t>
      </w:r>
    </w:p>
    <w:p>
      <w:pPr>
        <w:spacing w:after="160" w:line="276"/>
      </w:pPr>
      <w:r>
        <w:t xml:space="preserve">4. Industry Landscape Primer — State of Database Services (2026)</w:t>
      </w:r>
    </w:p>
    <w:p>
      <w:pPr>
        <w:spacing w:after="160" w:line="276"/>
      </w:pPr>
      <w:r>
        <w:t xml:space="preserve">5. What We Already Know — Current Database Estate</w:t>
      </w:r>
    </w:p>
    <w:p>
      <w:pPr>
        <w:spacing w:after="160" w:line="276"/>
      </w:pPr>
      <w:r>
        <w:t xml:space="preserve">6. Roadmap Structure — Mirroring Your Cloud Foundations Roadmap</w:t>
      </w:r>
    </w:p>
    <w:p>
      <w:pPr>
        <w:spacing w:after="160" w:line="276"/>
      </w:pPr>
      <w:r>
        <w:t xml:space="preserve">7. What Made the Cloud Roadmap Work — Applied to Database Services</w:t>
      </w:r>
    </w:p>
    <w:p>
      <w:pPr>
        <w:spacing w:after="160" w:line="276"/>
      </w:pPr>
      <w:r>
        <w:t xml:space="preserve">Appendix: Quick-Reference Checklist</w:t>
      </w:r>
    </w:p>
    <w:p>
      <w:r>
        <w:br w:type="page"/>
      </w:r>
    </w:p>
    <w:p>
      <w:pPr>
        <w:pStyle w:val="Heading1"/>
        <w:spacing w:after="160" w:before="360"/>
      </w:pPr>
      <w:r>
        <w:t xml:space="preserve">1. Purpose of This Guide</w:t>
      </w:r>
    </w:p>
    <w:p>
      <w:pPr>
        <w:spacing w:after="160" w:line="276"/>
      </w:pPr>
      <w:r>
        <w:t xml:space="preserve">You've done this once before — the cloud roadmap already proved you can take a blank page to executive approval and applause. This guide applies the same discipline to database services, a domain you're picking up from scratch. It is organized as four working tools you can use in sequence:</w:t>
      </w:r>
    </w:p>
    <w:p>
      <w:pPr>
        <w:pStyle w:val="ListParagraph"/>
        <w:numPr>
          <w:ilvl w:val="0"/>
          <w:numId w:val="2"/>
        </w:numPr>
        <w:spacing w:after="80" w:line="276"/>
      </w:pPr>
      <w:r>
        <w:t xml:space="preserve">An end-to-end process plan — the phases, sequencing, and rough timeline for the whole effort.</w:t>
      </w:r>
    </w:p>
    <w:p>
      <w:pPr>
        <w:pStyle w:val="ListParagraph"/>
        <w:numPr>
          <w:ilvl w:val="0"/>
          <w:numId w:val="2"/>
        </w:numPr>
        <w:spacing w:after="80" w:line="276"/>
      </w:pPr>
      <w:r>
        <w:t xml:space="preserve">A discovery framework — the questions to bring into working sessions with the Database Product Owner and the EA Database Portfolio Architect.</w:t>
      </w:r>
    </w:p>
    <w:p>
      <w:pPr>
        <w:pStyle w:val="ListParagraph"/>
        <w:numPr>
          <w:ilvl w:val="0"/>
          <w:numId w:val="2"/>
        </w:numPr>
        <w:spacing w:after="80" w:line="276"/>
      </w:pPr>
      <w:r>
        <w:t xml:space="preserve">An industry landscape primer — a fast-start briefing on where database technology and services stand today, so you're conversant before those sessions.</w:t>
      </w:r>
    </w:p>
    <w:p>
      <w:pPr>
        <w:pStyle w:val="ListParagraph"/>
        <w:numPr>
          <w:ilvl w:val="0"/>
          <w:numId w:val="2"/>
        </w:numPr>
        <w:spacing w:after="80" w:line="276"/>
      </w:pPr>
      <w:r>
        <w:t xml:space="preserve">A roadmap structure/template — mirroring your actual I&amp;O Cloud Foundations Roadmap, section for section, with database-specific content dropped in.</w:t>
      </w:r>
    </w:p>
    <w:p>
      <w:pPr>
        <w:spacing w:after="160" w:line="276"/>
      </w:pPr>
      <w:r>
        <w:rPr>
          <w:i/>
          <w:iCs/>
          <w:color w:val="595959"/>
        </w:rPr>
        <w:t xml:space="preserve">This version reflects what you shared: the approved I&amp;O Cloud Foundations Roadmap deck (Cloud Foundations Roadmap 1.pptx) and two documents from your Database Product Owner — the Enterprise Database Engineering &amp; Operations Service Catalogue and the DBMS Service Catalog brochure. Section 5 pulls out what those two documents already tell you about the current database estate; Sections 6 and 7 rebuild the roadmap structure and success factors from your actual cloud roadmap instead of a generic template.</w:t>
      </w:r>
    </w:p>
    <w:p>
      <w:pPr>
        <w:pStyle w:val="Heading1"/>
        <w:spacing w:after="160" w:before="360"/>
      </w:pPr>
      <w:r>
        <w:t xml:space="preserve">2. End-to-End Process Plan</w:t>
      </w:r>
    </w:p>
    <w:p>
      <w:pPr>
        <w:spacing w:after="160" w:line="276"/>
      </w:pPr>
      <w:r>
        <w:t xml:space="preserve">Treat this as a working plan, not a rigid schedule — compress phases where your cloud-roadmap muscle memory already covers the ground (stakeholder management, exec storytelling, governance cadence). Expect roughly 4–4.5 months from kickoff to executive sign-off if run mostly sequentially; less if phases 1 and 2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960"/>
        <w:gridCol w:w="1800"/>
      </w:tblGrid>
      <w:tr>
        <w:trPr>
          <w:tblHeader/>
        </w:trPr>
        <w:tc>
          <w:tcPr>
            <w:tcW w:type="dxa" w:w="1500"/>
            <w:shd w:fill="1F3864" w:val="clear"/>
            <w:tcMar>
              <w:top w:type="dxa" w:w="100"/>
              <w:left w:type="dxa" w:w="120"/>
              <w:bottom w:type="dxa" w:w="100"/>
              <w:right w:type="dxa" w:w="120"/>
            </w:tcMar>
            <w:vAlign w:val="center"/>
          </w:tcPr>
          <w:p>
            <w:pPr>
              <w:jc w:val="left"/>
            </w:pPr>
            <w:r>
              <w:rPr>
                <w:b/>
                <w:bCs/>
                <w:color w:val="FFFFFF"/>
                <w:sz w:val="20"/>
                <w:szCs w:val="20"/>
              </w:rPr>
              <w:t xml:space="preserve">Phase</w:t>
            </w:r>
          </w:p>
        </w:tc>
        <w:tc>
          <w:tcPr>
            <w:tcW w:type="dxa" w:w="2100"/>
            <w:shd w:fill="1F3864" w:val="clear"/>
            <w:tcMar>
              <w:top w:type="dxa" w:w="100"/>
              <w:left w:type="dxa" w:w="120"/>
              <w:bottom w:type="dxa" w:w="100"/>
              <w:right w:type="dxa" w:w="120"/>
            </w:tcMar>
            <w:vAlign w:val="center"/>
          </w:tcPr>
          <w:p>
            <w:pPr>
              <w:jc w:val="left"/>
            </w:pPr>
            <w:r>
              <w:rPr>
                <w:b/>
                <w:bCs/>
                <w:color w:val="FFFFFF"/>
                <w:sz w:val="20"/>
                <w:szCs w:val="20"/>
              </w:rPr>
              <w:t xml:space="preserve">Duration</w:t>
            </w:r>
          </w:p>
        </w:tc>
        <w:tc>
          <w:tcPr>
            <w:tcW w:type="dxa" w:w="3960"/>
            <w:shd w:fill="1F3864" w:val="clear"/>
            <w:tcMar>
              <w:top w:type="dxa" w:w="100"/>
              <w:left w:type="dxa" w:w="120"/>
              <w:bottom w:type="dxa" w:w="100"/>
              <w:right w:type="dxa" w:w="120"/>
            </w:tcMar>
            <w:vAlign w:val="center"/>
          </w:tcPr>
          <w:p>
            <w:pPr>
              <w:jc w:val="left"/>
            </w:pPr>
            <w:r>
              <w:rPr>
                <w:b/>
                <w:bCs/>
                <w:color w:val="FFFFFF"/>
                <w:sz w:val="20"/>
                <w:szCs w:val="20"/>
              </w:rPr>
              <w:t xml:space="preserve">Key Activities</w:t>
            </w:r>
          </w:p>
        </w:tc>
        <w:tc>
          <w:tcPr>
            <w:tcW w:type="dxa" w:w="1800"/>
            <w:shd w:fill="1F3864" w:val="clear"/>
            <w:tcMar>
              <w:top w:type="dxa" w:w="100"/>
              <w:left w:type="dxa" w:w="120"/>
              <w:bottom w:type="dxa" w:w="100"/>
              <w:right w:type="dxa" w:w="120"/>
            </w:tcMar>
            <w:vAlign w:val="center"/>
          </w:tcPr>
          <w:p>
            <w:pPr>
              <w:jc w:val="left"/>
            </w:pPr>
            <w:r>
              <w:rPr>
                <w:b/>
                <w:bCs/>
                <w:color w:val="FFFFFF"/>
                <w:sz w:val="20"/>
                <w:szCs w:val="20"/>
              </w:rPr>
              <w:t xml:space="preserve">Output</w:t>
            </w:r>
          </w:p>
        </w:tc>
      </w:tr>
      <w:tr>
        <w:tc>
          <w:tcPr>
            <w:tcW w:type="dxa" w:w="1500"/>
            <w:shd w:fill="FFFFFF" w:val="clear"/>
            <w:tcMar>
              <w:top w:type="dxa" w:w="100"/>
              <w:left w:type="dxa" w:w="120"/>
              <w:bottom w:type="dxa" w:w="100"/>
              <w:right w:type="dxa" w:w="120"/>
            </w:tcMar>
            <w:vAlign w:val="center"/>
          </w:tcPr>
          <w:p>
            <w:pPr>
              <w:jc w:val="left"/>
            </w:pPr>
            <w:r>
              <w:rPr>
                <w:b w:val="false"/>
                <w:bCs w:val="false"/>
                <w:sz w:val="20"/>
                <w:szCs w:val="20"/>
              </w:rPr>
              <w:t xml:space="preserve">0. Framing &amp; Sponsorship</w:t>
            </w:r>
          </w:p>
        </w:tc>
        <w:tc>
          <w:tcPr>
            <w:tcW w:type="dxa" w:w="2100"/>
            <w:shd w:fill="FFFFFF" w:val="clear"/>
            <w:tcMar>
              <w:top w:type="dxa" w:w="100"/>
              <w:left w:type="dxa" w:w="120"/>
              <w:bottom w:type="dxa" w:w="100"/>
              <w:right w:type="dxa" w:w="120"/>
            </w:tcMar>
            <w:vAlign w:val="center"/>
          </w:tcPr>
          <w:p>
            <w:pPr>
              <w:jc w:val="left"/>
            </w:pPr>
            <w:r>
              <w:rPr>
                <w:b w:val="false"/>
                <w:bCs w:val="false"/>
                <w:sz w:val="20"/>
                <w:szCs w:val="20"/>
              </w:rPr>
              <w:t xml:space="preserve">1–2 wks</w:t>
            </w:r>
          </w:p>
        </w:tc>
        <w:tc>
          <w:tcPr>
            <w:tcW w:type="dxa" w:w="3960"/>
            <w:shd w:fill="FFFFFF" w:val="clear"/>
            <w:tcMar>
              <w:top w:type="dxa" w:w="100"/>
              <w:left w:type="dxa" w:w="120"/>
              <w:bottom w:type="dxa" w:w="100"/>
              <w:right w:type="dxa" w:w="120"/>
            </w:tcMar>
            <w:vAlign w:val="center"/>
          </w:tcPr>
          <w:p>
            <w:pPr>
              <w:jc w:val="left"/>
            </w:pPr>
            <w:r>
              <w:rPr>
                <w:b w:val="false"/>
                <w:bCs w:val="false"/>
                <w:sz w:val="20"/>
                <w:szCs w:val="20"/>
              </w:rPr>
              <w:t xml:space="preserve">Confirm the vision/goal statement from the Product Owner; define scope boundaries (RDBMS, NoSQL, DBaaS, data warehouse, on-prem vs. cloud); agree the roadmap horizon; confirm executive sponsor and check-in cadence.</w:t>
            </w:r>
          </w:p>
        </w:tc>
        <w:tc>
          <w:tcPr>
            <w:tcW w:type="dxa" w:w="1800"/>
            <w:shd w:fill="FFFFFF" w:val="clear"/>
            <w:tcMar>
              <w:top w:type="dxa" w:w="100"/>
              <w:left w:type="dxa" w:w="120"/>
              <w:bottom w:type="dxa" w:w="100"/>
              <w:right w:type="dxa" w:w="120"/>
            </w:tcMar>
            <w:vAlign w:val="center"/>
          </w:tcPr>
          <w:p>
            <w:pPr>
              <w:jc w:val="left"/>
            </w:pPr>
            <w:r>
              <w:rPr>
                <w:b w:val="false"/>
                <w:bCs w:val="false"/>
                <w:sz w:val="20"/>
                <w:szCs w:val="20"/>
              </w:rPr>
              <w:t xml:space="preserve">Charter + scope statement</w:t>
            </w:r>
          </w:p>
        </w:tc>
      </w:tr>
      <w:tr>
        <w:tc>
          <w:tcPr>
            <w:tcW w:type="dxa" w:w="1500"/>
            <w:shd w:fill="F2F2F2" w:val="clear"/>
            <w:tcMar>
              <w:top w:type="dxa" w:w="100"/>
              <w:left w:type="dxa" w:w="120"/>
              <w:bottom w:type="dxa" w:w="100"/>
              <w:right w:type="dxa" w:w="120"/>
            </w:tcMar>
            <w:vAlign w:val="center"/>
          </w:tcPr>
          <w:p>
            <w:pPr>
              <w:jc w:val="left"/>
            </w:pPr>
            <w:r>
              <w:rPr>
                <w:b w:val="false"/>
                <w:bCs w:val="false"/>
                <w:sz w:val="20"/>
                <w:szCs w:val="20"/>
              </w:rPr>
              <w:t xml:space="preserve">1. Discovery &amp; Current-State Assessment</w:t>
            </w:r>
          </w:p>
        </w:tc>
        <w:tc>
          <w:tcPr>
            <w:tcW w:type="dxa" w:w="2100"/>
            <w:shd w:fill="F2F2F2" w:val="clear"/>
            <w:tcMar>
              <w:top w:type="dxa" w:w="100"/>
              <w:left w:type="dxa" w:w="120"/>
              <w:bottom w:type="dxa" w:w="100"/>
              <w:right w:type="dxa" w:w="120"/>
            </w:tcMar>
            <w:vAlign w:val="center"/>
          </w:tcPr>
          <w:p>
            <w:pPr>
              <w:jc w:val="left"/>
            </w:pPr>
            <w:r>
              <w:rPr>
                <w:b w:val="false"/>
                <w:bCs w:val="false"/>
                <w:sz w:val="20"/>
                <w:szCs w:val="20"/>
              </w:rPr>
              <w:t xml:space="preserve">4–6 wks</w:t>
            </w:r>
          </w:p>
        </w:tc>
        <w:tc>
          <w:tcPr>
            <w:tcW w:type="dxa" w:w="3960"/>
            <w:shd w:fill="F2F2F2" w:val="clear"/>
            <w:tcMar>
              <w:top w:type="dxa" w:w="100"/>
              <w:left w:type="dxa" w:w="120"/>
              <w:bottom w:type="dxa" w:w="100"/>
              <w:right w:type="dxa" w:w="120"/>
            </w:tcMar>
            <w:vAlign w:val="center"/>
          </w:tcPr>
          <w:p>
            <w:pPr>
              <w:jc w:val="left"/>
            </w:pPr>
            <w:r>
              <w:rPr>
                <w:b w:val="false"/>
                <w:bCs w:val="false"/>
                <w:sz w:val="20"/>
                <w:szCs w:val="20"/>
              </w:rPr>
              <w:t xml:space="preserve">Working sessions with PO and Portfolio Architect: estate inventory (engines, versions, hosting, licensing), cost baseline, pain points, ongoing initiatives, compliance constraints, skills/staffing.</w:t>
            </w:r>
          </w:p>
        </w:tc>
        <w:tc>
          <w:tcPr>
            <w:tcW w:type="dxa" w:w="1800"/>
            <w:shd w:fill="F2F2F2" w:val="clear"/>
            <w:tcMar>
              <w:top w:type="dxa" w:w="100"/>
              <w:left w:type="dxa" w:w="120"/>
              <w:bottom w:type="dxa" w:w="100"/>
              <w:right w:type="dxa" w:w="120"/>
            </w:tcMar>
            <w:vAlign w:val="center"/>
          </w:tcPr>
          <w:p>
            <w:pPr>
              <w:jc w:val="left"/>
            </w:pPr>
            <w:r>
              <w:rPr>
                <w:b w:val="false"/>
                <w:bCs w:val="false"/>
                <w:sz w:val="20"/>
                <w:szCs w:val="20"/>
              </w:rPr>
              <w:t xml:space="preserve">Current-state dossier</w:t>
            </w:r>
          </w:p>
        </w:tc>
      </w:tr>
      <w:tr>
        <w:tc>
          <w:tcPr>
            <w:tcW w:type="dxa" w:w="1500"/>
            <w:shd w:fill="FFFFFF" w:val="clear"/>
            <w:tcMar>
              <w:top w:type="dxa" w:w="100"/>
              <w:left w:type="dxa" w:w="120"/>
              <w:bottom w:type="dxa" w:w="100"/>
              <w:right w:type="dxa" w:w="120"/>
            </w:tcMar>
            <w:vAlign w:val="center"/>
          </w:tcPr>
          <w:p>
            <w:pPr>
              <w:jc w:val="left"/>
            </w:pPr>
            <w:r>
              <w:rPr>
                <w:b w:val="false"/>
                <w:bCs w:val="false"/>
                <w:sz w:val="20"/>
                <w:szCs w:val="20"/>
              </w:rPr>
              <w:t xml:space="preserve">2. External Landscape &amp; Benchmarking</w:t>
            </w:r>
          </w:p>
        </w:tc>
        <w:tc>
          <w:tcPr>
            <w:tcW w:type="dxa" w:w="2100"/>
            <w:shd w:fill="FFFFFF" w:val="clear"/>
            <w:tcMar>
              <w:top w:type="dxa" w:w="100"/>
              <w:left w:type="dxa" w:w="120"/>
              <w:bottom w:type="dxa" w:w="100"/>
              <w:right w:type="dxa" w:w="120"/>
            </w:tcMar>
            <w:vAlign w:val="center"/>
          </w:tcPr>
          <w:p>
            <w:pPr>
              <w:jc w:val="left"/>
            </w:pPr>
            <w:r>
              <w:rPr>
                <w:b w:val="false"/>
                <w:bCs w:val="false"/>
                <w:sz w:val="20"/>
                <w:szCs w:val="20"/>
              </w:rPr>
              <w:t xml:space="preserve">2–3 wks (can run parallel to Phase 1)</w:t>
            </w:r>
          </w:p>
        </w:tc>
        <w:tc>
          <w:tcPr>
            <w:tcW w:type="dxa" w:w="3960"/>
            <w:shd w:fill="FFFFFF" w:val="clear"/>
            <w:tcMar>
              <w:top w:type="dxa" w:w="100"/>
              <w:left w:type="dxa" w:w="120"/>
              <w:bottom w:type="dxa" w:w="100"/>
              <w:right w:type="dxa" w:w="120"/>
            </w:tcMar>
            <w:vAlign w:val="center"/>
          </w:tcPr>
          <w:p>
            <w:pPr>
              <w:jc w:val="left"/>
            </w:pPr>
            <w:r>
              <w:rPr>
                <w:b w:val="false"/>
                <w:bCs w:val="false"/>
                <w:sz w:val="20"/>
                <w:szCs w:val="20"/>
              </w:rPr>
              <w:t xml:space="preserve">Technology trend scan (see Section 4); hyperscaler/vendor capability comparison; peer/industry benchmarking; standards-body input.</w:t>
            </w:r>
          </w:p>
        </w:tc>
        <w:tc>
          <w:tcPr>
            <w:tcW w:type="dxa" w:w="1800"/>
            <w:shd w:fill="FFFFFF" w:val="clear"/>
            <w:tcMar>
              <w:top w:type="dxa" w:w="100"/>
              <w:left w:type="dxa" w:w="120"/>
              <w:bottom w:type="dxa" w:w="100"/>
              <w:right w:type="dxa" w:w="120"/>
            </w:tcMar>
            <w:vAlign w:val="center"/>
          </w:tcPr>
          <w:p>
            <w:pPr>
              <w:jc w:val="left"/>
            </w:pPr>
            <w:r>
              <w:rPr>
                <w:b w:val="false"/>
                <w:bCs w:val="false"/>
                <w:sz w:val="20"/>
                <w:szCs w:val="20"/>
              </w:rPr>
              <w:t xml:space="preserve">Landscape brief</w:t>
            </w:r>
          </w:p>
        </w:tc>
      </w:tr>
      <w:tr>
        <w:tc>
          <w:tcPr>
            <w:tcW w:type="dxa" w:w="1500"/>
            <w:shd w:fill="F2F2F2" w:val="clear"/>
            <w:tcMar>
              <w:top w:type="dxa" w:w="100"/>
              <w:left w:type="dxa" w:w="120"/>
              <w:bottom w:type="dxa" w:w="100"/>
              <w:right w:type="dxa" w:w="120"/>
            </w:tcMar>
            <w:vAlign w:val="center"/>
          </w:tcPr>
          <w:p>
            <w:pPr>
              <w:jc w:val="left"/>
            </w:pPr>
            <w:r>
              <w:rPr>
                <w:b w:val="false"/>
                <w:bCs w:val="false"/>
                <w:sz w:val="20"/>
                <w:szCs w:val="20"/>
              </w:rPr>
              <w:t xml:space="preserve">3. Gap Analysis &amp; Opportunity ID</w:t>
            </w:r>
          </w:p>
        </w:tc>
        <w:tc>
          <w:tcPr>
            <w:tcW w:type="dxa" w:w="2100"/>
            <w:shd w:fill="F2F2F2" w:val="clear"/>
            <w:tcMar>
              <w:top w:type="dxa" w:w="100"/>
              <w:left w:type="dxa" w:w="120"/>
              <w:bottom w:type="dxa" w:w="100"/>
              <w:right w:type="dxa" w:w="120"/>
            </w:tcMar>
            <w:vAlign w:val="center"/>
          </w:tcPr>
          <w:p>
            <w:pPr>
              <w:jc w:val="left"/>
            </w:pPr>
            <w:r>
              <w:rPr>
                <w:b w:val="false"/>
                <w:bCs w:val="false"/>
                <w:sz w:val="20"/>
                <w:szCs w:val="20"/>
              </w:rPr>
              <w:t xml:space="preserve">2 wks</w:t>
            </w:r>
          </w:p>
        </w:tc>
        <w:tc>
          <w:tcPr>
            <w:tcW w:type="dxa" w:w="3960"/>
            <w:shd w:fill="F2F2F2" w:val="clear"/>
            <w:tcMar>
              <w:top w:type="dxa" w:w="100"/>
              <w:left w:type="dxa" w:w="120"/>
              <w:bottom w:type="dxa" w:w="100"/>
              <w:right w:type="dxa" w:w="120"/>
            </w:tcMar>
            <w:vAlign w:val="center"/>
          </w:tcPr>
          <w:p>
            <w:pPr>
              <w:jc w:val="left"/>
            </w:pPr>
            <w:r>
              <w:rPr>
                <w:b w:val="false"/>
                <w:bCs w:val="false"/>
                <w:sz w:val="20"/>
                <w:szCs w:val="20"/>
              </w:rPr>
              <w:t xml:space="preserve">Compare current state to the vision; group findings into strategic themes; prioritize with a value / effort / risk view.</w:t>
            </w:r>
          </w:p>
        </w:tc>
        <w:tc>
          <w:tcPr>
            <w:tcW w:type="dxa" w:w="1800"/>
            <w:shd w:fill="F2F2F2" w:val="clear"/>
            <w:tcMar>
              <w:top w:type="dxa" w:w="100"/>
              <w:left w:type="dxa" w:w="120"/>
              <w:bottom w:type="dxa" w:w="100"/>
              <w:right w:type="dxa" w:w="120"/>
            </w:tcMar>
            <w:vAlign w:val="center"/>
          </w:tcPr>
          <w:p>
            <w:pPr>
              <w:jc w:val="left"/>
            </w:pPr>
            <w:r>
              <w:rPr>
                <w:b w:val="false"/>
                <w:bCs w:val="false"/>
                <w:sz w:val="20"/>
                <w:szCs w:val="20"/>
              </w:rPr>
              <w:t xml:space="preserve">Prioritized opportunity list</w:t>
            </w:r>
          </w:p>
        </w:tc>
      </w:tr>
      <w:tr>
        <w:tc>
          <w:tcPr>
            <w:tcW w:type="dxa" w:w="1500"/>
            <w:shd w:fill="FFFFFF" w:val="clear"/>
            <w:tcMar>
              <w:top w:type="dxa" w:w="100"/>
              <w:left w:type="dxa" w:w="120"/>
              <w:bottom w:type="dxa" w:w="100"/>
              <w:right w:type="dxa" w:w="120"/>
            </w:tcMar>
            <w:vAlign w:val="center"/>
          </w:tcPr>
          <w:p>
            <w:pPr>
              <w:jc w:val="left"/>
            </w:pPr>
            <w:r>
              <w:rPr>
                <w:b w:val="false"/>
                <w:bCs w:val="false"/>
                <w:sz w:val="20"/>
                <w:szCs w:val="20"/>
              </w:rPr>
              <w:t xml:space="preserve">4. Roadmap Synthesis &amp; Validation</w:t>
            </w:r>
          </w:p>
        </w:tc>
        <w:tc>
          <w:tcPr>
            <w:tcW w:type="dxa" w:w="2100"/>
            <w:shd w:fill="FFFFFF" w:val="clear"/>
            <w:tcMar>
              <w:top w:type="dxa" w:w="100"/>
              <w:left w:type="dxa" w:w="120"/>
              <w:bottom w:type="dxa" w:w="100"/>
              <w:right w:type="dxa" w:w="120"/>
            </w:tcMar>
            <w:vAlign w:val="center"/>
          </w:tcPr>
          <w:p>
            <w:pPr>
              <w:jc w:val="left"/>
            </w:pPr>
            <w:r>
              <w:rPr>
                <w:b w:val="false"/>
                <w:bCs w:val="false"/>
                <w:sz w:val="20"/>
                <w:szCs w:val="20"/>
              </w:rPr>
              <w:t xml:space="preserve">3 wks</w:t>
            </w:r>
          </w:p>
        </w:tc>
        <w:tc>
          <w:tcPr>
            <w:tcW w:type="dxa" w:w="3960"/>
            <w:shd w:fill="FFFFFF" w:val="clear"/>
            <w:tcMar>
              <w:top w:type="dxa" w:w="100"/>
              <w:left w:type="dxa" w:w="120"/>
              <w:bottom w:type="dxa" w:w="100"/>
              <w:right w:type="dxa" w:w="120"/>
            </w:tcMar>
            <w:vAlign w:val="center"/>
          </w:tcPr>
          <w:p>
            <w:pPr>
              <w:jc w:val="left"/>
            </w:pPr>
            <w:r>
              <w:rPr>
                <w:b w:val="false"/>
                <w:bCs w:val="false"/>
                <w:sz w:val="20"/>
                <w:szCs w:val="20"/>
              </w:rPr>
              <w:t xml:space="preserve">Draft the roadmap (horizons, initiatives, dependencies, owners); socialize with PO and Portfolio Architect; refine based on feedback.</w:t>
            </w:r>
          </w:p>
        </w:tc>
        <w:tc>
          <w:tcPr>
            <w:tcW w:type="dxa" w:w="1800"/>
            <w:shd w:fill="FFFFFF" w:val="clear"/>
            <w:tcMar>
              <w:top w:type="dxa" w:w="100"/>
              <w:left w:type="dxa" w:w="120"/>
              <w:bottom w:type="dxa" w:w="100"/>
              <w:right w:type="dxa" w:w="120"/>
            </w:tcMar>
            <w:vAlign w:val="center"/>
          </w:tcPr>
          <w:p>
            <w:pPr>
              <w:jc w:val="left"/>
            </w:pPr>
            <w:r>
              <w:rPr>
                <w:b w:val="false"/>
                <w:bCs w:val="false"/>
                <w:sz w:val="20"/>
                <w:szCs w:val="20"/>
              </w:rPr>
              <w:t xml:space="preserve">Draft roadmap v1</w:t>
            </w:r>
          </w:p>
        </w:tc>
      </w:tr>
      <w:tr>
        <w:tc>
          <w:tcPr>
            <w:tcW w:type="dxa" w:w="1500"/>
            <w:shd w:fill="F2F2F2" w:val="clear"/>
            <w:tcMar>
              <w:top w:type="dxa" w:w="100"/>
              <w:left w:type="dxa" w:w="120"/>
              <w:bottom w:type="dxa" w:w="100"/>
              <w:right w:type="dxa" w:w="120"/>
            </w:tcMar>
            <w:vAlign w:val="center"/>
          </w:tcPr>
          <w:p>
            <w:pPr>
              <w:jc w:val="left"/>
            </w:pPr>
            <w:r>
              <w:rPr>
                <w:b w:val="false"/>
                <w:bCs w:val="false"/>
                <w:sz w:val="20"/>
                <w:szCs w:val="20"/>
              </w:rPr>
              <w:t xml:space="preserve">5. Executive Narrative &amp; Packaging</w:t>
            </w:r>
          </w:p>
        </w:tc>
        <w:tc>
          <w:tcPr>
            <w:tcW w:type="dxa" w:w="2100"/>
            <w:shd w:fill="F2F2F2" w:val="clear"/>
            <w:tcMar>
              <w:top w:type="dxa" w:w="100"/>
              <w:left w:type="dxa" w:w="120"/>
              <w:bottom w:type="dxa" w:w="100"/>
              <w:right w:type="dxa" w:w="120"/>
            </w:tcMar>
            <w:vAlign w:val="center"/>
          </w:tcPr>
          <w:p>
            <w:pPr>
              <w:jc w:val="left"/>
            </w:pPr>
            <w:r>
              <w:rPr>
                <w:b w:val="false"/>
                <w:bCs w:val="false"/>
                <w:sz w:val="20"/>
                <w:szCs w:val="20"/>
              </w:rPr>
              <w:t xml:space="preserve">2 wks</w:t>
            </w:r>
          </w:p>
        </w:tc>
        <w:tc>
          <w:tcPr>
            <w:tcW w:type="dxa" w:w="3960"/>
            <w:shd w:fill="F2F2F2" w:val="clear"/>
            <w:tcMar>
              <w:top w:type="dxa" w:w="100"/>
              <w:left w:type="dxa" w:w="120"/>
              <w:bottom w:type="dxa" w:w="100"/>
              <w:right w:type="dxa" w:w="120"/>
            </w:tcMar>
            <w:vAlign w:val="center"/>
          </w:tcPr>
          <w:p>
            <w:pPr>
              <w:jc w:val="left"/>
            </w:pPr>
            <w:r>
              <w:rPr>
                <w:b w:val="false"/>
                <w:bCs w:val="false"/>
                <w:sz w:val="20"/>
                <w:szCs w:val="20"/>
              </w:rPr>
              <w:t xml:space="preserve">Build the story arc (vision → current state → why change → roadmap → the ask); build the deck; pressure-test with a small group before the full exec session.</w:t>
            </w:r>
          </w:p>
        </w:tc>
        <w:tc>
          <w:tcPr>
            <w:tcW w:type="dxa" w:w="1800"/>
            <w:shd w:fill="F2F2F2" w:val="clear"/>
            <w:tcMar>
              <w:top w:type="dxa" w:w="100"/>
              <w:left w:type="dxa" w:w="120"/>
              <w:bottom w:type="dxa" w:w="100"/>
              <w:right w:type="dxa" w:w="120"/>
            </w:tcMar>
            <w:vAlign w:val="center"/>
          </w:tcPr>
          <w:p>
            <w:pPr>
              <w:jc w:val="left"/>
            </w:pPr>
            <w:r>
              <w:rPr>
                <w:b w:val="false"/>
                <w:bCs w:val="false"/>
                <w:sz w:val="20"/>
                <w:szCs w:val="20"/>
              </w:rPr>
              <w:t xml:space="preserve">Exec-ready deck</w:t>
            </w:r>
          </w:p>
        </w:tc>
      </w:tr>
      <w:tr>
        <w:tc>
          <w:tcPr>
            <w:tcW w:type="dxa" w:w="1500"/>
            <w:shd w:fill="FFFFFF" w:val="clear"/>
            <w:tcMar>
              <w:top w:type="dxa" w:w="100"/>
              <w:left w:type="dxa" w:w="120"/>
              <w:bottom w:type="dxa" w:w="100"/>
              <w:right w:type="dxa" w:w="120"/>
            </w:tcMar>
            <w:vAlign w:val="center"/>
          </w:tcPr>
          <w:p>
            <w:pPr>
              <w:jc w:val="left"/>
            </w:pPr>
            <w:r>
              <w:rPr>
                <w:b w:val="false"/>
                <w:bCs w:val="false"/>
                <w:sz w:val="20"/>
                <w:szCs w:val="20"/>
              </w:rPr>
              <w:t xml:space="preserve">6. Executive Presentation &amp; Approval</w:t>
            </w:r>
          </w:p>
        </w:tc>
        <w:tc>
          <w:tcPr>
            <w:tcW w:type="dxa" w:w="2100"/>
            <w:shd w:fill="FFFFFF" w:val="clear"/>
            <w:tcMar>
              <w:top w:type="dxa" w:w="100"/>
              <w:left w:type="dxa" w:w="120"/>
              <w:bottom w:type="dxa" w:w="100"/>
              <w:right w:type="dxa" w:w="120"/>
            </w:tcMar>
            <w:vAlign w:val="center"/>
          </w:tcPr>
          <w:p>
            <w:pPr>
              <w:jc w:val="left"/>
            </w:pPr>
            <w:r>
              <w:rPr>
                <w:b w:val="false"/>
                <w:bCs w:val="false"/>
                <w:sz w:val="20"/>
                <w:szCs w:val="20"/>
              </w:rPr>
              <w:t xml:space="preserve">1 wk</w:t>
            </w:r>
          </w:p>
        </w:tc>
        <w:tc>
          <w:tcPr>
            <w:tcW w:type="dxa" w:w="3960"/>
            <w:shd w:fill="FFFFFF" w:val="clear"/>
            <w:tcMar>
              <w:top w:type="dxa" w:w="100"/>
              <w:left w:type="dxa" w:w="120"/>
              <w:bottom w:type="dxa" w:w="100"/>
              <w:right w:type="dxa" w:w="120"/>
            </w:tcMar>
            <w:vAlign w:val="center"/>
          </w:tcPr>
          <w:p>
            <w:pPr>
              <w:jc w:val="left"/>
            </w:pPr>
            <w:r>
              <w:rPr>
                <w:b w:val="false"/>
                <w:bCs w:val="false"/>
                <w:sz w:val="20"/>
                <w:szCs w:val="20"/>
              </w:rPr>
              <w:t xml:space="preserve">Present; capture feedback and conditions of approval; adjust as needed.</w:t>
            </w:r>
          </w:p>
        </w:tc>
        <w:tc>
          <w:tcPr>
            <w:tcW w:type="dxa" w:w="1800"/>
            <w:shd w:fill="FFFFFF" w:val="clear"/>
            <w:tcMar>
              <w:top w:type="dxa" w:w="100"/>
              <w:left w:type="dxa" w:w="120"/>
              <w:bottom w:type="dxa" w:w="100"/>
              <w:right w:type="dxa" w:w="120"/>
            </w:tcMar>
            <w:vAlign w:val="center"/>
          </w:tcPr>
          <w:p>
            <w:pPr>
              <w:jc w:val="left"/>
            </w:pPr>
            <w:r>
              <w:rPr>
                <w:b w:val="false"/>
                <w:bCs w:val="false"/>
                <w:sz w:val="20"/>
                <w:szCs w:val="20"/>
              </w:rPr>
              <w:t xml:space="preserve">Approved roadmap</w:t>
            </w:r>
          </w:p>
        </w:tc>
      </w:tr>
      <w:tr>
        <w:tc>
          <w:tcPr>
            <w:tcW w:type="dxa" w:w="1500"/>
            <w:shd w:fill="F2F2F2" w:val="clear"/>
            <w:tcMar>
              <w:top w:type="dxa" w:w="100"/>
              <w:left w:type="dxa" w:w="120"/>
              <w:bottom w:type="dxa" w:w="100"/>
              <w:right w:type="dxa" w:w="120"/>
            </w:tcMar>
            <w:vAlign w:val="center"/>
          </w:tcPr>
          <w:p>
            <w:pPr>
              <w:jc w:val="left"/>
            </w:pPr>
            <w:r>
              <w:rPr>
                <w:b w:val="false"/>
                <w:bCs w:val="false"/>
                <w:sz w:val="20"/>
                <w:szCs w:val="20"/>
              </w:rPr>
              <w:t xml:space="preserve">7. Governance &amp; Tracking Setup</w:t>
            </w:r>
          </w:p>
        </w:tc>
        <w:tc>
          <w:tcPr>
            <w:tcW w:type="dxa" w:w="2100"/>
            <w:shd w:fill="F2F2F2" w:val="clear"/>
            <w:tcMar>
              <w:top w:type="dxa" w:w="100"/>
              <w:left w:type="dxa" w:w="120"/>
              <w:bottom w:type="dxa" w:w="100"/>
              <w:right w:type="dxa" w:w="120"/>
            </w:tcMar>
            <w:vAlign w:val="center"/>
          </w:tcPr>
          <w:p>
            <w:pPr>
              <w:jc w:val="left"/>
            </w:pPr>
            <w:r>
              <w:rPr>
                <w:b w:val="false"/>
                <w:bCs w:val="false"/>
                <w:sz w:val="20"/>
                <w:szCs w:val="20"/>
              </w:rPr>
              <w:t xml:space="preserve">Ongoing</w:t>
            </w:r>
          </w:p>
        </w:tc>
        <w:tc>
          <w:tcPr>
            <w:tcW w:type="dxa" w:w="3960"/>
            <w:shd w:fill="F2F2F2" w:val="clear"/>
            <w:tcMar>
              <w:top w:type="dxa" w:w="100"/>
              <w:left w:type="dxa" w:w="120"/>
              <w:bottom w:type="dxa" w:w="100"/>
              <w:right w:type="dxa" w:w="120"/>
            </w:tcMar>
            <w:vAlign w:val="center"/>
          </w:tcPr>
          <w:p>
            <w:pPr>
              <w:jc w:val="left"/>
            </w:pPr>
            <w:r>
              <w:rPr>
                <w:b w:val="false"/>
                <w:bCs w:val="false"/>
                <w:sz w:val="20"/>
                <w:szCs w:val="20"/>
              </w:rPr>
              <w:t xml:space="preserve">Establish a quarterly review cadence, KPI tracking, and clear ownership handoff to the Database Product Owner and Portfolio Architect for execution.</w:t>
            </w:r>
          </w:p>
        </w:tc>
        <w:tc>
          <w:tcPr>
            <w:tcW w:type="dxa" w:w="1800"/>
            <w:shd w:fill="F2F2F2" w:val="clear"/>
            <w:tcMar>
              <w:top w:type="dxa" w:w="100"/>
              <w:left w:type="dxa" w:w="120"/>
              <w:bottom w:type="dxa" w:w="100"/>
              <w:right w:type="dxa" w:w="120"/>
            </w:tcMar>
            <w:vAlign w:val="center"/>
          </w:tcPr>
          <w:p>
            <w:pPr>
              <w:jc w:val="left"/>
            </w:pPr>
            <w:r>
              <w:rPr>
                <w:b w:val="false"/>
                <w:bCs w:val="false"/>
                <w:sz w:val="20"/>
                <w:szCs w:val="20"/>
              </w:rPr>
              <w:t xml:space="preserve">Governance model</w:t>
            </w:r>
          </w:p>
        </w:tc>
      </w:tr>
    </w:tbl>
    <w:p>
      <w:pPr>
        <w:spacing w:before="200"/>
      </w:pPr>
    </w:p>
    <w:p>
      <w:pPr>
        <w:pStyle w:val="Heading3"/>
        <w:spacing w:after="100" w:before="200"/>
      </w:pPr>
      <w:r>
        <w:t xml:space="preserve">What tends to make phase 4–6 succeed</w:t>
      </w:r>
    </w:p>
    <w:p>
      <w:pPr>
        <w:pStyle w:val="ListParagraph"/>
        <w:numPr>
          <w:ilvl w:val="0"/>
          <w:numId w:val="3"/>
        </w:numPr>
        <w:spacing w:after="90" w:line="276"/>
      </w:pPr>
      <w:r>
        <w:rPr>
          <w:b/>
          <w:bCs/>
        </w:rPr>
        <w:t xml:space="preserve">Pre-wire, don't surprise. </w:t>
      </w:r>
      <w:r>
        <w:t xml:space="preserve">Validate the draft with your PO and Portfolio Architect — and ideally one or two exec-adjacent sponsors — before the big reveal, the same way you likely de-risked the cloud roadmap presentation.</w:t>
      </w:r>
    </w:p>
    <w:p>
      <w:pPr>
        <w:pStyle w:val="ListParagraph"/>
        <w:numPr>
          <w:ilvl w:val="0"/>
          <w:numId w:val="3"/>
        </w:numPr>
        <w:spacing w:after="90" w:line="276"/>
      </w:pPr>
      <w:r>
        <w:rPr>
          <w:b/>
          <w:bCs/>
        </w:rPr>
        <w:t xml:space="preserve">Keep the ask concrete. </w:t>
      </w:r>
      <w:r>
        <w:t xml:space="preserve">Executives approve funding and priority, not slideware — each roadmap theme needs a clear ask (budget, headcount, decision) attached.</w:t>
      </w:r>
    </w:p>
    <w:p>
      <w:pPr>
        <w:pStyle w:val="ListParagraph"/>
        <w:numPr>
          <w:ilvl w:val="0"/>
          <w:numId w:val="3"/>
        </w:numPr>
        <w:spacing w:after="90" w:line="276"/>
      </w:pPr>
      <w:r>
        <w:rPr>
          <w:b/>
          <w:bCs/>
        </w:rPr>
        <w:t xml:space="preserve">Separate the story from the backup. </w:t>
      </w:r>
      <w:r>
        <w:t xml:space="preserve">A tight narrative deck for the room, with a detailed appendix (inventory, cost model, dependency map) for anyone who wants to go deeper.</w:t>
      </w:r>
    </w:p>
    <w:p>
      <w:pPr>
        <w:pStyle w:val="Heading1"/>
        <w:spacing w:after="160" w:before="360"/>
      </w:pPr>
      <w:r>
        <w:t xml:space="preserve">3. Discovery Framework — Questions for Your Working Sessions</w:t>
      </w:r>
    </w:p>
    <w:p>
      <w:pPr>
        <w:spacing w:after="160" w:line="276"/>
      </w:pPr>
      <w:r>
        <w:t xml:space="preserve">Use these as a starting agenda for sessions with the Database Product Owner (business/product lens) and the EA Database Portfolio Architect (technical/architectural lens). Not every question suits both audiences — skim and pick.</w:t>
      </w:r>
    </w:p>
    <w:p>
      <w:pPr>
        <w:pStyle w:val="Heading2"/>
        <w:spacing w:after="120" w:before="260"/>
      </w:pPr>
      <w:r>
        <w:t xml:space="preserve">3.1 Vision &amp; Strategic Alignment</w:t>
      </w:r>
    </w:p>
    <w:p>
      <w:pPr>
        <w:pStyle w:val="ListParagraph"/>
        <w:numPr>
          <w:ilvl w:val="0"/>
          <w:numId w:val="3"/>
        </w:numPr>
        <w:spacing w:after="80" w:line="276"/>
      </w:pPr>
      <w:r>
        <w:t xml:space="preserve">What business outcomes should this roadmap enable over the horizon — revenue growth, cost reduction, risk reduction, speed to market?</w:t>
      </w:r>
    </w:p>
    <w:p>
      <w:pPr>
        <w:pStyle w:val="ListParagraph"/>
        <w:numPr>
          <w:ilvl w:val="0"/>
          <w:numId w:val="3"/>
        </w:numPr>
        <w:spacing w:after="80" w:line="276"/>
      </w:pPr>
      <w:r>
        <w:t xml:space="preserve">How should the database roadmap connect to (or lean on) the existing cloud roadmap — shared landing zones, network, IAM, FinOps model?</w:t>
      </w:r>
    </w:p>
    <w:p>
      <w:pPr>
        <w:pStyle w:val="ListParagraph"/>
        <w:numPr>
          <w:ilvl w:val="0"/>
          <w:numId w:val="3"/>
        </w:numPr>
        <w:spacing w:after="80" w:line="276"/>
      </w:pPr>
      <w:r>
        <w:t xml:space="preserve">Is there an existing enterprise data strategy or governance framework this roadmap must align to?</w:t>
      </w:r>
    </w:p>
    <w:p>
      <w:pPr>
        <w:pStyle w:val="ListParagraph"/>
        <w:numPr>
          <w:ilvl w:val="0"/>
          <w:numId w:val="3"/>
        </w:numPr>
        <w:spacing w:after="80" w:line="276"/>
      </w:pPr>
      <w:r>
        <w:t xml:space="preserve">Who are the key consumers of database services today — application teams, analytics, AI/ML, external partners?</w:t>
      </w:r>
    </w:p>
    <w:p>
      <w:pPr>
        <w:pStyle w:val="Heading2"/>
        <w:spacing w:after="120" w:before="260"/>
      </w:pPr>
      <w:r>
        <w:t xml:space="preserve">3.2 Current-State Inventory</w:t>
      </w:r>
    </w:p>
    <w:p>
      <w:pPr>
        <w:pStyle w:val="ListParagraph"/>
        <w:numPr>
          <w:ilvl w:val="0"/>
          <w:numId w:val="3"/>
        </w:numPr>
        <w:spacing w:after="80" w:line="276"/>
      </w:pPr>
      <w:r>
        <w:t xml:space="preserve">What's the full inventory of database engines in use, by type — relational, NoSQL/document, in-memory, graph, vector, data warehouse?</w:t>
      </w:r>
    </w:p>
    <w:p>
      <w:pPr>
        <w:pStyle w:val="ListParagraph"/>
        <w:numPr>
          <w:ilvl w:val="0"/>
          <w:numId w:val="3"/>
        </w:numPr>
        <w:spacing w:after="80" w:line="276"/>
      </w:pPr>
      <w:r>
        <w:t xml:space="preserve">What share is on-prem vs. cloud-hosted vs. fully managed DBaaS?</w:t>
      </w:r>
    </w:p>
    <w:p>
      <w:pPr>
        <w:pStyle w:val="ListParagraph"/>
        <w:numPr>
          <w:ilvl w:val="0"/>
          <w:numId w:val="3"/>
        </w:numPr>
        <w:spacing w:after="80" w:line="276"/>
      </w:pPr>
      <w:r>
        <w:t xml:space="preserve">What are the versions and end-of-life status of major platforms?</w:t>
      </w:r>
    </w:p>
    <w:p>
      <w:pPr>
        <w:pStyle w:val="ListParagraph"/>
        <w:numPr>
          <w:ilvl w:val="0"/>
          <w:numId w:val="3"/>
        </w:numPr>
        <w:spacing w:after="80" w:line="276"/>
      </w:pPr>
      <w:r>
        <w:t xml:space="preserve">What's the licensing exposure (Oracle, SQL Server, etc.) and when do major contracts renew?</w:t>
      </w:r>
    </w:p>
    <w:p>
      <w:pPr>
        <w:pStyle w:val="ListParagraph"/>
        <w:numPr>
          <w:ilvl w:val="0"/>
          <w:numId w:val="3"/>
        </w:numPr>
        <w:spacing w:after="80" w:line="276"/>
      </w:pPr>
      <w:r>
        <w:t xml:space="preserve">What's the current cost baseline — licensing, infrastructure, support, staffing?</w:t>
      </w:r>
    </w:p>
    <w:p>
      <w:pPr>
        <w:pStyle w:val="ListParagraph"/>
        <w:numPr>
          <w:ilvl w:val="0"/>
          <w:numId w:val="3"/>
        </w:numPr>
        <w:spacing w:after="80" w:line="276"/>
      </w:pPr>
      <w:r>
        <w:t xml:space="preserve">Which databases are mission-critical, and which are legacy candidates for retirement or consolidation?</w:t>
      </w:r>
    </w:p>
    <w:p>
      <w:pPr>
        <w:pStyle w:val="Heading2"/>
        <w:spacing w:after="120" w:before="260"/>
      </w:pPr>
      <w:r>
        <w:t xml:space="preserve">3.3 Pain Points &amp; Risk</w:t>
      </w:r>
    </w:p>
    <w:p>
      <w:pPr>
        <w:pStyle w:val="ListParagraph"/>
        <w:numPr>
          <w:ilvl w:val="0"/>
          <w:numId w:val="3"/>
        </w:numPr>
        <w:spacing w:after="80" w:line="276"/>
      </w:pPr>
      <w:r>
        <w:t xml:space="preserve">What are the top operational pain points today — performance, scalability, availability, patching, backup/DR?</w:t>
      </w:r>
    </w:p>
    <w:p>
      <w:pPr>
        <w:pStyle w:val="ListParagraph"/>
        <w:numPr>
          <w:ilvl w:val="0"/>
          <w:numId w:val="3"/>
        </w:numPr>
        <w:spacing w:after="80" w:line="276"/>
      </w:pPr>
      <w:r>
        <w:t xml:space="preserve">What compliance or regulatory exposure exists — data residency, PII, industry-specific regulation?</w:t>
      </w:r>
    </w:p>
    <w:p>
      <w:pPr>
        <w:pStyle w:val="ListParagraph"/>
        <w:numPr>
          <w:ilvl w:val="0"/>
          <w:numId w:val="3"/>
        </w:numPr>
        <w:spacing w:after="80" w:line="276"/>
      </w:pPr>
      <w:r>
        <w:t xml:space="preserve">What incidents or outages in the last 12 months trace back to database issues?</w:t>
      </w:r>
    </w:p>
    <w:p>
      <w:pPr>
        <w:pStyle w:val="ListParagraph"/>
        <w:numPr>
          <w:ilvl w:val="0"/>
          <w:numId w:val="3"/>
        </w:numPr>
        <w:spacing w:after="80" w:line="276"/>
      </w:pPr>
      <w:r>
        <w:t xml:space="preserve">Where are the single points of failure or key-person dependencies?</w:t>
      </w:r>
    </w:p>
    <w:p>
      <w:pPr>
        <w:pStyle w:val="Heading2"/>
        <w:spacing w:after="120" w:before="260"/>
      </w:pPr>
      <w:r>
        <w:t xml:space="preserve">3.4 Demand &amp; Emerging Needs</w:t>
      </w:r>
    </w:p>
    <w:p>
      <w:pPr>
        <w:pStyle w:val="ListParagraph"/>
        <w:numPr>
          <w:ilvl w:val="0"/>
          <w:numId w:val="3"/>
        </w:numPr>
        <w:spacing w:after="80" w:line="276"/>
      </w:pPr>
      <w:r>
        <w:t xml:space="preserve">What new workloads are coming — AI/ML, vector search, real-time analytics, IoT — that the current estate can't serve well?</w:t>
      </w:r>
    </w:p>
    <w:p>
      <w:pPr>
        <w:pStyle w:val="ListParagraph"/>
        <w:numPr>
          <w:ilvl w:val="0"/>
          <w:numId w:val="3"/>
        </w:numPr>
        <w:spacing w:after="80" w:line="276"/>
      </w:pPr>
      <w:r>
        <w:t xml:space="preserve">What's the appetite for data mesh or self-service data products?</w:t>
      </w:r>
    </w:p>
    <w:p>
      <w:pPr>
        <w:pStyle w:val="ListParagraph"/>
        <w:numPr>
          <w:ilvl w:val="0"/>
          <w:numId w:val="3"/>
        </w:numPr>
        <w:spacing w:after="80" w:line="276"/>
      </w:pPr>
      <w:r>
        <w:t xml:space="preserve">Are business units already requesting database technologies that aren't standardized or supported today?</w:t>
      </w:r>
    </w:p>
    <w:p>
      <w:pPr>
        <w:pStyle w:val="Heading2"/>
        <w:spacing w:after="120" w:before="260"/>
      </w:pPr>
      <w:r>
        <w:t xml:space="preserve">3.5 Organization &amp; Skills</w:t>
      </w:r>
    </w:p>
    <w:p>
      <w:pPr>
        <w:pStyle w:val="ListParagraph"/>
        <w:numPr>
          <w:ilvl w:val="0"/>
          <w:numId w:val="3"/>
        </w:numPr>
        <w:spacing w:after="80" w:line="276"/>
      </w:pPr>
      <w:r>
        <w:t xml:space="preserve">What's the current DBA/database engineering structure, and where are the skill gaps — especially for cloud-native ops, Kubernetes-based data services, vector databases?</w:t>
      </w:r>
    </w:p>
    <w:p>
      <w:pPr>
        <w:pStyle w:val="ListParagraph"/>
        <w:numPr>
          <w:ilvl w:val="0"/>
          <w:numId w:val="3"/>
        </w:numPr>
        <w:spacing w:after="80" w:line="276"/>
      </w:pPr>
      <w:r>
        <w:t xml:space="preserve">What's the sourcing model today — in-house, managed service provider, hyperscaler-managed — and should that change?</w:t>
      </w:r>
    </w:p>
    <w:p>
      <w:pPr>
        <w:pStyle w:val="Heading2"/>
        <w:spacing w:after="120" w:before="260"/>
      </w:pPr>
      <w:r>
        <w:t xml:space="preserve">3.6 Constraints &amp; Guardrails</w:t>
      </w:r>
    </w:p>
    <w:p>
      <w:pPr>
        <w:pStyle w:val="ListParagraph"/>
        <w:numPr>
          <w:ilvl w:val="0"/>
          <w:numId w:val="3"/>
        </w:numPr>
        <w:spacing w:after="80" w:line="276"/>
      </w:pPr>
      <w:r>
        <w:t xml:space="preserve">What's the budget envelope or cost tolerance for modernization?</w:t>
      </w:r>
    </w:p>
    <w:p>
      <w:pPr>
        <w:pStyle w:val="ListParagraph"/>
        <w:numPr>
          <w:ilvl w:val="0"/>
          <w:numId w:val="3"/>
        </w:numPr>
        <w:spacing w:after="80" w:line="276"/>
      </w:pPr>
      <w:r>
        <w:t xml:space="preserve">What's the organization's cloud provider strategy (single- vs. multi-cloud) that this roadmap must respect?</w:t>
      </w:r>
    </w:p>
    <w:p>
      <w:pPr>
        <w:pStyle w:val="ListParagraph"/>
        <w:numPr>
          <w:ilvl w:val="0"/>
          <w:numId w:val="3"/>
        </w:numPr>
        <w:spacing w:after="80" w:line="276"/>
      </w:pPr>
      <w:r>
        <w:t xml:space="preserve">What standards, security policies, or architecture review processes must every initiative comply with?</w:t>
      </w:r>
    </w:p>
    <w:p>
      <w:pPr>
        <w:pStyle w:val="ListParagraph"/>
        <w:numPr>
          <w:ilvl w:val="0"/>
          <w:numId w:val="3"/>
        </w:numPr>
        <w:spacing w:after="80" w:line="276"/>
      </w:pPr>
      <w:r>
        <w:t xml:space="preserve">What's the risk appetite for migrations — big-bang cutover vs. incremental/parallel-run?</w:t>
      </w:r>
    </w:p>
    <w:p>
      <w:pPr>
        <w:pStyle w:val="Heading2"/>
        <w:spacing w:after="120" w:before="260"/>
      </w:pPr>
      <w:r>
        <w:t xml:space="preserve">3.7 Success Definition</w:t>
      </w:r>
    </w:p>
    <w:p>
      <w:pPr>
        <w:pStyle w:val="ListParagraph"/>
        <w:numPr>
          <w:ilvl w:val="0"/>
          <w:numId w:val="3"/>
        </w:numPr>
        <w:spacing w:after="80" w:line="276"/>
      </w:pPr>
      <w:r>
        <w:t xml:space="preserve">What does success look like at the end of year 1 vs. year 2?</w:t>
      </w:r>
    </w:p>
    <w:p>
      <w:pPr>
        <w:pStyle w:val="ListParagraph"/>
        <w:numPr>
          <w:ilvl w:val="0"/>
          <w:numId w:val="3"/>
        </w:numPr>
        <w:spacing w:after="80" w:line="276"/>
      </w:pPr>
      <w:r>
        <w:t xml:space="preserve">What metrics will track execution — cost savings, uptime, provisioning time, % modernized, licensing spend reduction?</w:t>
      </w:r>
    </w:p>
    <w:p>
      <w:pPr>
        <w:pStyle w:val="Heading2"/>
        <w:spacing w:after="120" w:before="260"/>
      </w:pPr>
      <w:r>
        <w:t xml:space="preserve">3.8 Questions Sparked by the Service Catalogue Review</w:t>
      </w:r>
    </w:p>
    <w:p>
      <w:pPr>
        <w:spacing w:after="160" w:line="276"/>
      </w:pPr>
      <w:r>
        <w:t xml:space="preserve">The service catalogue documents already raised specific things worth confirming rather than assuming — bring these in directly.</w:t>
      </w:r>
    </w:p>
    <w:p>
      <w:pPr>
        <w:pStyle w:val="ListParagraph"/>
        <w:numPr>
          <w:ilvl w:val="0"/>
          <w:numId w:val="3"/>
        </w:numPr>
        <w:spacing w:after="80" w:line="276"/>
      </w:pPr>
      <w:r>
        <w:t xml:space="preserve">DB2 is listed as “deprecated service, legacy support only.” What's the remaining footprint, and is there a target retirement date?</w:t>
      </w:r>
    </w:p>
    <w:p>
      <w:pPr>
        <w:pStyle w:val="ListParagraph"/>
        <w:numPr>
          <w:ilvl w:val="0"/>
          <w:numId w:val="3"/>
        </w:numPr>
        <w:spacing w:after="80" w:line="276"/>
      </w:pPr>
      <w:r>
        <w:t xml:space="preserve">MongoDB is offered via Atlas (self-service, active on all three clouds) and PostgreSQL via AWS RDS (self-service, active). Given that reach, is an on-prem path still needed, or does Atlas already satisfy the demand — worth confirming rather than assuming a gap.</w:t>
      </w:r>
    </w:p>
    <w:p>
      <w:pPr>
        <w:pStyle w:val="ListParagraph"/>
        <w:numPr>
          <w:ilvl w:val="0"/>
          <w:numId w:val="3"/>
        </w:numPr>
        <w:spacing w:after="80" w:line="276"/>
      </w:pPr>
      <w:r>
        <w:t xml:space="preserve">RESOLVED — Oracle Exa@Azure is not TBD: it's an ARC-approved, funded initiative (Intake #290) already underway, with a decision point originally set for November 30, 2025. What was decided, and what phase is Workstream 2 in as of today? (See Section 5.4.)</w:t>
      </w:r>
    </w:p>
    <w:p>
      <w:pPr>
        <w:pStyle w:val="ListParagraph"/>
        <w:numPr>
          <w:ilvl w:val="0"/>
          <w:numId w:val="3"/>
        </w:numPr>
        <w:spacing w:after="80" w:line="276"/>
      </w:pPr>
      <w:r>
        <w:t xml:space="preserve">Current SLA targets (99.5% availability; RPO/RTO of 24 up to 96 hours) look conservative next to the Cloud Foundations Roadmap's Level 4–5 maturity targets (near-zero drift, automated failover, SLO/error budgets). Should database resilience targets rise to match, and for which workload tiers?</w:t>
      </w:r>
    </w:p>
    <w:p>
      <w:pPr>
        <w:pStyle w:val="ListParagraph"/>
        <w:numPr>
          <w:ilvl w:val="0"/>
          <w:numId w:val="3"/>
        </w:numPr>
        <w:spacing w:after="80" w:line="276"/>
      </w:pPr>
      <w:r>
        <w:t xml:space="preserve">The brochure already flags “Evolving Database DR and Resiliency patterns” as an upcoming enhancement. Is that already resourced, or is it a candidate roadmap initiative?</w:t>
      </w:r>
    </w:p>
    <w:p>
      <w:pPr>
        <w:pStyle w:val="ListParagraph"/>
        <w:numPr>
          <w:ilvl w:val="0"/>
          <w:numId w:val="3"/>
        </w:numPr>
        <w:spacing w:after="80" w:line="276"/>
      </w:pPr>
      <w:r>
        <w:t xml:space="preserve">Database services today are delivered through a managed service provider (HCL) with OCIO-based chargeback. Does the target operating model stay with this arrangement, move toward more insourcing, or shift toward more self-service — echoing the Cloud Foundations Roadmap's “Automation Everywhere” principle and its Self Service Tooling initiative?</w:t>
      </w:r>
    </w:p>
    <w:p>
      <w:pPr>
        <w:pStyle w:val="ListParagraph"/>
        <w:numPr>
          <w:ilvl w:val="0"/>
          <w:numId w:val="3"/>
        </w:numPr>
        <w:spacing w:after="80" w:line="276"/>
      </w:pPr>
      <w:r>
        <w:t xml:space="preserve">DB2's per-CPU rate ($555/month) is roughly 10x the MS SQL rate ($55/month). Is that cost differential already driving migration decisions, or is it an opportunity the roadmap should quantify and use as a forcing function?</w:t>
      </w:r>
    </w:p>
    <w:p>
      <w:pPr>
        <w:pStyle w:val="ListParagraph"/>
        <w:numPr>
          <w:ilvl w:val="0"/>
          <w:numId w:val="3"/>
        </w:numPr>
        <w:spacing w:after="80" w:line="276"/>
      </w:pPr>
      <w:r>
        <w:t xml:space="preserve">The Exa@Azure data migration method (ExaCC backup restore, export/transfer via Azure Blob, or Data Guard replication) was still undecided in the source architecture document. Has that been finalized, and does it set a pattern the roadmap should reuse for other Oracle migrations?</w:t>
      </w:r>
    </w:p>
    <w:p>
      <w:pPr>
        <w:pStyle w:val="ListParagraph"/>
        <w:numPr>
          <w:ilvl w:val="0"/>
          <w:numId w:val="3"/>
        </w:numPr>
        <w:spacing w:after="80" w:line="276"/>
      </w:pPr>
      <w:r>
        <w:t xml:space="preserve">Architecture Intake #290 already has its own ARC governance, sponsors, and delivery leads. Should this database roadmap reference it as an in-flight initiative and track its outcomes, or fully absorb it as one of the roadmap's own numbered work packages?</w:t>
      </w:r>
    </w:p>
    <w:p>
      <w:pPr>
        <w:pStyle w:val="Heading1"/>
        <w:spacing w:after="160" w:before="360"/>
      </w:pPr>
      <w:r>
        <w:t xml:space="preserve">4. Industry Landscape Primer — State of Database Services (2026)</w:t>
      </w:r>
    </w:p>
    <w:p>
      <w:pPr>
        <w:spacing w:after="160" w:line="276"/>
      </w:pPr>
      <w:r>
        <w:t xml:space="preserve">A fast-start briefing so you can hold your own in the discovery sessions. Treat it as a starting point, not a substitute for what you'll learn from your own estate and stakeholders.</w:t>
      </w:r>
    </w:p>
    <w:p>
      <w:pPr>
        <w:pStyle w:val="Heading2"/>
        <w:spacing w:after="120" w:before="260"/>
      </w:pPr>
      <w:r>
        <w:t xml:space="preserve">4.1 The Big Shifts</w:t>
      </w:r>
    </w:p>
    <w:p>
      <w:pPr>
        <w:pStyle w:val="ListParagraph"/>
        <w:numPr>
          <w:ilvl w:val="0"/>
          <w:numId w:val="3"/>
        </w:numPr>
        <w:spacing w:after="90" w:line="276"/>
      </w:pPr>
      <w:r>
        <w:rPr>
          <w:b/>
          <w:bCs/>
        </w:rPr>
        <w:t xml:space="preserve">AI-readiness is now a first-class design goal. </w:t>
      </w:r>
      <w:r>
        <w:t xml:space="preserve">Vector databases and vector-native engines (for embeddings and LLM retrieval) have moved from niche to mainstream enterprise requirement; “AI-ready” data increasingly means real-time, contextualized, and governed data products rather than static extracts.</w:t>
      </w:r>
    </w:p>
    <w:p>
      <w:pPr>
        <w:pStyle w:val="ListParagraph"/>
        <w:numPr>
          <w:ilvl w:val="0"/>
          <w:numId w:val="3"/>
        </w:numPr>
        <w:spacing w:after="90" w:line="276"/>
      </w:pPr>
      <w:r>
        <w:rPr>
          <w:b/>
          <w:bCs/>
        </w:rPr>
        <w:t xml:space="preserve">Cloud-native and serverless are the default for new workloads. </w:t>
      </w:r>
      <w:r>
        <w:t xml:space="preserve">Modern cloud-native databases (e.g., Neon, PlanetScale-style platforms) support horizontal scaling, automated failover, declarative management via Kubernetes operators, and integration with modern observability stacks. Serverless compute that auto-pauses/resumes is now common even in traditionally heavyweight platforms (e.g., Azure SQL Hyperscale).</w:t>
      </w:r>
    </w:p>
    <w:p>
      <w:pPr>
        <w:pStyle w:val="ListParagraph"/>
        <w:numPr>
          <w:ilvl w:val="0"/>
          <w:numId w:val="3"/>
        </w:numPr>
        <w:spacing w:after="90" w:line="276"/>
      </w:pPr>
      <w:r>
        <w:rPr>
          <w:b/>
          <w:bCs/>
        </w:rPr>
        <w:t xml:space="preserve">Multi-model is displacing single-purpose sprawl. </w:t>
      </w:r>
      <w:r>
        <w:t xml:space="preserve">Databases that support relational, document, graph, and vector workloads in one engine are reducing the need to run a separate specialized store for every data shape, though specialized services (time-series, graph) remain common for demanding workloads.</w:t>
      </w:r>
    </w:p>
    <w:p>
      <w:pPr>
        <w:pStyle w:val="ListParagraph"/>
        <w:numPr>
          <w:ilvl w:val="0"/>
          <w:numId w:val="3"/>
        </w:numPr>
        <w:spacing w:after="90" w:line="276"/>
      </w:pPr>
      <w:r>
        <w:rPr>
          <w:b/>
          <w:bCs/>
        </w:rPr>
        <w:t xml:space="preserve">DBaaS adoption keeps accelerating. </w:t>
      </w:r>
      <w:r>
        <w:t xml:space="preserve">The cloud database/DBaaS market was valued at roughly $25–26B in 2025 and is projected to grow at a mid-to-high-teens CAGR through the mid-2030s, as organizations replace self-managed infrastructure with managed platforms for flexibility, speed, and lower operational overhead.</w:t>
      </w:r>
    </w:p>
    <w:p>
      <w:pPr>
        <w:pStyle w:val="ListParagraph"/>
        <w:numPr>
          <w:ilvl w:val="0"/>
          <w:numId w:val="3"/>
        </w:numPr>
        <w:spacing w:after="90" w:line="276"/>
      </w:pPr>
      <w:r>
        <w:rPr>
          <w:b/>
          <w:bCs/>
        </w:rPr>
        <w:t xml:space="preserve">Governance is shifting from checklist to embedded control. </w:t>
      </w:r>
      <w:r>
        <w:t xml:space="preserve">The emerging model is “federated computational governance” — central IT sets hard boundaries (security, compliance) while domains own their data products; governance is increasingly automated and embedded into pipelines rather than enforced after the fact. Zero-trust is becoming the default security posture for data environments.</w:t>
      </w:r>
    </w:p>
    <w:p>
      <w:pPr>
        <w:pStyle w:val="ListParagraph"/>
        <w:numPr>
          <w:ilvl w:val="0"/>
          <w:numId w:val="3"/>
        </w:numPr>
        <w:spacing w:after="90" w:line="276"/>
      </w:pPr>
      <w:r>
        <w:rPr>
          <w:b/>
          <w:bCs/>
        </w:rPr>
        <w:t xml:space="preserve">Licensing economics are pushing migration off legacy platforms. </w:t>
      </w:r>
      <w:r>
        <w:t xml:space="preserve">Oracle and SQL Server Enterprise licensing remains a major cost driver — Oracle's 2026 Standard Edition 2 changes made SE2 notably costlier, prompting many enterprises to re-evaluate. PostgreSQL has become the most-used database among developers and is now the default target for organizations exiting proprietary licenses, with documented cases of 60–80%+ run-cost reduction after migration.</w:t>
      </w:r>
    </w:p>
    <w:p>
      <w:pPr>
        <w:pStyle w:val="Heading2"/>
        <w:spacing w:after="120" w:before="260"/>
      </w:pPr>
      <w:r>
        <w:t xml:space="preserve">4.2 Hyperscaler Database Portfolios (for benchmarking your own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20"/>
                <w:szCs w:val="20"/>
              </w:rPr>
              <w:t xml:space="preserve">Provider</w:t>
            </w:r>
          </w:p>
        </w:tc>
        <w:tc>
          <w:tcPr>
            <w:tcW w:type="dxa" w:w="7160"/>
            <w:shd w:fill="1F3864" w:val="clear"/>
            <w:tcMar>
              <w:top w:type="dxa" w:w="100"/>
              <w:left w:type="dxa" w:w="120"/>
              <w:bottom w:type="dxa" w:w="100"/>
              <w:right w:type="dxa" w:w="120"/>
            </w:tcMar>
            <w:vAlign w:val="center"/>
          </w:tcPr>
          <w:p>
            <w:pPr>
              <w:jc w:val="left"/>
            </w:pPr>
            <w:r>
              <w:rPr>
                <w:b/>
                <w:bCs/>
                <w:color w:val="FFFFFF"/>
                <w:sz w:val="20"/>
                <w:szCs w:val="20"/>
              </w:rPr>
              <w:t xml:space="preserve">Notable Database Portfolio</w:t>
            </w:r>
          </w:p>
        </w:tc>
      </w:tr>
      <w:tr>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AWS</w:t>
            </w:r>
          </w:p>
        </w:tc>
        <w:tc>
          <w:tcPr>
            <w:tcW w:type="dxa" w:w="7160"/>
            <w:shd w:fill="FFFFFF" w:val="clear"/>
            <w:tcMar>
              <w:top w:type="dxa" w:w="100"/>
              <w:left w:type="dxa" w:w="120"/>
              <w:bottom w:type="dxa" w:w="100"/>
              <w:right w:type="dxa" w:w="120"/>
            </w:tcMar>
            <w:vAlign w:val="center"/>
          </w:tcPr>
          <w:p>
            <w:pPr>
              <w:jc w:val="left"/>
            </w:pPr>
            <w:r>
              <w:rPr>
                <w:b w:val="false"/>
                <w:bCs w:val="false"/>
                <w:sz w:val="20"/>
                <w:szCs w:val="20"/>
              </w:rPr>
              <w:t xml:space="preserve">Broadest portfolio: RDS (managed relational), Aurora (MySQL/PostgreSQL-compatible, high performance), DynamoDB (managed NoSQL), ElastiCache (Redis/Memcached), Neptune (graph), Timestream (time-series). Largest service breadth and partner ecosystem.</w:t>
            </w:r>
          </w:p>
        </w:tc>
      </w:tr>
      <w:tr>
        <w:tc>
          <w:tcPr>
            <w:tcW w:type="dxa" w:w="2200"/>
            <w:shd w:fill="F2F2F2" w:val="clear"/>
            <w:tcMar>
              <w:top w:type="dxa" w:w="100"/>
              <w:left w:type="dxa" w:w="120"/>
              <w:bottom w:type="dxa" w:w="100"/>
              <w:right w:type="dxa" w:w="120"/>
            </w:tcMar>
            <w:vAlign w:val="center"/>
          </w:tcPr>
          <w:p>
            <w:pPr>
              <w:jc w:val="left"/>
            </w:pPr>
            <w:r>
              <w:rPr>
                <w:b w:val="false"/>
                <w:bCs w:val="false"/>
                <w:sz w:val="20"/>
                <w:szCs w:val="20"/>
              </w:rPr>
              <w:t xml:space="preserve">Microsoft Azure</w:t>
            </w:r>
          </w:p>
        </w:tc>
        <w:tc>
          <w:tcPr>
            <w:tcW w:type="dxa" w:w="7160"/>
            <w:shd w:fill="F2F2F2" w:val="clear"/>
            <w:tcMar>
              <w:top w:type="dxa" w:w="100"/>
              <w:left w:type="dxa" w:w="120"/>
              <w:bottom w:type="dxa" w:w="100"/>
              <w:right w:type="dxa" w:w="120"/>
            </w:tcMar>
            <w:vAlign w:val="center"/>
          </w:tcPr>
          <w:p>
            <w:pPr>
              <w:jc w:val="left"/>
            </w:pPr>
            <w:r>
              <w:rPr>
                <w:b w:val="false"/>
                <w:bCs w:val="false"/>
                <w:sz w:val="20"/>
                <w:szCs w:val="20"/>
              </w:rPr>
              <w:t xml:space="preserve">Azure SQL Database (deep SQL Server compatibility, Hyperscale up to 100TB, serverless auto-pause), Cosmos DB (globally distributed, multiple consistency models), Azure Database for PostgreSQL Flexible Server (much improved feature parity).</w:t>
            </w:r>
          </w:p>
        </w:tc>
      </w:tr>
      <w:tr>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Google Cloud</w:t>
            </w:r>
          </w:p>
        </w:tc>
        <w:tc>
          <w:tcPr>
            <w:tcW w:type="dxa" w:w="7160"/>
            <w:shd w:fill="FFFFFF" w:val="clear"/>
            <w:tcMar>
              <w:top w:type="dxa" w:w="100"/>
              <w:left w:type="dxa" w:w="120"/>
              <w:bottom w:type="dxa" w:w="100"/>
              <w:right w:type="dxa" w:w="120"/>
            </w:tcMar>
            <w:vAlign w:val="center"/>
          </w:tcPr>
          <w:p>
            <w:pPr>
              <w:jc w:val="left"/>
            </w:pPr>
            <w:r>
              <w:rPr>
                <w:b w:val="false"/>
                <w:bCs w:val="false"/>
                <w:sz w:val="20"/>
                <w:szCs w:val="20"/>
              </w:rPr>
              <w:t xml:space="preserve">Cloud SQL (managed MySQL/PostgreSQL/SQL Server), Cloud Spanner (horizontally scalable, strongly consistent — a distinctive market position), AlloyDB (PostgreSQL-compatible, analytics-oriented).</w:t>
            </w:r>
          </w:p>
        </w:tc>
      </w:tr>
    </w:tbl>
    <w:p>
      <w:pPr>
        <w:spacing w:before="200"/>
      </w:pPr>
    </w:p>
    <w:p>
      <w:pPr>
        <w:pStyle w:val="Heading2"/>
        <w:spacing w:after="120" w:before="260"/>
      </w:pPr>
      <w:r>
        <w:t xml:space="preserve">4.3 Themes Worth Probing With Your Stakeholders</w:t>
      </w:r>
    </w:p>
    <w:p>
      <w:pPr>
        <w:pStyle w:val="ListParagraph"/>
        <w:numPr>
          <w:ilvl w:val="0"/>
          <w:numId w:val="3"/>
        </w:numPr>
        <w:spacing w:after="80" w:line="276"/>
      </w:pPr>
      <w:r>
        <w:t xml:space="preserve">Where does the current estate sit on the legacy-licensing exposure curve (Oracle/SQL Server Enterprise), and is a licensing renewal a forcing function you can use as a roadmap catalyst?</w:t>
      </w:r>
    </w:p>
    <w:p>
      <w:pPr>
        <w:pStyle w:val="ListParagraph"/>
        <w:numPr>
          <w:ilvl w:val="0"/>
          <w:numId w:val="3"/>
        </w:numPr>
        <w:spacing w:after="80" w:line="276"/>
      </w:pPr>
      <w:r>
        <w:t xml:space="preserve">Is there emerging, ungoverned demand for vector/AI-ready data stores from ML or analytics teams that the roadmap should get ahead of?</w:t>
      </w:r>
    </w:p>
    <w:p>
      <w:pPr>
        <w:pStyle w:val="ListParagraph"/>
        <w:numPr>
          <w:ilvl w:val="0"/>
          <w:numId w:val="3"/>
        </w:numPr>
        <w:spacing w:after="80" w:line="276"/>
      </w:pPr>
      <w:r>
        <w:t xml:space="preserve">Does the organization's multi-cloud posture (from the cloud roadmap) constrain or open up database placement options?</w:t>
      </w:r>
    </w:p>
    <w:p>
      <w:pPr>
        <w:pStyle w:val="ListParagraph"/>
        <w:numPr>
          <w:ilvl w:val="0"/>
          <w:numId w:val="3"/>
        </w:numPr>
        <w:spacing w:after="80" w:line="276"/>
      </w:pPr>
      <w:r>
        <w:t xml:space="preserve">What's the organization's actual governance maturity — checklist-based today, or ready to move toward embedded/automated controls?</w:t>
      </w:r>
    </w:p>
    <w:p>
      <w:pPr>
        <w:pStyle w:val="Heading2"/>
        <w:spacing w:after="120" w:before="260"/>
      </w:pPr>
      <w:r>
        <w:t xml:space="preserve">Sources</w:t>
      </w:r>
    </w:p>
    <w:p>
      <w:pPr>
        <w:pStyle w:val="ListParagraph"/>
        <w:numPr>
          <w:ilvl w:val="0"/>
          <w:numId w:val="3"/>
        </w:numPr>
        <w:spacing w:after="80" w:line="276"/>
      </w:pPr>
      <w:r>
        <w:t xml:space="preserve">Cloud Database and DBaaS market analysis — datainsightsmarket.com, openpr.com</w:t>
      </w:r>
    </w:p>
    <w:p>
      <w:pPr>
        <w:pStyle w:val="ListParagraph"/>
        <w:numPr>
          <w:ilvl w:val="0"/>
          <w:numId w:val="3"/>
        </w:numPr>
        <w:spacing w:after="80" w:line="276"/>
      </w:pPr>
      <w:r>
        <w:t xml:space="preserve">On-prem DBaaS platforms and standards, 2026 — CNCF blog (cncf.io)</w:t>
      </w:r>
    </w:p>
    <w:p>
      <w:pPr>
        <w:pStyle w:val="ListParagraph"/>
        <w:numPr>
          <w:ilvl w:val="0"/>
          <w:numId w:val="3"/>
        </w:numPr>
        <w:spacing w:after="80" w:line="276"/>
      </w:pPr>
      <w:r>
        <w:t xml:space="preserve">Cloud-native database guide, 2026 — Tasrie IT Services</w:t>
      </w:r>
    </w:p>
    <w:p>
      <w:pPr>
        <w:pStyle w:val="ListParagraph"/>
        <w:numPr>
          <w:ilvl w:val="0"/>
          <w:numId w:val="3"/>
        </w:numPr>
        <w:spacing w:after="80" w:line="276"/>
      </w:pPr>
      <w:r>
        <w:t xml:space="preserve">2026 data architecture, governance, and AI predictions — Cloudera blog</w:t>
      </w:r>
    </w:p>
    <w:p>
      <w:pPr>
        <w:pStyle w:val="ListParagraph"/>
        <w:numPr>
          <w:ilvl w:val="0"/>
          <w:numId w:val="3"/>
        </w:numPr>
        <w:spacing w:after="80" w:line="276"/>
      </w:pPr>
      <w:r>
        <w:t xml:space="preserve">Data modernization and enterprise data architecture guides, 2026 — ness.com, dataforest.ai, Alation</w:t>
      </w:r>
    </w:p>
    <w:p>
      <w:pPr>
        <w:pStyle w:val="ListParagraph"/>
        <w:numPr>
          <w:ilvl w:val="0"/>
          <w:numId w:val="3"/>
        </w:numPr>
        <w:spacing w:after="80" w:line="276"/>
      </w:pPr>
      <w:r>
        <w:t xml:space="preserve">AWS vs. Azure vs. GCP database service comparisons, 2026 — calmops.com, valley4techs.com, kodekloud.com</w:t>
      </w:r>
    </w:p>
    <w:p>
      <w:pPr>
        <w:pStyle w:val="ListParagraph"/>
        <w:numPr>
          <w:ilvl w:val="0"/>
          <w:numId w:val="3"/>
        </w:numPr>
        <w:spacing w:after="80" w:line="276"/>
      </w:pPr>
      <w:r>
        <w:t xml:space="preserve">Oracle SE2 licensing changes and PostgreSQL migration economics, 2026 — thenegotiationexperts.com, tech-insider.org, mactores.com, newtglobal.com</w:t>
      </w:r>
    </w:p>
    <w:p>
      <w:pPr>
        <w:pStyle w:val="Heading1"/>
        <w:spacing w:after="160" w:before="360"/>
      </w:pPr>
      <w:r>
        <w:t xml:space="preserve">5. What We Already Know — Current Database Estate</w:t>
      </w:r>
    </w:p>
    <w:p>
      <w:pPr>
        <w:spacing w:after="160" w:line="276"/>
      </w:pPr>
      <w:r>
        <w:t xml:space="preserve">The two documents your Product Owner shared already answer several current-state questions from Section 3. Treat everything below as a documented starting hypothesis to confirm in discovery, not settled fact.</w:t>
      </w:r>
    </w:p>
    <w:p>
      <w:pPr>
        <w:pStyle w:val="Heading2"/>
        <w:spacing w:after="120" w:before="260"/>
      </w:pPr>
      <w:r>
        <w:t xml:space="preserve">5.1 Supported Technologies &amp; Hosting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Technology</w:t>
            </w:r>
          </w:p>
        </w:tc>
        <w:tc>
          <w:tcPr>
            <w:tcW w:type="dxa" w:w="6960"/>
            <w:shd w:fill="1F3864" w:val="clear"/>
            <w:tcMar>
              <w:top w:type="dxa" w:w="100"/>
              <w:left w:type="dxa" w:w="120"/>
              <w:bottom w:type="dxa" w:w="100"/>
              <w:right w:type="dxa" w:w="120"/>
            </w:tcMar>
            <w:vAlign w:val="center"/>
          </w:tcPr>
          <w:p>
            <w:pPr>
              <w:jc w:val="left"/>
            </w:pPr>
            <w:r>
              <w:rPr>
                <w:b/>
                <w:bCs/>
                <w:color w:val="FFFFFF"/>
                <w:sz w:val="20"/>
                <w:szCs w:val="20"/>
              </w:rPr>
              <w:t xml:space="preserve">Status / Hosting Notes</w:t>
            </w:r>
          </w:p>
        </w:tc>
      </w:tr>
      <w:tr>
        <w:tc>
          <w:tcPr>
            <w:tcW w:type="dxa" w:w="2400"/>
            <w:shd w:fill="FFFFFF" w:val="clear"/>
            <w:tcMar>
              <w:top w:type="dxa" w:w="100"/>
              <w:left w:type="dxa" w:w="120"/>
              <w:bottom w:type="dxa" w:w="100"/>
              <w:right w:type="dxa" w:w="120"/>
            </w:tcMar>
            <w:vAlign w:val="center"/>
          </w:tcPr>
          <w:p>
            <w:pPr>
              <w:jc w:val="left"/>
            </w:pPr>
            <w:r>
              <w:rPr>
                <w:b w:val="false"/>
                <w:bCs w:val="false"/>
                <w:sz w:val="20"/>
                <w:szCs w:val="20"/>
              </w:rPr>
              <w:t xml:space="preserve">Oracle Database</w:t>
            </w:r>
          </w:p>
        </w:tc>
        <w:tc>
          <w:tcPr>
            <w:tcW w:type="dxa" w:w="6960"/>
            <w:shd w:fill="FFFFFF" w:val="clear"/>
            <w:tcMar>
              <w:top w:type="dxa" w:w="100"/>
              <w:left w:type="dxa" w:w="120"/>
              <w:bottom w:type="dxa" w:w="100"/>
              <w:right w:type="dxa" w:w="120"/>
            </w:tcMar>
            <w:vAlign w:val="center"/>
          </w:tcPr>
          <w:p>
            <w:pPr>
              <w:jc w:val="left"/>
            </w:pPr>
            <w:r>
              <w:rPr>
                <w:b w:val="false"/>
                <w:bCs w:val="false"/>
                <w:sz w:val="20"/>
                <w:szCs w:val="20"/>
              </w:rPr>
              <w:t xml:space="preserve">On-prem (WDC/SDC data centres) plus Oracle Exadata Cloud at Customer, hardware managed remotely by Oracle. CONFIRMED (not TBD): a funded, ARC-approved initiative (Intake #290, “I&amp;O ExaData in Azure”) is already moving this to Exa@Azure — see 5.5.</w:t>
            </w:r>
          </w:p>
        </w:tc>
      </w:tr>
      <w:tr>
        <w:tc>
          <w:tcPr>
            <w:tcW w:type="dxa" w:w="2400"/>
            <w:shd w:fill="F2F2F2" w:val="clear"/>
            <w:tcMar>
              <w:top w:type="dxa" w:w="100"/>
              <w:left w:type="dxa" w:w="120"/>
              <w:bottom w:type="dxa" w:w="100"/>
              <w:right w:type="dxa" w:w="120"/>
            </w:tcMar>
            <w:vAlign w:val="center"/>
          </w:tcPr>
          <w:p>
            <w:pPr>
              <w:jc w:val="left"/>
            </w:pPr>
            <w:r>
              <w:rPr>
                <w:b w:val="false"/>
                <w:bCs w:val="false"/>
                <w:sz w:val="20"/>
                <w:szCs w:val="20"/>
              </w:rPr>
              <w:t xml:space="preserve">MS SQL Database</w:t>
            </w:r>
          </w:p>
        </w:tc>
        <w:tc>
          <w:tcPr>
            <w:tcW w:type="dxa" w:w="6960"/>
            <w:shd w:fill="F2F2F2" w:val="clear"/>
            <w:tcMar>
              <w:top w:type="dxa" w:w="100"/>
              <w:left w:type="dxa" w:w="120"/>
              <w:bottom w:type="dxa" w:w="100"/>
              <w:right w:type="dxa" w:w="120"/>
            </w:tcMar>
            <w:vAlign w:val="center"/>
          </w:tcPr>
          <w:p>
            <w:pPr>
              <w:jc w:val="left"/>
            </w:pPr>
            <w:r>
              <w:rPr>
                <w:b w:val="false"/>
                <w:bCs w:val="false"/>
                <w:sz w:val="20"/>
                <w:szCs w:val="20"/>
              </w:rPr>
              <w:t xml:space="preserve">On-prem plus Azure SQL Managed Instance (ACTIVE, self-service in the public cloud catalogue) and AWS RDS SQL Server (ACTIVE, self-service, Canada Central/West), both on passthrough pricing.</w:t>
            </w:r>
          </w:p>
        </w:tc>
      </w:tr>
      <w:tr>
        <w:tc>
          <w:tcPr>
            <w:tcW w:type="dxa" w:w="2400"/>
            <w:shd w:fill="FFFFFF" w:val="clear"/>
            <w:tcMar>
              <w:top w:type="dxa" w:w="100"/>
              <w:left w:type="dxa" w:w="120"/>
              <w:bottom w:type="dxa" w:w="100"/>
              <w:right w:type="dxa" w:w="120"/>
            </w:tcMar>
            <w:vAlign w:val="center"/>
          </w:tcPr>
          <w:p>
            <w:pPr>
              <w:jc w:val="left"/>
            </w:pPr>
            <w:r>
              <w:rPr>
                <w:b w:val="false"/>
                <w:bCs w:val="false"/>
                <w:sz w:val="20"/>
                <w:szCs w:val="20"/>
              </w:rPr>
              <w:t xml:space="preserve">DB2 Database</w:t>
            </w:r>
          </w:p>
        </w:tc>
        <w:tc>
          <w:tcPr>
            <w:tcW w:type="dxa" w:w="6960"/>
            <w:shd w:fill="FFFFFF" w:val="clear"/>
            <w:tcMar>
              <w:top w:type="dxa" w:w="100"/>
              <w:left w:type="dxa" w:w="120"/>
              <w:bottom w:type="dxa" w:w="100"/>
              <w:right w:type="dxa" w:w="120"/>
            </w:tcMar>
            <w:vAlign w:val="center"/>
          </w:tcPr>
          <w:p>
            <w:pPr>
              <w:jc w:val="left"/>
            </w:pPr>
            <w:r>
              <w:rPr>
                <w:b w:val="false"/>
                <w:bCs w:val="false"/>
                <w:sz w:val="20"/>
                <w:szCs w:val="20"/>
              </w:rPr>
              <w:t xml:space="preserve">Deprecated service — existing legacy support only, no indication of new provisioning.</w:t>
            </w:r>
          </w:p>
        </w:tc>
      </w:tr>
      <w:tr>
        <w:tc>
          <w:tcPr>
            <w:tcW w:type="dxa" w:w="2400"/>
            <w:shd w:fill="F2F2F2" w:val="clear"/>
            <w:tcMar>
              <w:top w:type="dxa" w:w="100"/>
              <w:left w:type="dxa" w:w="120"/>
              <w:bottom w:type="dxa" w:w="100"/>
              <w:right w:type="dxa" w:w="120"/>
            </w:tcMar>
            <w:vAlign w:val="center"/>
          </w:tcPr>
          <w:p>
            <w:pPr>
              <w:jc w:val="left"/>
            </w:pPr>
            <w:r>
              <w:rPr>
                <w:b w:val="false"/>
                <w:bCs w:val="false"/>
                <w:sz w:val="20"/>
                <w:szCs w:val="20"/>
              </w:rPr>
              <w:t xml:space="preserve">MongoDB (NoSQL)</w:t>
            </w:r>
          </w:p>
        </w:tc>
        <w:tc>
          <w:tcPr>
            <w:tcW w:type="dxa" w:w="6960"/>
            <w:shd w:fill="F2F2F2" w:val="clear"/>
            <w:tcMar>
              <w:top w:type="dxa" w:w="100"/>
              <w:left w:type="dxa" w:w="120"/>
              <w:bottom w:type="dxa" w:w="100"/>
              <w:right w:type="dxa" w:w="120"/>
            </w:tcMar>
            <w:vAlign w:val="center"/>
          </w:tcPr>
          <w:p>
            <w:pPr>
              <w:jc w:val="left"/>
            </w:pPr>
            <w:r>
              <w:rPr>
                <w:b w:val="false"/>
                <w:bCs w:val="false"/>
                <w:sz w:val="20"/>
                <w:szCs w:val="20"/>
              </w:rPr>
              <w:t xml:space="preserve">CORRECTED: MongoDB Atlas is ACTIVE and self-service across all three clouds (AWS Canada Central/West, Azure Canada Central, GCP Toronto/Montreal) per the Public Cloud Service Catalog — broader reach than “cloud only, limited” suggested.</w:t>
            </w:r>
          </w:p>
        </w:tc>
      </w:tr>
      <w:tr>
        <w:tc>
          <w:tcPr>
            <w:tcW w:type="dxa" w:w="2400"/>
            <w:shd w:fill="FFFFFF" w:val="clear"/>
            <w:tcMar>
              <w:top w:type="dxa" w:w="100"/>
              <w:left w:type="dxa" w:w="120"/>
              <w:bottom w:type="dxa" w:w="100"/>
              <w:right w:type="dxa" w:w="120"/>
            </w:tcMar>
            <w:vAlign w:val="center"/>
          </w:tcPr>
          <w:p>
            <w:pPr>
              <w:jc w:val="left"/>
            </w:pPr>
            <w:r>
              <w:rPr>
                <w:b w:val="false"/>
                <w:bCs w:val="false"/>
                <w:sz w:val="20"/>
                <w:szCs w:val="20"/>
              </w:rPr>
              <w:t xml:space="preserve">PostgreSQL</w:t>
            </w:r>
          </w:p>
        </w:tc>
        <w:tc>
          <w:tcPr>
            <w:tcW w:type="dxa" w:w="6960"/>
            <w:shd w:fill="FFFFFF" w:val="clear"/>
            <w:tcMar>
              <w:top w:type="dxa" w:w="100"/>
              <w:left w:type="dxa" w:w="120"/>
              <w:bottom w:type="dxa" w:w="100"/>
              <w:right w:type="dxa" w:w="120"/>
            </w:tcMar>
            <w:vAlign w:val="center"/>
          </w:tcPr>
          <w:p>
            <w:pPr>
              <w:jc w:val="left"/>
            </w:pPr>
            <w:r>
              <w:rPr>
                <w:b w:val="false"/>
                <w:bCs w:val="false"/>
                <w:sz w:val="20"/>
                <w:szCs w:val="20"/>
              </w:rPr>
              <w:t xml:space="preserve">AWS RDS PostgreSQL is ACTIVE and self-service, but Canada Central region only (not West) — cloud-only via AWS today, per the same catalogue.</w:t>
            </w:r>
          </w:p>
        </w:tc>
      </w:tr>
      <w:tr>
        <w:tc>
          <w:tcPr>
            <w:tcW w:type="dxa" w:w="2400"/>
            <w:shd w:fill="F2F2F2" w:val="clear"/>
            <w:tcMar>
              <w:top w:type="dxa" w:w="100"/>
              <w:left w:type="dxa" w:w="120"/>
              <w:bottom w:type="dxa" w:w="100"/>
              <w:right w:type="dxa" w:w="120"/>
            </w:tcMar>
            <w:vAlign w:val="center"/>
          </w:tcPr>
          <w:p>
            <w:pPr>
              <w:jc w:val="left"/>
            </w:pPr>
            <w:r>
              <w:rPr>
                <w:b w:val="false"/>
                <w:bCs w:val="false"/>
                <w:sz w:val="20"/>
                <w:szCs w:val="20"/>
              </w:rPr>
              <w:t xml:space="preserve">Legacy → Cloud Migration</w:t>
            </w:r>
          </w:p>
        </w:tc>
        <w:tc>
          <w:tcPr>
            <w:tcW w:type="dxa" w:w="6960"/>
            <w:shd w:fill="F2F2F2" w:val="clear"/>
            <w:tcMar>
              <w:top w:type="dxa" w:w="100"/>
              <w:left w:type="dxa" w:w="120"/>
              <w:bottom w:type="dxa" w:w="100"/>
              <w:right w:type="dxa" w:w="120"/>
            </w:tcMar>
            <w:vAlign w:val="center"/>
          </w:tcPr>
          <w:p>
            <w:pPr>
              <w:jc w:val="left"/>
            </w:pPr>
            <w:r>
              <w:rPr>
                <w:b w:val="false"/>
                <w:bCs w:val="false"/>
                <w:sz w:val="20"/>
                <w:szCs w:val="20"/>
              </w:rPr>
              <w:t xml:space="preserve">AWS Database Migration Service (DMS) is listed as DRAFT (still onboarding) in the public cloud catalogue — the migration capability is real but not yet a mature, self-service offering. Treat “already offered” as directionally true, not fully turnkey.</w:t>
            </w:r>
          </w:p>
        </w:tc>
      </w:tr>
    </w:tbl>
    <w:p>
      <w:pPr>
        <w:spacing w:before="200"/>
      </w:pPr>
    </w:p>
    <w:p>
      <w:pPr>
        <w:pStyle w:val="Heading2"/>
        <w:spacing w:after="120" w:before="260"/>
      </w:pPr>
      <w:r>
        <w:t xml:space="preserve">5.2 The Service Catalogue Is Already Domain-Shaped</w:t>
      </w:r>
    </w:p>
    <w:p>
      <w:pPr>
        <w:spacing w:after="160" w:line="276"/>
      </w:pPr>
      <w:r>
        <w:t xml:space="preserve">Useful head start: the Database Engineering &amp; Operations Service Catalogue already breaks into 8 engineering categories and 9 operations categories, and these map cleanly onto the same “strategic domain” pattern the Cloud Foundations Roadmap uses. Section 6.3 builds on this mapping directly.</w:t>
      </w:r>
    </w:p>
    <w:p>
      <w:pPr>
        <w:pStyle w:val="ListParagraph"/>
        <w:numPr>
          <w:ilvl w:val="0"/>
          <w:numId w:val="3"/>
        </w:numPr>
        <w:spacing w:after="80" w:line="276"/>
      </w:pPr>
      <w:r>
        <w:t xml:space="preserve">Database Platform Architecture &amp; Standards, Provisioning &amp; Onboarding → Foundation</w:t>
      </w:r>
    </w:p>
    <w:p>
      <w:pPr>
        <w:pStyle w:val="ListParagraph"/>
        <w:numPr>
          <w:ilvl w:val="0"/>
          <w:numId w:val="3"/>
        </w:numPr>
        <w:spacing w:after="80" w:line="276"/>
      </w:pPr>
      <w:r>
        <w:t xml:space="preserve">Database Security Engineering, Access Management → Security</w:t>
      </w:r>
    </w:p>
    <w:p>
      <w:pPr>
        <w:pStyle w:val="ListParagraph"/>
        <w:numPr>
          <w:ilvl w:val="0"/>
          <w:numId w:val="3"/>
        </w:numPr>
        <w:spacing w:after="80" w:line="276"/>
      </w:pPr>
      <w:r>
        <w:t xml:space="preserve">Data Movement &amp; Integration, Change Management, Lifecycle &amp; Patch Management → Governance</w:t>
      </w:r>
    </w:p>
    <w:p>
      <w:pPr>
        <w:pStyle w:val="ListParagraph"/>
        <w:numPr>
          <w:ilvl w:val="0"/>
          <w:numId w:val="3"/>
        </w:numPr>
        <w:spacing w:after="80" w:line="276"/>
      </w:pPr>
      <w:r>
        <w:t xml:space="preserve">Database Modernization &amp; Cloud Engineering, Capacity &amp; Performance Engineering, Performance Tuning → Platform &amp; Services</w:t>
      </w:r>
    </w:p>
    <w:p>
      <w:pPr>
        <w:pStyle w:val="ListParagraph"/>
        <w:numPr>
          <w:ilvl w:val="0"/>
          <w:numId w:val="3"/>
        </w:numPr>
        <w:spacing w:after="80" w:line="276"/>
      </w:pPr>
      <w:r>
        <w:t xml:space="preserve">Database Infrastructure Cost Optimization &amp; License Governance → Cost &amp; Optimization</w:t>
      </w:r>
    </w:p>
    <w:p>
      <w:pPr>
        <w:pStyle w:val="ListParagraph"/>
        <w:numPr>
          <w:ilvl w:val="0"/>
          <w:numId w:val="3"/>
        </w:numPr>
        <w:spacing w:after="80" w:line="276"/>
      </w:pPr>
      <w:r>
        <w:t xml:space="preserve">Database Platform Engineering, Automation &amp; Tooling → Automation</w:t>
      </w:r>
    </w:p>
    <w:p>
      <w:pPr>
        <w:pStyle w:val="Heading2"/>
        <w:spacing w:after="120" w:before="260"/>
      </w:pPr>
      <w:r>
        <w:t xml:space="preserve">5.3 Operating Model &amp; Cost Snapshot</w:t>
      </w:r>
    </w:p>
    <w:p>
      <w:pPr>
        <w:pStyle w:val="ListParagraph"/>
        <w:numPr>
          <w:ilvl w:val="0"/>
          <w:numId w:val="3"/>
        </w:numPr>
        <w:spacing w:after="80" w:line="276"/>
      </w:pPr>
      <w:r>
        <w:t xml:space="preserve">Delivered through a managed service provider (HCL performs L1–L3 DBA support, 24/7 on-call, monthly SLA/incident/consumption reporting); OCIO handles chargeback billing to charge codes.</w:t>
      </w:r>
    </w:p>
    <w:p>
      <w:pPr>
        <w:pStyle w:val="ListParagraph"/>
        <w:numPr>
          <w:ilvl w:val="0"/>
          <w:numId w:val="3"/>
        </w:numPr>
        <w:spacing w:after="80" w:line="276"/>
      </w:pPr>
      <w:r>
        <w:t xml:space="preserve">Unit pricing: Oracle operations ≈ $150/instance/month; MS SQL ≈ $55/allocated CPU/month; DB2 ≈ $555/allocated CPU/month (a striking cost outlier that reinforces its deprecated status); Oracle Exadata Cloud at Customer ≈ $1/GB of allocated live database file space/month (bundles CPU, memory, storage, backups, and DR); Azure/AWS managed services are passthrough-priced.</w:t>
      </w:r>
    </w:p>
    <w:p>
      <w:pPr>
        <w:pStyle w:val="ListParagraph"/>
        <w:numPr>
          <w:ilvl w:val="0"/>
          <w:numId w:val="3"/>
        </w:numPr>
        <w:spacing w:after="80" w:line="276"/>
      </w:pPr>
      <w:r>
        <w:t xml:space="preserve">Service Level Target: 99.5% availability; support is Business Hours for non-prod and 24×7 for production; RPO/RTO ranges from ≤24 hours up to 96 hours depending on recovery tier.</w:t>
      </w:r>
    </w:p>
    <w:p>
      <w:pPr>
        <w:pStyle w:val="ListParagraph"/>
        <w:numPr>
          <w:ilvl w:val="0"/>
          <w:numId w:val="3"/>
        </w:numPr>
        <w:spacing w:after="80" w:line="276"/>
      </w:pPr>
      <w:r>
        <w:t xml:space="preserve">Already flagged in the brochure's “Upcoming Enhancements”: evolving database DR and resiliency patterns — a named, if not yet scoped, initiative candidate.</w:t>
      </w:r>
    </w:p>
    <w:p>
      <w:pPr>
        <w:pStyle w:val="Heading2"/>
        <w:spacing w:after="120" w:before="260"/>
      </w:pPr>
      <w:r>
        <w:t xml:space="preserve">5.4 Confirmed: the Oracle Exadata Cloud Migration Is Already Underway (Exa@Azure)</w:t>
      </w:r>
    </w:p>
    <w:p>
      <w:pPr>
        <w:spacing w:after="160" w:line="276"/>
      </w:pPr>
      <w:r>
        <w:rPr>
          <w:i/>
          <w:iCs/>
          <w:color w:val="595959"/>
        </w:rPr>
        <w:t xml:space="preserve">This is no longer a hypothesis — it's a funded, ARC-approved initiative, and you're on it as Portfolio Architect. Source: “Candidate Architecture / End-to-End Solution Sketch v5-approved,” Architecture Intake #290, “I&amp;O ExaData in Azure,” presented 07-21-2025.</w:t>
      </w:r>
    </w:p>
    <w:p>
      <w:pPr>
        <w:pStyle w:val="ListParagraph"/>
        <w:numPr>
          <w:ilvl w:val="0"/>
          <w:numId w:val="3"/>
        </w:numPr>
        <w:spacing w:after="80" w:line="276"/>
      </w:pPr>
      <w:r>
        <w:t xml:space="preserve">Driver: on-prem Oracle Exadata hardware (WDC/SDC data centres, Oracle-managed) passed its support agreement October 25, 2025; extended one year to October 2026 to allow time to stand up the cloud-based replacement.</w:t>
      </w:r>
    </w:p>
    <w:p>
      <w:pPr>
        <w:pStyle w:val="ListParagraph"/>
        <w:numPr>
          <w:ilvl w:val="0"/>
          <w:numId w:val="3"/>
        </w:numPr>
        <w:spacing w:after="80" w:line="276"/>
      </w:pPr>
      <w:r>
        <w:t xml:space="preserve">Target: Oracle Exadata Database Service on Azure (Exa@Azure), Azure Canada Central region for both Production and Non-Production initially. In Canada, Oracle Exadata cloud service is only available through Azure — AWS does not offer it in-region, so this isn't a placement choice, it's a constraint.</w:t>
      </w:r>
    </w:p>
    <w:p>
      <w:pPr>
        <w:pStyle w:val="ListParagraph"/>
        <w:numPr>
          <w:ilvl w:val="0"/>
          <w:numId w:val="3"/>
        </w:numPr>
        <w:spacing w:after="80" w:line="276"/>
      </w:pPr>
      <w:r>
        <w:t xml:space="preserve">Scope: all 42 applications currently running on Exadata Cloud at Customer are in scope; the workload handles PII data.</w:t>
      </w:r>
    </w:p>
    <w:p>
      <w:pPr>
        <w:pStyle w:val="ListParagraph"/>
        <w:numPr>
          <w:ilvl w:val="0"/>
          <w:numId w:val="3"/>
        </w:numPr>
        <w:spacing w:after="80" w:line="276"/>
      </w:pPr>
      <w:r>
        <w:t xml:space="preserve">Budget (as documented): infrastructure ≈ $1.15–1.2M in Azure credits, vendor ≈ $1.7M, internal IT ≈ $0.33M — verify the consolidated total against the source financials before quoting externally.</w:t>
      </w:r>
    </w:p>
    <w:p>
      <w:pPr>
        <w:pStyle w:val="ListParagraph"/>
        <w:numPr>
          <w:ilvl w:val="0"/>
          <w:numId w:val="3"/>
        </w:numPr>
        <w:spacing w:after="80" w:line="276"/>
      </w:pPr>
      <w:r>
        <w:t xml:space="preserve">Timeline: Workstream 1 (non-prod infrastructure, connectivity, migrated test copy, application testing) ran Q2–Q4 FY25, with a decision point originally targeted for November 30, 2025 on the final direction — leave applications on-prem and just move Exadata to Azure, migrate applications to Azure too, or upgrade the existing on-prem Exadata instead.</w:t>
      </w:r>
    </w:p>
    <w:p>
      <w:pPr>
        <w:spacing w:after="160" w:line="276"/>
      </w:pPr>
      <w:r>
        <w:rPr>
          <w:i/>
          <w:iCs/>
          <w:color w:val="595959"/>
        </w:rPr>
        <w:t xml:space="preserve">Timing flag: that decision point was set for November 30, 2025 — earlier than today. Confirm with the initiative team what was decided and what phase Workstream 2 is in now; the database roadmap should reflect the actual current status, not the original plan.</w:t>
      </w:r>
    </w:p>
    <w:p>
      <w:pPr>
        <w:pStyle w:val="ListParagraph"/>
        <w:numPr>
          <w:ilvl w:val="0"/>
          <w:numId w:val="3"/>
        </w:numPr>
        <w:spacing w:after="80" w:line="276"/>
      </w:pPr>
      <w:r>
        <w:t xml:space="preserve">Architecture: Exadata Dedicated DB Service using Oracle RAC across VM clusters; Oracle Database Autonomous Recovery Service under consideration for backup; Data Guard under consideration for replication; connectivity via ExpressRoute/Equinix from on-prem; OCI control plane and vault hosted in Canada Southeast (Toronto).</w:t>
      </w:r>
    </w:p>
    <w:p>
      <w:pPr>
        <w:pStyle w:val="ListParagraph"/>
        <w:numPr>
          <w:ilvl w:val="0"/>
          <w:numId w:val="3"/>
        </w:numPr>
        <w:spacing w:after="80" w:line="276"/>
      </w:pPr>
      <w:r>
        <w:t xml:space="preserve">Resilience trade-off: a single-Availability-Zone Exa@Azure deployment gives a 99.95% SLA (resiliency class RC3) versus the current highest class (RC2) across the 42 applications — a step down until a second Azure region is available for multi-region deployment (targeted ~99.99% SLA), which is also needed to meet OSFI multi-region compliance requirements.</w:t>
      </w:r>
    </w:p>
    <w:p>
      <w:pPr>
        <w:pStyle w:val="ListParagraph"/>
        <w:numPr>
          <w:ilvl w:val="0"/>
          <w:numId w:val="3"/>
        </w:numPr>
        <w:spacing w:after="80" w:line="276"/>
      </w:pPr>
      <w:r>
        <w:t xml:space="preserve">RPO target: ≤24 hours — consistent with the ≤24h figure already documented in the general Database Service Catalogue, which corroborates that number for at least this workload tier.</w:t>
      </w:r>
    </w:p>
    <w:p>
      <w:pPr>
        <w:pStyle w:val="ListParagraph"/>
        <w:numPr>
          <w:ilvl w:val="0"/>
          <w:numId w:val="3"/>
        </w:numPr>
        <w:spacing w:after="80" w:line="276"/>
      </w:pPr>
      <w:r>
        <w:t xml:space="preserve">Open decision: the data migration method (restore ExaCC backup to Exa@Azure, export/transfer via Azure Blob storage, or Data Guard replication) is still undecided as of the source document.</w:t>
      </w:r>
    </w:p>
    <w:p>
      <w:pPr>
        <w:pStyle w:val="ListParagraph"/>
        <w:numPr>
          <w:ilvl w:val="0"/>
          <w:numId w:val="3"/>
        </w:numPr>
        <w:spacing w:after="90" w:line="276"/>
      </w:pPr>
      <w:r>
        <w:rPr>
          <w:b/>
          <w:bCs/>
        </w:rPr>
        <w:t xml:space="preserve">Roadmap implication: </w:t>
      </w:r>
      <w:r>
        <w:t xml:space="preserve">this should be one of the roadmap's most concrete, fundable initiatives — real budget, real timeline, real governance (ARC) — rather than a seed hypothesis. It also gives the resilience/DR theme (6.4) a live example to anchor on instead of a generic placeholder.</w:t>
      </w:r>
    </w:p>
    <w:p>
      <w:pPr>
        <w:pStyle w:val="Heading2"/>
        <w:spacing w:after="120" w:before="260"/>
      </w:pPr>
      <w:r>
        <w:t xml:space="preserve">5.5 Early Connection Points to the Cloud Foundations Roadmap</w:t>
      </w:r>
    </w:p>
    <w:p>
      <w:pPr>
        <w:pStyle w:val="ListParagraph"/>
        <w:numPr>
          <w:ilvl w:val="0"/>
          <w:numId w:val="3"/>
        </w:numPr>
        <w:spacing w:after="90" w:line="276"/>
      </w:pPr>
      <w:r>
        <w:rPr>
          <w:b/>
          <w:bCs/>
        </w:rPr>
        <w:t xml:space="preserve">Resilience. </w:t>
      </w:r>
      <w:r>
        <w:t xml:space="preserve">The DR/resiliency enhancement already flagged in the catalogue is a natural companion to the Cloud Foundations Roadmap's “Platform Resilience and Connectivity” focus area and its Chaos Resiliency Testing (C7) and Proactive/Self-Recovery (C9) work packages — and now has a concrete anchor in the Exa@Azure initiative's own multi-region resilience roadmap.</w:t>
      </w:r>
    </w:p>
    <w:p>
      <w:pPr>
        <w:pStyle w:val="ListParagraph"/>
        <w:numPr>
          <w:ilvl w:val="0"/>
          <w:numId w:val="3"/>
        </w:numPr>
        <w:spacing w:after="90" w:line="276"/>
      </w:pPr>
      <w:r>
        <w:rPr>
          <w:b/>
          <w:bCs/>
        </w:rPr>
        <w:t xml:space="preserve">Cost &amp; Optimization. </w:t>
      </w:r>
      <w:r>
        <w:t xml:space="preserve">The catalogue's “Cost Optimization &amp; License Governance” category has a direct counterpart in the cloud roadmap's Cost &amp; Optimization domain and Tagging Automation (C3) — a joint compute + database FinOps view may be worth proposing.</w:t>
      </w:r>
    </w:p>
    <w:p>
      <w:pPr>
        <w:pStyle w:val="ListParagraph"/>
        <w:numPr>
          <w:ilvl w:val="0"/>
          <w:numId w:val="3"/>
        </w:numPr>
        <w:spacing w:after="90" w:line="276"/>
      </w:pPr>
      <w:r>
        <w:rPr>
          <w:b/>
          <w:bCs/>
        </w:rPr>
        <w:t xml:space="preserve">Cloud placement. </w:t>
      </w:r>
      <w:r>
        <w:t xml:space="preserve">The cloud roadmap's GCP exit and “cloud appropriate” guiding principle should inform where the database roadmap positions the currently cloud-only Postgres/MongoDB offering and any further Oracle Exa@Azure build-out.</w:t>
      </w:r>
    </w:p>
    <w:p>
      <w:pPr>
        <w:pStyle w:val="ListParagraph"/>
        <w:numPr>
          <w:ilvl w:val="0"/>
          <w:numId w:val="3"/>
        </w:numPr>
        <w:spacing w:after="90" w:line="276"/>
      </w:pPr>
      <w:r>
        <w:rPr>
          <w:b/>
          <w:bCs/>
        </w:rPr>
        <w:t xml:space="preserve">Connectivity. </w:t>
      </w:r>
      <w:r>
        <w:t xml:space="preserve">The Exa@Azure initiative already depends on ExpressRoute/Equinix connectivity and (for a possible future state) GCP Frontdoor — the same infrastructure the cloud roadmap's Cross Region Hub Peering, Calgary Equinix Connection, and Frontdoor Migration work packages address. Confirm sequencing so the database initiative isn't blocked on cloud roadmap dependencies it doesn't yet know about.</w:t>
      </w:r>
    </w:p>
    <w:p>
      <w:pPr>
        <w:pStyle w:val="Heading1"/>
        <w:spacing w:after="160" w:before="360"/>
      </w:pPr>
      <w:r>
        <w:t xml:space="preserve">6. Roadmap Structure — Mirroring Your Cloud Foundations Roadmap</w:t>
      </w:r>
    </w:p>
    <w:p>
      <w:pPr>
        <w:spacing w:after="160" w:line="276"/>
      </w:pPr>
      <w:r>
        <w:t xml:space="preserve">Your Cloud Foundations Roadmap already got approved in this exact shape. There's no reason to reinvent the structure — the section below is a section-for-section mirror, with database content dropped into each slot.</w:t>
      </w:r>
    </w:p>
    <w:p>
      <w:pPr>
        <w:pStyle w:val="Heading2"/>
        <w:spacing w:after="120" w:before="260"/>
      </w:pPr>
      <w:r>
        <w:t xml:space="preserve">6.1 Deck Skeleton (Slide-for-Slide)</w:t>
      </w:r>
    </w:p>
    <w:p>
      <w:pPr>
        <w:pStyle w:val="ListParagraph"/>
        <w:numPr>
          <w:ilvl w:val="0"/>
          <w:numId w:val="4"/>
        </w:numPr>
        <w:spacing w:after="80" w:line="276"/>
      </w:pPr>
      <w:r>
        <w:t xml:space="preserve">Title slide</w:t>
      </w:r>
    </w:p>
    <w:p>
      <w:pPr>
        <w:pStyle w:val="ListParagraph"/>
        <w:numPr>
          <w:ilvl w:val="0"/>
          <w:numId w:val="4"/>
        </w:numPr>
        <w:spacing w:after="80" w:line="276"/>
      </w:pPr>
      <w:r>
        <w:t xml:space="preserve">Document Status — date, status, awareness path, formal sign-offs (sponsor names/titles), author, working group</w:t>
      </w:r>
    </w:p>
    <w:p>
      <w:pPr>
        <w:pStyle w:val="ListParagraph"/>
        <w:numPr>
          <w:ilvl w:val="0"/>
          <w:numId w:val="4"/>
        </w:numPr>
        <w:spacing w:after="80" w:line="276"/>
      </w:pPr>
      <w:r>
        <w:t xml:space="preserve">Table of Contents</w:t>
      </w:r>
    </w:p>
    <w:p>
      <w:pPr>
        <w:pStyle w:val="ListParagraph"/>
        <w:numPr>
          <w:ilvl w:val="0"/>
          <w:numId w:val="4"/>
        </w:numPr>
        <w:spacing w:after="80" w:line="276"/>
      </w:pPr>
      <w:r>
        <w:t xml:space="preserve">Vision — vision statement, business outcomes table, value pillars, tagline</w:t>
      </w:r>
    </w:p>
    <w:p>
      <w:pPr>
        <w:pStyle w:val="ListParagraph"/>
        <w:numPr>
          <w:ilvl w:val="0"/>
          <w:numId w:val="4"/>
        </w:numPr>
        <w:spacing w:after="80" w:line="276"/>
      </w:pPr>
      <w:r>
        <w:t xml:space="preserve">Database Services Value Chain — plan → provision → secure → operate → optimize → retire, with key constituents</w:t>
      </w:r>
    </w:p>
    <w:p>
      <w:pPr>
        <w:pStyle w:val="ListParagraph"/>
        <w:numPr>
          <w:ilvl w:val="0"/>
          <w:numId w:val="4"/>
        </w:numPr>
        <w:spacing w:after="80" w:line="276"/>
      </w:pPr>
      <w:r>
        <w:t xml:space="preserve">Guiding Principles (see 6.2)</w:t>
      </w:r>
    </w:p>
    <w:p>
      <w:pPr>
        <w:pStyle w:val="ListParagraph"/>
        <w:numPr>
          <w:ilvl w:val="0"/>
          <w:numId w:val="4"/>
        </w:numPr>
        <w:spacing w:after="80" w:line="276"/>
      </w:pPr>
      <w:r>
        <w:t xml:space="preserve">Domain Overview (see 6.3)</w:t>
      </w:r>
    </w:p>
    <w:p>
      <w:pPr>
        <w:pStyle w:val="ListParagraph"/>
        <w:numPr>
          <w:ilvl w:val="0"/>
          <w:numId w:val="4"/>
        </w:numPr>
        <w:spacing w:after="80" w:line="276"/>
      </w:pPr>
      <w:r>
        <w:t xml:space="preserve">Strategic Focus Areas &amp; Transformation Opportunities (see 6.4)</w:t>
      </w:r>
    </w:p>
    <w:p>
      <w:pPr>
        <w:pStyle w:val="ListParagraph"/>
        <w:numPr>
          <w:ilvl w:val="0"/>
          <w:numId w:val="4"/>
        </w:numPr>
        <w:spacing w:after="80" w:line="276"/>
      </w:pPr>
      <w:r>
        <w:t xml:space="preserve">Capability Mapping — to the Canada Life Technology Capability Model / TBM taxonomy (see 6.8)</w:t>
      </w:r>
    </w:p>
    <w:p>
      <w:pPr>
        <w:pStyle w:val="ListParagraph"/>
        <w:numPr>
          <w:ilvl w:val="0"/>
          <w:numId w:val="4"/>
        </w:numPr>
        <w:spacing w:after="80" w:line="276"/>
      </w:pPr>
      <w:r>
        <w:t xml:space="preserve">Current State — landscape, high-level architecture, maturity model, current-vs-target radar, current-observations-to-future-focus bridge (see 6.5, 6.6)</w:t>
      </w:r>
    </w:p>
    <w:p>
      <w:pPr>
        <w:pStyle w:val="ListParagraph"/>
        <w:numPr>
          <w:ilvl w:val="0"/>
          <w:numId w:val="4"/>
        </w:numPr>
        <w:spacing w:after="80" w:line="276"/>
      </w:pPr>
      <w:r>
        <w:t xml:space="preserve">Target State — design principles &amp; expected business outcomes, high-level target architecture</w:t>
      </w:r>
    </w:p>
    <w:p>
      <w:pPr>
        <w:pStyle w:val="ListParagraph"/>
        <w:numPr>
          <w:ilvl w:val="0"/>
          <w:numId w:val="4"/>
        </w:numPr>
        <w:spacing w:after="80" w:line="276"/>
      </w:pPr>
      <w:r>
        <w:t xml:space="preserve">Work Packages / Initiatives — pain points &amp; priorities, initiative objectives, dependencies, quarterly sequencing, cost/duration/timeline detail (see 6.7)</w:t>
      </w:r>
    </w:p>
    <w:p>
      <w:pPr>
        <w:pStyle w:val="ListParagraph"/>
        <w:numPr>
          <w:ilvl w:val="0"/>
          <w:numId w:val="4"/>
        </w:numPr>
        <w:spacing w:after="80" w:line="276"/>
      </w:pPr>
      <w:r>
        <w:t xml:space="preserve">Appendix — business value detail per capability</w:t>
      </w:r>
    </w:p>
    <w:p>
      <w:pPr>
        <w:pStyle w:val="Heading2"/>
        <w:spacing w:after="120" w:before="260"/>
      </w:pPr>
      <w:r>
        <w:t xml:space="preserve">6.2 Guiding Principles — Reuse or Extend?</w:t>
      </w:r>
    </w:p>
    <w:p>
      <w:pPr>
        <w:spacing w:after="160" w:line="276"/>
      </w:pPr>
      <w:r>
        <w:t xml:space="preserve">The cloud roadmap's nine guiding principles are written generically enough that most transfer directly. Recommend confirming with your sponsors whether the database roadmap adopts all nine verbatim (keeps every I&amp;O roadmap speaking the same language) or adds one database-specific principle.</w:t>
      </w:r>
    </w:p>
    <w:p>
      <w:pPr>
        <w:pStyle w:val="ListParagraph"/>
        <w:numPr>
          <w:ilvl w:val="0"/>
          <w:numId w:val="3"/>
        </w:numPr>
        <w:spacing w:after="80" w:line="276"/>
      </w:pPr>
      <w:r>
        <w:t xml:space="preserve">Cloud Appropriate, Buy Before Build, Responsible Autonomy, Automation Everywhere, Experientially Focused, Value Oriented, E2E Observability, Secure by Design, Continuous Optimization — the existing nine.</w:t>
      </w:r>
    </w:p>
    <w:p>
      <w:pPr>
        <w:pStyle w:val="ListParagraph"/>
        <w:numPr>
          <w:ilvl w:val="0"/>
          <w:numId w:val="3"/>
        </w:numPr>
        <w:spacing w:after="80" w:line="276"/>
      </w:pPr>
      <w:r>
        <w:t xml:space="preserve">Candidate database-specific addition: “Right Engine for the Job” — choose the storage engine (relational, document, vector, etc.) suited to the workload rather than defaulting to the incumbent platform.</w:t>
      </w:r>
    </w:p>
    <w:p>
      <w:pPr>
        <w:pStyle w:val="Heading2"/>
        <w:spacing w:after="120" w:before="260"/>
      </w:pPr>
      <w:r>
        <w:t xml:space="preserve">6.3 Domain Overview (Built From Your Existing Catalogue — See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20"/>
                <w:szCs w:val="20"/>
              </w:rPr>
              <w:t xml:space="preserve">Domain</w:t>
            </w:r>
          </w:p>
        </w:tc>
        <w:tc>
          <w:tcPr>
            <w:tcW w:type="dxa" w:w="7160"/>
            <w:shd w:fill="1F3864" w:val="clear"/>
            <w:tcMar>
              <w:top w:type="dxa" w:w="100"/>
              <w:left w:type="dxa" w:w="120"/>
              <w:bottom w:type="dxa" w:w="100"/>
              <w:right w:type="dxa" w:w="120"/>
            </w:tcMar>
            <w:vAlign w:val="center"/>
          </w:tcPr>
          <w:p>
            <w:pPr>
              <w:jc w:val="left"/>
            </w:pPr>
            <w:r>
              <w:rPr>
                <w:b/>
                <w:bCs/>
                <w:color w:val="FFFFFF"/>
                <w:sz w:val="20"/>
                <w:szCs w:val="20"/>
              </w:rPr>
              <w:t xml:space="preserve">What It Covers</w:t>
            </w:r>
          </w:p>
        </w:tc>
      </w:tr>
      <w:tr>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Foundation</w:t>
            </w:r>
          </w:p>
        </w:tc>
        <w:tc>
          <w:tcPr>
            <w:tcW w:type="dxa" w:w="7160"/>
            <w:shd w:fill="FFFFFF" w:val="clear"/>
            <w:tcMar>
              <w:top w:type="dxa" w:w="100"/>
              <w:left w:type="dxa" w:w="120"/>
              <w:bottom w:type="dxa" w:w="100"/>
              <w:right w:type="dxa" w:w="120"/>
            </w:tcMar>
            <w:vAlign w:val="center"/>
          </w:tcPr>
          <w:p>
            <w:pPr>
              <w:jc w:val="left"/>
            </w:pPr>
            <w:r>
              <w:rPr>
                <w:b w:val="false"/>
                <w:bCs w:val="false"/>
                <w:sz w:val="20"/>
                <w:szCs w:val="20"/>
              </w:rPr>
              <w:t xml:space="preserve">Platform architecture &amp; standards; provisioning &amp; onboarding.</w:t>
            </w:r>
          </w:p>
        </w:tc>
      </w:tr>
      <w:tr>
        <w:tc>
          <w:tcPr>
            <w:tcW w:type="dxa" w:w="2200"/>
            <w:shd w:fill="F2F2F2" w:val="clear"/>
            <w:tcMar>
              <w:top w:type="dxa" w:w="100"/>
              <w:left w:type="dxa" w:w="120"/>
              <w:bottom w:type="dxa" w:w="100"/>
              <w:right w:type="dxa" w:w="120"/>
            </w:tcMar>
            <w:vAlign w:val="center"/>
          </w:tcPr>
          <w:p>
            <w:pPr>
              <w:jc w:val="left"/>
            </w:pPr>
            <w:r>
              <w:rPr>
                <w:b w:val="false"/>
                <w:bCs w:val="false"/>
                <w:sz w:val="20"/>
                <w:szCs w:val="20"/>
              </w:rPr>
              <w:t xml:space="preserve">Security</w:t>
            </w:r>
          </w:p>
        </w:tc>
        <w:tc>
          <w:tcPr>
            <w:tcW w:type="dxa" w:w="7160"/>
            <w:shd w:fill="F2F2F2" w:val="clear"/>
            <w:tcMar>
              <w:top w:type="dxa" w:w="100"/>
              <w:left w:type="dxa" w:w="120"/>
              <w:bottom w:type="dxa" w:w="100"/>
              <w:right w:type="dxa" w:w="120"/>
            </w:tcMar>
            <w:vAlign w:val="center"/>
          </w:tcPr>
          <w:p>
            <w:pPr>
              <w:jc w:val="left"/>
            </w:pPr>
            <w:r>
              <w:rPr>
                <w:b w:val="false"/>
                <w:bCs w:val="false"/>
                <w:sz w:val="20"/>
                <w:szCs w:val="20"/>
              </w:rPr>
              <w:t xml:space="preserve">Security engineering; access management.</w:t>
            </w:r>
          </w:p>
        </w:tc>
      </w:tr>
      <w:tr>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Governance</w:t>
            </w:r>
          </w:p>
        </w:tc>
        <w:tc>
          <w:tcPr>
            <w:tcW w:type="dxa" w:w="7160"/>
            <w:shd w:fill="FFFFFF" w:val="clear"/>
            <w:tcMar>
              <w:top w:type="dxa" w:w="100"/>
              <w:left w:type="dxa" w:w="120"/>
              <w:bottom w:type="dxa" w:w="100"/>
              <w:right w:type="dxa" w:w="120"/>
            </w:tcMar>
            <w:vAlign w:val="center"/>
          </w:tcPr>
          <w:p>
            <w:pPr>
              <w:jc w:val="left"/>
            </w:pPr>
            <w:r>
              <w:rPr>
                <w:b w:val="false"/>
                <w:bCs w:val="false"/>
                <w:sz w:val="20"/>
                <w:szCs w:val="20"/>
              </w:rPr>
              <w:t xml:space="preserve">Data movement &amp; integration governance; change management; lifecycle &amp; patch management.</w:t>
            </w:r>
          </w:p>
        </w:tc>
      </w:tr>
      <w:tr>
        <w:tc>
          <w:tcPr>
            <w:tcW w:type="dxa" w:w="2200"/>
            <w:shd w:fill="F2F2F2" w:val="clear"/>
            <w:tcMar>
              <w:top w:type="dxa" w:w="100"/>
              <w:left w:type="dxa" w:w="120"/>
              <w:bottom w:type="dxa" w:w="100"/>
              <w:right w:type="dxa" w:w="120"/>
            </w:tcMar>
            <w:vAlign w:val="center"/>
          </w:tcPr>
          <w:p>
            <w:pPr>
              <w:jc w:val="left"/>
            </w:pPr>
            <w:r>
              <w:rPr>
                <w:b w:val="false"/>
                <w:bCs w:val="false"/>
                <w:sz w:val="20"/>
                <w:szCs w:val="20"/>
              </w:rPr>
              <w:t xml:space="preserve">Platform &amp; Services</w:t>
            </w:r>
          </w:p>
        </w:tc>
        <w:tc>
          <w:tcPr>
            <w:tcW w:type="dxa" w:w="7160"/>
            <w:shd w:fill="F2F2F2" w:val="clear"/>
            <w:tcMar>
              <w:top w:type="dxa" w:w="100"/>
              <w:left w:type="dxa" w:w="120"/>
              <w:bottom w:type="dxa" w:w="100"/>
              <w:right w:type="dxa" w:w="120"/>
            </w:tcMar>
            <w:vAlign w:val="center"/>
          </w:tcPr>
          <w:p>
            <w:pPr>
              <w:jc w:val="left"/>
            </w:pPr>
            <w:r>
              <w:rPr>
                <w:b w:val="false"/>
                <w:bCs w:val="false"/>
                <w:sz w:val="20"/>
                <w:szCs w:val="20"/>
              </w:rPr>
              <w:t xml:space="preserve">Modernization &amp; cloud engineering; capacity &amp; performance engineering; performance tuning.</w:t>
            </w:r>
          </w:p>
        </w:tc>
      </w:tr>
      <w:tr>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Cost &amp; Optimization</w:t>
            </w:r>
          </w:p>
        </w:tc>
        <w:tc>
          <w:tcPr>
            <w:tcW w:type="dxa" w:w="7160"/>
            <w:shd w:fill="FFFFFF" w:val="clear"/>
            <w:tcMar>
              <w:top w:type="dxa" w:w="100"/>
              <w:left w:type="dxa" w:w="120"/>
              <w:bottom w:type="dxa" w:w="100"/>
              <w:right w:type="dxa" w:w="120"/>
            </w:tcMar>
            <w:vAlign w:val="center"/>
          </w:tcPr>
          <w:p>
            <w:pPr>
              <w:jc w:val="left"/>
            </w:pPr>
            <w:r>
              <w:rPr>
                <w:b w:val="false"/>
                <w:bCs w:val="false"/>
                <w:sz w:val="20"/>
                <w:szCs w:val="20"/>
              </w:rPr>
              <w:t xml:space="preserve">Infrastructure cost optimization &amp; license governance.</w:t>
            </w:r>
          </w:p>
        </w:tc>
      </w:tr>
      <w:tr>
        <w:tc>
          <w:tcPr>
            <w:tcW w:type="dxa" w:w="2200"/>
            <w:shd w:fill="F2F2F2" w:val="clear"/>
            <w:tcMar>
              <w:top w:type="dxa" w:w="100"/>
              <w:left w:type="dxa" w:w="120"/>
              <w:bottom w:type="dxa" w:w="100"/>
              <w:right w:type="dxa" w:w="120"/>
            </w:tcMar>
            <w:vAlign w:val="center"/>
          </w:tcPr>
          <w:p>
            <w:pPr>
              <w:jc w:val="left"/>
            </w:pPr>
            <w:r>
              <w:rPr>
                <w:b w:val="false"/>
                <w:bCs w:val="false"/>
                <w:sz w:val="20"/>
                <w:szCs w:val="20"/>
              </w:rPr>
              <w:t xml:space="preserve">Automation</w:t>
            </w:r>
          </w:p>
        </w:tc>
        <w:tc>
          <w:tcPr>
            <w:tcW w:type="dxa" w:w="7160"/>
            <w:shd w:fill="F2F2F2" w:val="clear"/>
            <w:tcMar>
              <w:top w:type="dxa" w:w="100"/>
              <w:left w:type="dxa" w:w="120"/>
              <w:bottom w:type="dxa" w:w="100"/>
              <w:right w:type="dxa" w:w="120"/>
            </w:tcMar>
            <w:vAlign w:val="center"/>
          </w:tcPr>
          <w:p>
            <w:pPr>
              <w:jc w:val="left"/>
            </w:pPr>
            <w:r>
              <w:rPr>
                <w:b w:val="false"/>
                <w:bCs w:val="false"/>
                <w:sz w:val="20"/>
                <w:szCs w:val="20"/>
              </w:rPr>
              <w:t xml:space="preserve">Platform engineering, automation &amp; tooling; self-service.</w:t>
            </w:r>
          </w:p>
        </w:tc>
      </w:tr>
    </w:tbl>
    <w:p>
      <w:pPr>
        <w:spacing w:before="200"/>
      </w:pPr>
    </w:p>
    <w:p>
      <w:pPr>
        <w:pStyle w:val="Heading2"/>
        <w:spacing w:after="120" w:before="260"/>
      </w:pPr>
      <w:r>
        <w:t xml:space="preserve">6.4 Strategic Focus Areas &amp; Transformation Opportunities (Seed Hypotheses)</w:t>
      </w:r>
    </w:p>
    <w:p>
      <w:pPr>
        <w:spacing w:after="160" w:line="276"/>
      </w:pPr>
      <w:r>
        <w:t xml:space="preserve">Seeded from what's already documented — validate and re-rank with your PO and Portfolio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1F3864" w:val="clear"/>
            <w:tcMar>
              <w:top w:type="dxa" w:w="100"/>
              <w:left w:type="dxa" w:w="120"/>
              <w:bottom w:type="dxa" w:w="100"/>
              <w:right w:type="dxa" w:w="120"/>
            </w:tcMar>
            <w:vAlign w:val="center"/>
          </w:tcPr>
          <w:p>
            <w:pPr>
              <w:jc w:val="left"/>
            </w:pPr>
            <w:r>
              <w:rPr>
                <w:b/>
                <w:bCs/>
                <w:color w:val="FFFFFF"/>
                <w:sz w:val="20"/>
                <w:szCs w:val="20"/>
              </w:rPr>
              <w:t xml:space="preserve">Focus Area</w:t>
            </w:r>
          </w:p>
        </w:tc>
        <w:tc>
          <w:tcPr>
            <w:tcW w:type="dxa" w:w="3510"/>
            <w:shd w:fill="1F3864" w:val="clear"/>
            <w:tcMar>
              <w:top w:type="dxa" w:w="100"/>
              <w:left w:type="dxa" w:w="120"/>
              <w:bottom w:type="dxa" w:w="100"/>
              <w:right w:type="dxa" w:w="120"/>
            </w:tcMar>
            <w:vAlign w:val="center"/>
          </w:tcPr>
          <w:p>
            <w:pPr>
              <w:jc w:val="left"/>
            </w:pPr>
            <w:r>
              <w:rPr>
                <w:b/>
                <w:bCs/>
                <w:color w:val="FFFFFF"/>
                <w:sz w:val="20"/>
                <w:szCs w:val="20"/>
              </w:rPr>
              <w:t xml:space="preserve">Opportunity</w:t>
            </w:r>
          </w:p>
        </w:tc>
        <w:tc>
          <w:tcPr>
            <w:tcW w:type="dxa" w:w="3510"/>
            <w:shd w:fill="1F3864" w:val="clear"/>
            <w:tcMar>
              <w:top w:type="dxa" w:w="100"/>
              <w:left w:type="dxa" w:w="120"/>
              <w:bottom w:type="dxa" w:w="100"/>
              <w:right w:type="dxa" w:w="120"/>
            </w:tcMar>
            <w:vAlign w:val="center"/>
          </w:tcPr>
          <w:p>
            <w:pPr>
              <w:jc w:val="left"/>
            </w:pPr>
            <w:r>
              <w:rPr>
                <w:b/>
                <w:bCs/>
                <w:color w:val="FFFFFF"/>
                <w:sz w:val="20"/>
                <w:szCs w:val="20"/>
              </w:rPr>
              <w:t xml:space="preserve">Expected Business Value</w:t>
            </w:r>
          </w:p>
        </w:tc>
      </w:tr>
      <w:tr>
        <w:tc>
          <w:tcPr>
            <w:tcW w:type="dxa" w:w="2340"/>
            <w:shd w:fill="F2DDAC" w:val="clear"/>
            <w:tcMar>
              <w:top w:type="dxa" w:w="100"/>
              <w:left w:type="dxa" w:w="120"/>
              <w:bottom w:type="dxa" w:w="100"/>
              <w:right w:type="dxa" w:w="120"/>
            </w:tcMar>
            <w:vAlign w:val="center"/>
          </w:tcPr>
          <w:p>
            <w:pPr>
              <w:jc w:val="left"/>
            </w:pPr>
            <w:r>
              <w:rPr>
                <w:b w:val="false"/>
                <w:bCs w:val="false"/>
                <w:sz w:val="20"/>
                <w:szCs w:val="20"/>
              </w:rPr>
              <w:t xml:space="preserve">Oracle Exadata Cloud Migration (Exa@Azure) — CONFIRMED, in flight</w:t>
            </w:r>
          </w:p>
        </w:tc>
        <w:tc>
          <w:tcPr>
            <w:tcW w:type="dxa" w:w="3510"/>
            <w:shd w:fill="F2DDAC" w:val="clear"/>
            <w:tcMar>
              <w:top w:type="dxa" w:w="100"/>
              <w:left w:type="dxa" w:w="120"/>
              <w:bottom w:type="dxa" w:w="100"/>
              <w:right w:type="dxa" w:w="120"/>
            </w:tcMar>
            <w:vAlign w:val="center"/>
          </w:tcPr>
          <w:p>
            <w:pPr>
              <w:jc w:val="left"/>
            </w:pPr>
            <w:r>
              <w:rPr>
                <w:b w:val="false"/>
                <w:bCs w:val="false"/>
                <w:sz w:val="20"/>
                <w:szCs w:val="20"/>
              </w:rPr>
              <w:t xml:space="preserve">Not a hypothesis: ARC-approved Intake #290, ~$3.2M documented budget, 42 applications in scope. Confirm current phase (Workstream 2) and fold its milestones into this roadmap's sequencing.</w:t>
            </w:r>
          </w:p>
        </w:tc>
        <w:tc>
          <w:tcPr>
            <w:tcW w:type="dxa" w:w="3510"/>
            <w:shd w:fill="F2DDAC" w:val="clear"/>
            <w:tcMar>
              <w:top w:type="dxa" w:w="100"/>
              <w:left w:type="dxa" w:w="120"/>
              <w:bottom w:type="dxa" w:w="100"/>
              <w:right w:type="dxa" w:w="120"/>
            </w:tcMar>
            <w:vAlign w:val="center"/>
          </w:tcPr>
          <w:p>
            <w:pPr>
              <w:jc w:val="left"/>
            </w:pPr>
            <w:r>
              <w:rPr>
                <w:b w:val="false"/>
                <w:bCs w:val="false"/>
                <w:sz w:val="20"/>
                <w:szCs w:val="20"/>
              </w:rPr>
              <w:t xml:space="preserve">Avoids an on-prem hardware refresh; multi-region path to 99.99% SLA and OSFI compliance.</w:t>
            </w:r>
          </w:p>
        </w:tc>
      </w:tr>
      <w:tr>
        <w:tc>
          <w:tcPr>
            <w:tcW w:type="dxa" w:w="2340"/>
            <w:shd w:fill="FFFFFF" w:val="clear"/>
            <w:tcMar>
              <w:top w:type="dxa" w:w="100"/>
              <w:left w:type="dxa" w:w="120"/>
              <w:bottom w:type="dxa" w:w="100"/>
              <w:right w:type="dxa" w:w="120"/>
            </w:tcMar>
            <w:vAlign w:val="center"/>
          </w:tcPr>
          <w:p>
            <w:pPr>
              <w:jc w:val="left"/>
            </w:pPr>
            <w:r>
              <w:rPr>
                <w:b w:val="false"/>
                <w:bCs w:val="false"/>
                <w:sz w:val="20"/>
                <w:szCs w:val="20"/>
              </w:rPr>
              <w:t xml:space="preserve">Legacy Licensing Rationalization</w:t>
            </w:r>
          </w:p>
        </w:tc>
        <w:tc>
          <w:tcPr>
            <w:tcW w:type="dxa" w:w="3510"/>
            <w:shd w:fill="FFFFFF" w:val="clear"/>
            <w:tcMar>
              <w:top w:type="dxa" w:w="100"/>
              <w:left w:type="dxa" w:w="120"/>
              <w:bottom w:type="dxa" w:w="100"/>
              <w:right w:type="dxa" w:w="120"/>
            </w:tcMar>
            <w:vAlign w:val="center"/>
          </w:tcPr>
          <w:p>
            <w:pPr>
              <w:jc w:val="left"/>
            </w:pPr>
            <w:r>
              <w:rPr>
                <w:b w:val="false"/>
                <w:bCs w:val="false"/>
                <w:sz w:val="20"/>
                <w:szCs w:val="20"/>
              </w:rPr>
              <w:t xml:space="preserve">Complete the DB2 exit; use the ~10x cost gap vs. MS SQL to fund modernization elsewhere.</w:t>
            </w:r>
          </w:p>
        </w:tc>
        <w:tc>
          <w:tcPr>
            <w:tcW w:type="dxa" w:w="3510"/>
            <w:shd w:fill="FFFFFF" w:val="clear"/>
            <w:tcMar>
              <w:top w:type="dxa" w:w="100"/>
              <w:left w:type="dxa" w:w="120"/>
              <w:bottom w:type="dxa" w:w="100"/>
              <w:right w:type="dxa" w:w="120"/>
            </w:tcMar>
            <w:vAlign w:val="center"/>
          </w:tcPr>
          <w:p>
            <w:pPr>
              <w:jc w:val="left"/>
            </w:pPr>
            <w:r>
              <w:rPr>
                <w:b w:val="false"/>
                <w:bCs w:val="false"/>
                <w:sz w:val="20"/>
                <w:szCs w:val="20"/>
              </w:rPr>
              <w:t xml:space="preserve">Reduced TCO; frees budget for other initiatives.</w:t>
            </w:r>
          </w:p>
        </w:tc>
      </w:tr>
      <w:tr>
        <w:tc>
          <w:tcPr>
            <w:tcW w:type="dxa" w:w="2340"/>
            <w:shd w:fill="F2F2F2" w:val="clear"/>
            <w:tcMar>
              <w:top w:type="dxa" w:w="100"/>
              <w:left w:type="dxa" w:w="120"/>
              <w:bottom w:type="dxa" w:w="100"/>
              <w:right w:type="dxa" w:w="120"/>
            </w:tcMar>
            <w:vAlign w:val="center"/>
          </w:tcPr>
          <w:p>
            <w:pPr>
              <w:jc w:val="left"/>
            </w:pPr>
            <w:r>
              <w:rPr>
                <w:b w:val="false"/>
                <w:bCs w:val="false"/>
                <w:sz w:val="20"/>
                <w:szCs w:val="20"/>
              </w:rPr>
              <w:t xml:space="preserve">Resilience &amp; DR Modernization (Broader Estate)</w:t>
            </w:r>
          </w:p>
        </w:tc>
        <w:tc>
          <w:tcPr>
            <w:tcW w:type="dxa" w:w="3510"/>
            <w:shd w:fill="F2F2F2" w:val="clear"/>
            <w:tcMar>
              <w:top w:type="dxa" w:w="100"/>
              <w:left w:type="dxa" w:w="120"/>
              <w:bottom w:type="dxa" w:w="100"/>
              <w:right w:type="dxa" w:w="120"/>
            </w:tcMar>
            <w:vAlign w:val="center"/>
          </w:tcPr>
          <w:p>
            <w:pPr>
              <w:jc w:val="left"/>
            </w:pPr>
            <w:r>
              <w:rPr>
                <w:b w:val="false"/>
                <w:bCs w:val="false"/>
                <w:sz w:val="20"/>
                <w:szCs w:val="20"/>
              </w:rPr>
              <w:t xml:space="preserve">Extend the resilience thinking already applied to Exa@Azure (tiered SLA, multi-region) to the rest of the estate; align RPO/RTO tiers to workload criticality.</w:t>
            </w:r>
          </w:p>
        </w:tc>
        <w:tc>
          <w:tcPr>
            <w:tcW w:type="dxa" w:w="3510"/>
            <w:shd w:fill="F2F2F2" w:val="clear"/>
            <w:tcMar>
              <w:top w:type="dxa" w:w="100"/>
              <w:left w:type="dxa" w:w="120"/>
              <w:bottom w:type="dxa" w:w="100"/>
              <w:right w:type="dxa" w:w="120"/>
            </w:tcMar>
            <w:vAlign w:val="center"/>
          </w:tcPr>
          <w:p>
            <w:pPr>
              <w:jc w:val="left"/>
            </w:pPr>
            <w:r>
              <w:rPr>
                <w:b w:val="false"/>
                <w:bCs w:val="false"/>
                <w:sz w:val="20"/>
                <w:szCs w:val="20"/>
              </w:rPr>
              <w:t xml:space="preserve">Improved recovery speed; parity with cloud infrastructure's maturity targets.</w:t>
            </w:r>
          </w:p>
        </w:tc>
      </w:tr>
      <w:tr>
        <w:tc>
          <w:tcPr>
            <w:tcW w:type="dxa" w:w="2340"/>
            <w:shd w:fill="FFFFFF" w:val="clear"/>
            <w:tcMar>
              <w:top w:type="dxa" w:w="100"/>
              <w:left w:type="dxa" w:w="120"/>
              <w:bottom w:type="dxa" w:w="100"/>
              <w:right w:type="dxa" w:w="120"/>
            </w:tcMar>
            <w:vAlign w:val="center"/>
          </w:tcPr>
          <w:p>
            <w:pPr>
              <w:jc w:val="left"/>
            </w:pPr>
            <w:r>
              <w:rPr>
                <w:b w:val="false"/>
                <w:bCs w:val="false"/>
                <w:sz w:val="20"/>
                <w:szCs w:val="20"/>
              </w:rPr>
              <w:t xml:space="preserve">Clarify NoSQL/Postgres Placement Policy</w:t>
            </w:r>
          </w:p>
        </w:tc>
        <w:tc>
          <w:tcPr>
            <w:tcW w:type="dxa" w:w="3510"/>
            <w:shd w:fill="FFFFFF" w:val="clear"/>
            <w:tcMar>
              <w:top w:type="dxa" w:w="100"/>
              <w:left w:type="dxa" w:w="120"/>
              <w:bottom w:type="dxa" w:w="100"/>
              <w:right w:type="dxa" w:w="120"/>
            </w:tcMar>
            <w:vAlign w:val="center"/>
          </w:tcPr>
          <w:p>
            <w:pPr>
              <w:jc w:val="left"/>
            </w:pPr>
            <w:r>
              <w:rPr>
                <w:b w:val="false"/>
                <w:bCs w:val="false"/>
                <w:sz w:val="20"/>
                <w:szCs w:val="20"/>
              </w:rPr>
              <w:t xml:space="preserve">MongoDB Atlas and AWS RDS PostgreSQL are already active, self-service offerings — confirm whether an on-prem/hybrid path is still needed or the cloud-first stance should simply be formalized.</w:t>
            </w:r>
          </w:p>
        </w:tc>
        <w:tc>
          <w:tcPr>
            <w:tcW w:type="dxa" w:w="3510"/>
            <w:shd w:fill="FFFFFF" w:val="clear"/>
            <w:tcMar>
              <w:top w:type="dxa" w:w="100"/>
              <w:left w:type="dxa" w:w="120"/>
              <w:bottom w:type="dxa" w:w="100"/>
              <w:right w:type="dxa" w:w="120"/>
            </w:tcMar>
            <w:vAlign w:val="center"/>
          </w:tcPr>
          <w:p>
            <w:pPr>
              <w:jc w:val="left"/>
            </w:pPr>
            <w:r>
              <w:rPr>
                <w:b w:val="false"/>
                <w:bCs w:val="false"/>
                <w:sz w:val="20"/>
                <w:szCs w:val="20"/>
              </w:rPr>
              <w:t xml:space="preserve">Removes ambiguity for teams evaluating NoSQL/Postgres; clarifies the cloud-appropriate stance.</w:t>
            </w:r>
          </w:p>
        </w:tc>
      </w:tr>
      <w:tr>
        <w:tc>
          <w:tcPr>
            <w:tcW w:type="dxa" w:w="2340"/>
            <w:shd w:fill="F2F2F2" w:val="clear"/>
            <w:tcMar>
              <w:top w:type="dxa" w:w="100"/>
              <w:left w:type="dxa" w:w="120"/>
              <w:bottom w:type="dxa" w:w="100"/>
              <w:right w:type="dxa" w:w="120"/>
            </w:tcMar>
            <w:vAlign w:val="center"/>
          </w:tcPr>
          <w:p>
            <w:pPr>
              <w:jc w:val="left"/>
            </w:pPr>
            <w:r>
              <w:rPr>
                <w:b w:val="false"/>
                <w:bCs w:val="false"/>
                <w:sz w:val="20"/>
                <w:szCs w:val="20"/>
              </w:rPr>
              <w:t xml:space="preserve">Operating Model Evolution</w:t>
            </w:r>
          </w:p>
        </w:tc>
        <w:tc>
          <w:tcPr>
            <w:tcW w:type="dxa" w:w="3510"/>
            <w:shd w:fill="F2F2F2" w:val="clear"/>
            <w:tcMar>
              <w:top w:type="dxa" w:w="100"/>
              <w:left w:type="dxa" w:w="120"/>
              <w:bottom w:type="dxa" w:w="100"/>
              <w:right w:type="dxa" w:w="120"/>
            </w:tcMar>
            <w:vAlign w:val="center"/>
          </w:tcPr>
          <w:p>
            <w:pPr>
              <w:jc w:val="left"/>
            </w:pPr>
            <w:r>
              <w:rPr>
                <w:b w:val="false"/>
                <w:bCs w:val="false"/>
                <w:sz w:val="20"/>
                <w:szCs w:val="20"/>
              </w:rPr>
              <w:t xml:space="preserve">Assess whether the HCL-managed, ticket-driven model should shift toward more self-service, mirroring the cloud roadmap's automation principle.</w:t>
            </w:r>
          </w:p>
        </w:tc>
        <w:tc>
          <w:tcPr>
            <w:tcW w:type="dxa" w:w="3510"/>
            <w:shd w:fill="F2F2F2" w:val="clear"/>
            <w:tcMar>
              <w:top w:type="dxa" w:w="100"/>
              <w:left w:type="dxa" w:w="120"/>
              <w:bottom w:type="dxa" w:w="100"/>
              <w:right w:type="dxa" w:w="120"/>
            </w:tcMar>
            <w:vAlign w:val="center"/>
          </w:tcPr>
          <w:p>
            <w:pPr>
              <w:jc w:val="left"/>
            </w:pPr>
            <w:r>
              <w:rPr>
                <w:b w:val="false"/>
                <w:bCs w:val="false"/>
                <w:sz w:val="20"/>
                <w:szCs w:val="20"/>
              </w:rPr>
              <w:t xml:space="preserve">Faster provisioning; reduced operational friction.</w:t>
            </w:r>
          </w:p>
        </w:tc>
      </w:tr>
    </w:tbl>
    <w:p>
      <w:pPr>
        <w:spacing w:before="200"/>
      </w:pPr>
    </w:p>
    <w:p>
      <w:pPr>
        <w:pStyle w:val="Heading2"/>
        <w:spacing w:after="120" w:before="260"/>
      </w:pPr>
      <w:r>
        <w:t xml:space="preserve">6.5 Maturity Model Template (5 Levels, Database-Adapted)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560"/>
        <w:gridCol w:w="3500"/>
      </w:tblGrid>
      <w:tr>
        <w:trPr>
          <w:tblHeader/>
        </w:trPr>
        <w:tc>
          <w:tcPr>
            <w:tcW w:type="dxa" w:w="900"/>
            <w:shd w:fill="1F3864" w:val="clear"/>
            <w:tcMar>
              <w:top w:type="dxa" w:w="100"/>
              <w:left w:type="dxa" w:w="120"/>
              <w:bottom w:type="dxa" w:w="100"/>
              <w:right w:type="dxa" w:w="120"/>
            </w:tcMar>
            <w:vAlign w:val="center"/>
          </w:tcPr>
          <w:p>
            <w:pPr>
              <w:jc w:val="left"/>
            </w:pPr>
            <w:r>
              <w:rPr>
                <w:b/>
                <w:bCs/>
                <w:color w:val="FFFFFF"/>
                <w:sz w:val="20"/>
                <w:szCs w:val="20"/>
              </w:rPr>
              <w:t xml:space="preserve">Level</w:t>
            </w:r>
          </w:p>
        </w:tc>
        <w:tc>
          <w:tcPr>
            <w:tcW w:type="dxa" w:w="1400"/>
            <w:shd w:fill="1F3864" w:val="clear"/>
            <w:tcMar>
              <w:top w:type="dxa" w:w="100"/>
              <w:left w:type="dxa" w:w="120"/>
              <w:bottom w:type="dxa" w:w="100"/>
              <w:right w:type="dxa" w:w="120"/>
            </w:tcMar>
            <w:vAlign w:val="center"/>
          </w:tcPr>
          <w:p>
            <w:pPr>
              <w:jc w:val="left"/>
            </w:pPr>
            <w:r>
              <w:rPr>
                <w:b/>
                <w:bCs/>
                <w:color w:val="FFFFFF"/>
                <w:sz w:val="20"/>
                <w:szCs w:val="20"/>
              </w:rPr>
              <w:t xml:space="preserve">Name</w:t>
            </w:r>
          </w:p>
        </w:tc>
        <w:tc>
          <w:tcPr>
            <w:tcW w:type="dxa" w:w="3560"/>
            <w:shd w:fill="1F3864" w:val="clear"/>
            <w:tcMar>
              <w:top w:type="dxa" w:w="100"/>
              <w:left w:type="dxa" w:w="120"/>
              <w:bottom w:type="dxa" w:w="100"/>
              <w:right w:type="dxa" w:w="120"/>
            </w:tcMar>
            <w:vAlign w:val="center"/>
          </w:tcPr>
          <w:p>
            <w:pPr>
              <w:jc w:val="left"/>
            </w:pPr>
            <w:r>
              <w:rPr>
                <w:b/>
                <w:bCs/>
                <w:color w:val="FFFFFF"/>
                <w:sz w:val="20"/>
                <w:szCs w:val="20"/>
              </w:rPr>
              <w:t xml:space="preserve">What It Means (Database Services)</w:t>
            </w:r>
          </w:p>
        </w:tc>
        <w:tc>
          <w:tcPr>
            <w:tcW w:type="dxa" w:w="3500"/>
            <w:shd w:fill="1F3864" w:val="clear"/>
            <w:tcMar>
              <w:top w:type="dxa" w:w="100"/>
              <w:left w:type="dxa" w:w="120"/>
              <w:bottom w:type="dxa" w:w="100"/>
              <w:right w:type="dxa" w:w="120"/>
            </w:tcMar>
            <w:vAlign w:val="center"/>
          </w:tcPr>
          <w:p>
            <w:pPr>
              <w:jc w:val="left"/>
            </w:pPr>
            <w:r>
              <w:rPr>
                <w:b/>
                <w:bCs/>
                <w:color w:val="FFFFFF"/>
                <w:sz w:val="20"/>
                <w:szCs w:val="20"/>
              </w:rPr>
              <w:t xml:space="preserve">Candidate Measurable Indicators</w:t>
            </w:r>
          </w:p>
        </w:tc>
      </w:tr>
      <w:tr>
        <w:tc>
          <w:tcPr>
            <w:tcW w:type="dxa" w:w="900"/>
            <w:shd w:fill="FFFFFF" w:val="clear"/>
            <w:tcMar>
              <w:top w:type="dxa" w:w="100"/>
              <w:left w:type="dxa" w:w="120"/>
              <w:bottom w:type="dxa" w:w="100"/>
              <w:right w:type="dxa" w:w="120"/>
            </w:tcMar>
            <w:vAlign w:val="center"/>
          </w:tcPr>
          <w:p>
            <w:pPr>
              <w:jc w:val="left"/>
            </w:pPr>
            <w:r>
              <w:rPr>
                <w:b w:val="false"/>
                <w:bCs w:val="false"/>
                <w:sz w:val="20"/>
                <w:szCs w:val="20"/>
              </w:rPr>
              <w:t xml:space="preserve">1</w:t>
            </w:r>
          </w:p>
        </w:tc>
        <w:tc>
          <w:tcPr>
            <w:tcW w:type="dxa" w:w="1400"/>
            <w:shd w:fill="FFFFFF" w:val="clear"/>
            <w:tcMar>
              <w:top w:type="dxa" w:w="100"/>
              <w:left w:type="dxa" w:w="120"/>
              <w:bottom w:type="dxa" w:w="100"/>
              <w:right w:type="dxa" w:w="120"/>
            </w:tcMar>
            <w:vAlign w:val="center"/>
          </w:tcPr>
          <w:p>
            <w:pPr>
              <w:jc w:val="left"/>
            </w:pPr>
            <w:r>
              <w:rPr>
                <w:b w:val="false"/>
                <w:bCs w:val="false"/>
                <w:sz w:val="20"/>
                <w:szCs w:val="20"/>
              </w:rPr>
              <w:t xml:space="preserve">Initial</w:t>
            </w:r>
          </w:p>
        </w:tc>
        <w:tc>
          <w:tcPr>
            <w:tcW w:type="dxa" w:w="3560"/>
            <w:shd w:fill="FFFFFF" w:val="clear"/>
            <w:tcMar>
              <w:top w:type="dxa" w:w="100"/>
              <w:left w:type="dxa" w:w="120"/>
              <w:bottom w:type="dxa" w:w="100"/>
              <w:right w:type="dxa" w:w="120"/>
            </w:tcMar>
            <w:vAlign w:val="center"/>
          </w:tcPr>
          <w:p>
            <w:pPr>
              <w:jc w:val="left"/>
            </w:pPr>
            <w:r>
              <w:rPr>
                <w:b w:val="false"/>
                <w:bCs w:val="false"/>
                <w:sz w:val="20"/>
                <w:szCs w:val="20"/>
              </w:rPr>
              <w:t xml:space="preserve">Ad-hoc builds; manual provisioning; minimal standards.</w:t>
            </w:r>
          </w:p>
        </w:tc>
        <w:tc>
          <w:tcPr>
            <w:tcW w:type="dxa" w:w="3500"/>
            <w:shd w:fill="FFFFFF" w:val="clear"/>
            <w:tcMar>
              <w:top w:type="dxa" w:w="100"/>
              <w:left w:type="dxa" w:w="120"/>
              <w:bottom w:type="dxa" w:w="100"/>
              <w:right w:type="dxa" w:w="120"/>
            </w:tcMar>
            <w:vAlign w:val="center"/>
          </w:tcPr>
          <w:p>
            <w:pPr>
              <w:jc w:val="left"/>
            </w:pPr>
            <w:r>
              <w:rPr>
                <w:b w:val="false"/>
                <w:bCs w:val="false"/>
                <w:sz w:val="20"/>
                <w:szCs w:val="20"/>
              </w:rPr>
              <w:t xml:space="preserve">&lt;20% automated provisioning; no formal DR testing; ad-hoc patching.</w:t>
            </w:r>
          </w:p>
        </w:tc>
      </w:tr>
      <w:tr>
        <w:tc>
          <w:tcPr>
            <w:tcW w:type="dxa" w:w="900"/>
            <w:shd w:fill="F2F2F2" w:val="clear"/>
            <w:tcMar>
              <w:top w:type="dxa" w:w="100"/>
              <w:left w:type="dxa" w:w="120"/>
              <w:bottom w:type="dxa" w:w="100"/>
              <w:right w:type="dxa" w:w="120"/>
            </w:tcMar>
            <w:vAlign w:val="center"/>
          </w:tcPr>
          <w:p>
            <w:pPr>
              <w:jc w:val="left"/>
            </w:pPr>
            <w:r>
              <w:rPr>
                <w:b w:val="false"/>
                <w:bCs w:val="false"/>
                <w:sz w:val="20"/>
                <w:szCs w:val="20"/>
              </w:rPr>
              <w:t xml:space="preserve">2</w:t>
            </w:r>
          </w:p>
        </w:tc>
        <w:tc>
          <w:tcPr>
            <w:tcW w:type="dxa" w:w="1400"/>
            <w:shd w:fill="F2F2F2" w:val="clear"/>
            <w:tcMar>
              <w:top w:type="dxa" w:w="100"/>
              <w:left w:type="dxa" w:w="120"/>
              <w:bottom w:type="dxa" w:w="100"/>
              <w:right w:type="dxa" w:w="120"/>
            </w:tcMar>
            <w:vAlign w:val="center"/>
          </w:tcPr>
          <w:p>
            <w:pPr>
              <w:jc w:val="left"/>
            </w:pPr>
            <w:r>
              <w:rPr>
                <w:b w:val="false"/>
                <w:bCs w:val="false"/>
                <w:sz w:val="20"/>
                <w:szCs w:val="20"/>
              </w:rPr>
              <w:t xml:space="preserve">Managed</w:t>
            </w:r>
          </w:p>
        </w:tc>
        <w:tc>
          <w:tcPr>
            <w:tcW w:type="dxa" w:w="3560"/>
            <w:shd w:fill="F2F2F2" w:val="clear"/>
            <w:tcMar>
              <w:top w:type="dxa" w:w="100"/>
              <w:left w:type="dxa" w:w="120"/>
              <w:bottom w:type="dxa" w:w="100"/>
              <w:right w:type="dxa" w:w="120"/>
            </w:tcMar>
            <w:vAlign w:val="center"/>
          </w:tcPr>
          <w:p>
            <w:pPr>
              <w:jc w:val="left"/>
            </w:pPr>
            <w:r>
              <w:rPr>
                <w:b w:val="false"/>
                <w:bCs w:val="false"/>
                <w:sz w:val="20"/>
                <w:szCs w:val="20"/>
              </w:rPr>
              <w:t xml:space="preserve">Standard builds and baseline guardrails in place; repeatable patterns.</w:t>
            </w:r>
          </w:p>
        </w:tc>
        <w:tc>
          <w:tcPr>
            <w:tcW w:type="dxa" w:w="3500"/>
            <w:shd w:fill="F2F2F2" w:val="clear"/>
            <w:tcMar>
              <w:top w:type="dxa" w:w="100"/>
              <w:left w:type="dxa" w:w="120"/>
              <w:bottom w:type="dxa" w:w="100"/>
              <w:right w:type="dxa" w:w="120"/>
            </w:tcMar>
            <w:vAlign w:val="center"/>
          </w:tcPr>
          <w:p>
            <w:pPr>
              <w:jc w:val="left"/>
            </w:pPr>
            <w:r>
              <w:rPr>
                <w:b w:val="false"/>
                <w:bCs w:val="false"/>
                <w:sz w:val="20"/>
                <w:szCs w:val="20"/>
              </w:rPr>
              <w:t xml:space="preserve">40–60% automated provisioning; documented RPO/RTO tiers; scheduled patch cycles.</w:t>
            </w:r>
          </w:p>
        </w:tc>
      </w:tr>
      <w:tr>
        <w:tc>
          <w:tcPr>
            <w:tcW w:type="dxa" w:w="900"/>
            <w:shd w:fill="FFFFFF" w:val="clear"/>
            <w:tcMar>
              <w:top w:type="dxa" w:w="100"/>
              <w:left w:type="dxa" w:w="120"/>
              <w:bottom w:type="dxa" w:w="100"/>
              <w:right w:type="dxa" w:w="120"/>
            </w:tcMar>
            <w:vAlign w:val="center"/>
          </w:tcPr>
          <w:p>
            <w:pPr>
              <w:jc w:val="left"/>
            </w:pPr>
            <w:r>
              <w:rPr>
                <w:b w:val="false"/>
                <w:bCs w:val="false"/>
                <w:sz w:val="20"/>
                <w:szCs w:val="20"/>
              </w:rPr>
              <w:t xml:space="preserve">3</w:t>
            </w:r>
          </w:p>
        </w:tc>
        <w:tc>
          <w:tcPr>
            <w:tcW w:type="dxa" w:w="1400"/>
            <w:shd w:fill="FFFFFF" w:val="clear"/>
            <w:tcMar>
              <w:top w:type="dxa" w:w="100"/>
              <w:left w:type="dxa" w:w="120"/>
              <w:bottom w:type="dxa" w:w="100"/>
              <w:right w:type="dxa" w:w="120"/>
            </w:tcMar>
            <w:vAlign w:val="center"/>
          </w:tcPr>
          <w:p>
            <w:pPr>
              <w:jc w:val="left"/>
            </w:pPr>
            <w:r>
              <w:rPr>
                <w:b w:val="false"/>
                <w:bCs w:val="false"/>
                <w:sz w:val="20"/>
                <w:szCs w:val="20"/>
              </w:rPr>
              <w:t xml:space="preserve">Defined</w:t>
            </w:r>
          </w:p>
        </w:tc>
        <w:tc>
          <w:tcPr>
            <w:tcW w:type="dxa" w:w="3560"/>
            <w:shd w:fill="FFFFFF" w:val="clear"/>
            <w:tcMar>
              <w:top w:type="dxa" w:w="100"/>
              <w:left w:type="dxa" w:w="120"/>
              <w:bottom w:type="dxa" w:w="100"/>
              <w:right w:type="dxa" w:w="120"/>
            </w:tcMar>
            <w:vAlign w:val="center"/>
          </w:tcPr>
          <w:p>
            <w:pPr>
              <w:jc w:val="left"/>
            </w:pPr>
            <w:r>
              <w:rPr>
                <w:b w:val="false"/>
                <w:bCs w:val="false"/>
                <w:sz w:val="20"/>
                <w:szCs w:val="20"/>
              </w:rPr>
              <w:t xml:space="preserve">Enterprise standards and reference architectures; governed operations.</w:t>
            </w:r>
          </w:p>
        </w:tc>
        <w:tc>
          <w:tcPr>
            <w:tcW w:type="dxa" w:w="3500"/>
            <w:shd w:fill="FFFFFF" w:val="clear"/>
            <w:tcMar>
              <w:top w:type="dxa" w:w="100"/>
              <w:left w:type="dxa" w:w="120"/>
              <w:bottom w:type="dxa" w:w="100"/>
              <w:right w:type="dxa" w:w="120"/>
            </w:tcMar>
            <w:vAlign w:val="center"/>
          </w:tcPr>
          <w:p>
            <w:pPr>
              <w:jc w:val="left"/>
            </w:pPr>
            <w:r>
              <w:rPr>
                <w:b w:val="false"/>
                <w:bCs w:val="false"/>
                <w:sz w:val="20"/>
                <w:szCs w:val="20"/>
              </w:rPr>
              <w:t xml:space="preserve">70–85% automated provisioning; policy-as-code; DR exercises on a fixed cadence.</w:t>
            </w:r>
          </w:p>
        </w:tc>
      </w:tr>
      <w:tr>
        <w:tc>
          <w:tcPr>
            <w:tcW w:type="dxa" w:w="900"/>
            <w:shd w:fill="F2F2F2" w:val="clear"/>
            <w:tcMar>
              <w:top w:type="dxa" w:w="100"/>
              <w:left w:type="dxa" w:w="120"/>
              <w:bottom w:type="dxa" w:w="100"/>
              <w:right w:type="dxa" w:w="120"/>
            </w:tcMar>
            <w:vAlign w:val="center"/>
          </w:tcPr>
          <w:p>
            <w:pPr>
              <w:jc w:val="left"/>
            </w:pPr>
            <w:r>
              <w:rPr>
                <w:b w:val="false"/>
                <w:bCs w:val="false"/>
                <w:sz w:val="20"/>
                <w:szCs w:val="20"/>
              </w:rPr>
              <w:t xml:space="preserve">4</w:t>
            </w:r>
          </w:p>
        </w:tc>
        <w:tc>
          <w:tcPr>
            <w:tcW w:type="dxa" w:w="1400"/>
            <w:shd w:fill="F2F2F2" w:val="clear"/>
            <w:tcMar>
              <w:top w:type="dxa" w:w="100"/>
              <w:left w:type="dxa" w:w="120"/>
              <w:bottom w:type="dxa" w:w="100"/>
              <w:right w:type="dxa" w:w="120"/>
            </w:tcMar>
            <w:vAlign w:val="center"/>
          </w:tcPr>
          <w:p>
            <w:pPr>
              <w:jc w:val="left"/>
            </w:pPr>
            <w:r>
              <w:rPr>
                <w:b w:val="false"/>
                <w:bCs w:val="false"/>
                <w:sz w:val="20"/>
                <w:szCs w:val="20"/>
              </w:rPr>
              <w:t xml:space="preserve">Measured</w:t>
            </w:r>
          </w:p>
        </w:tc>
        <w:tc>
          <w:tcPr>
            <w:tcW w:type="dxa" w:w="3560"/>
            <w:shd w:fill="F2F2F2" w:val="clear"/>
            <w:tcMar>
              <w:top w:type="dxa" w:w="100"/>
              <w:left w:type="dxa" w:w="120"/>
              <w:bottom w:type="dxa" w:w="100"/>
              <w:right w:type="dxa" w:w="120"/>
            </w:tcMar>
            <w:vAlign w:val="center"/>
          </w:tcPr>
          <w:p>
            <w:pPr>
              <w:jc w:val="left"/>
            </w:pPr>
            <w:r>
              <w:rPr>
                <w:b w:val="false"/>
                <w:bCs w:val="false"/>
                <w:sz w:val="20"/>
                <w:szCs w:val="20"/>
              </w:rPr>
              <w:t xml:space="preserve">Data-driven operations; proactive resilience and cost control.</w:t>
            </w:r>
          </w:p>
        </w:tc>
        <w:tc>
          <w:tcPr>
            <w:tcW w:type="dxa" w:w="3500"/>
            <w:shd w:fill="F2F2F2" w:val="clear"/>
            <w:tcMar>
              <w:top w:type="dxa" w:w="100"/>
              <w:left w:type="dxa" w:w="120"/>
              <w:bottom w:type="dxa" w:w="100"/>
              <w:right w:type="dxa" w:w="120"/>
            </w:tcMar>
            <w:vAlign w:val="center"/>
          </w:tcPr>
          <w:p>
            <w:pPr>
              <w:jc w:val="left"/>
            </w:pPr>
            <w:r>
              <w:rPr>
                <w:b w:val="false"/>
                <w:bCs w:val="false"/>
                <w:sz w:val="20"/>
                <w:szCs w:val="20"/>
              </w:rPr>
              <w:t xml:space="preserve">90%+ automated provisioning; SLO-based RPO/RTO; license spend tracked against optimization targets.</w:t>
            </w:r>
          </w:p>
        </w:tc>
      </w:tr>
      <w:tr>
        <w:tc>
          <w:tcPr>
            <w:tcW w:type="dxa" w:w="900"/>
            <w:shd w:fill="FFFFFF" w:val="clear"/>
            <w:tcMar>
              <w:top w:type="dxa" w:w="100"/>
              <w:left w:type="dxa" w:w="120"/>
              <w:bottom w:type="dxa" w:w="100"/>
              <w:right w:type="dxa" w:w="120"/>
            </w:tcMar>
            <w:vAlign w:val="center"/>
          </w:tcPr>
          <w:p>
            <w:pPr>
              <w:jc w:val="left"/>
            </w:pPr>
            <w:r>
              <w:rPr>
                <w:b w:val="false"/>
                <w:bCs w:val="false"/>
                <w:sz w:val="20"/>
                <w:szCs w:val="20"/>
              </w:rPr>
              <w:t xml:space="preserve">5</w:t>
            </w:r>
          </w:p>
        </w:tc>
        <w:tc>
          <w:tcPr>
            <w:tcW w:type="dxa" w:w="1400"/>
            <w:shd w:fill="FFFFFF" w:val="clear"/>
            <w:tcMar>
              <w:top w:type="dxa" w:w="100"/>
              <w:left w:type="dxa" w:w="120"/>
              <w:bottom w:type="dxa" w:w="100"/>
              <w:right w:type="dxa" w:w="120"/>
            </w:tcMar>
            <w:vAlign w:val="center"/>
          </w:tcPr>
          <w:p>
            <w:pPr>
              <w:jc w:val="left"/>
            </w:pPr>
            <w:r>
              <w:rPr>
                <w:b w:val="false"/>
                <w:bCs w:val="false"/>
                <w:sz w:val="20"/>
                <w:szCs w:val="20"/>
              </w:rPr>
              <w:t xml:space="preserve">Optimized</w:t>
            </w:r>
          </w:p>
        </w:tc>
        <w:tc>
          <w:tcPr>
            <w:tcW w:type="dxa" w:w="3560"/>
            <w:shd w:fill="FFFFFF" w:val="clear"/>
            <w:tcMar>
              <w:top w:type="dxa" w:w="100"/>
              <w:left w:type="dxa" w:w="120"/>
              <w:bottom w:type="dxa" w:w="100"/>
              <w:right w:type="dxa" w:w="120"/>
            </w:tcMar>
            <w:vAlign w:val="center"/>
          </w:tcPr>
          <w:p>
            <w:pPr>
              <w:jc w:val="left"/>
            </w:pPr>
            <w:r>
              <w:rPr>
                <w:b w:val="false"/>
                <w:bCs w:val="false"/>
                <w:sz w:val="20"/>
                <w:szCs w:val="20"/>
              </w:rPr>
              <w:t xml:space="preserve">Continuous improvement; self-healing; adaptive governance.</w:t>
            </w:r>
          </w:p>
        </w:tc>
        <w:tc>
          <w:tcPr>
            <w:tcW w:type="dxa" w:w="3500"/>
            <w:shd w:fill="FFFFFF" w:val="clear"/>
            <w:tcMar>
              <w:top w:type="dxa" w:w="100"/>
              <w:left w:type="dxa" w:w="120"/>
              <w:bottom w:type="dxa" w:w="100"/>
              <w:right w:type="dxa" w:w="120"/>
            </w:tcMar>
            <w:vAlign w:val="center"/>
          </w:tcPr>
          <w:p>
            <w:pPr>
              <w:jc w:val="left"/>
            </w:pPr>
            <w:r>
              <w:rPr>
                <w:b w:val="false"/>
                <w:bCs w:val="false"/>
                <w:sz w:val="20"/>
                <w:szCs w:val="20"/>
              </w:rPr>
              <w:t xml:space="preserve">&gt;95% automated remediation; predictive capacity scaling; KPIs tied to business outcomes.</w:t>
            </w:r>
          </w:p>
        </w:tc>
      </w:tr>
    </w:tbl>
    <w:p>
      <w:pPr>
        <w:spacing w:before="200"/>
      </w:pPr>
    </w:p>
    <w:p>
      <w:pPr>
        <w:pStyle w:val="Heading2"/>
        <w:spacing w:after="120" w:before="260"/>
      </w:pPr>
      <w:r>
        <w:t xml:space="preserve">6.6 Current-State → Target-State Bridge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shd w:fill="1F3864" w:val="clear"/>
            <w:tcMar>
              <w:top w:type="dxa" w:w="100"/>
              <w:left w:type="dxa" w:w="120"/>
              <w:bottom w:type="dxa" w:w="100"/>
              <w:right w:type="dxa" w:w="120"/>
            </w:tcMar>
            <w:vAlign w:val="center"/>
          </w:tcPr>
          <w:p>
            <w:pPr>
              <w:jc w:val="left"/>
            </w:pPr>
            <w:r>
              <w:rPr>
                <w:b/>
                <w:bCs/>
                <w:color w:val="FFFFFF"/>
                <w:sz w:val="20"/>
                <w:szCs w:val="20"/>
              </w:rPr>
              <w:t xml:space="preserve">Domain</w:t>
            </w:r>
          </w:p>
        </w:tc>
        <w:tc>
          <w:tcPr>
            <w:tcW w:type="dxa" w:w="3780"/>
            <w:shd w:fill="1F3864" w:val="clear"/>
            <w:tcMar>
              <w:top w:type="dxa" w:w="100"/>
              <w:left w:type="dxa" w:w="120"/>
              <w:bottom w:type="dxa" w:w="100"/>
              <w:right w:type="dxa" w:w="120"/>
            </w:tcMar>
            <w:vAlign w:val="center"/>
          </w:tcPr>
          <w:p>
            <w:pPr>
              <w:jc w:val="left"/>
            </w:pPr>
            <w:r>
              <w:rPr>
                <w:b/>
                <w:bCs/>
                <w:color w:val="FFFFFF"/>
                <w:sz w:val="20"/>
                <w:szCs w:val="20"/>
              </w:rPr>
              <w:t xml:space="preserve">Current Observation</w:t>
            </w:r>
          </w:p>
        </w:tc>
        <w:tc>
          <w:tcPr>
            <w:tcW w:type="dxa" w:w="3780"/>
            <w:shd w:fill="1F3864" w:val="clear"/>
            <w:tcMar>
              <w:top w:type="dxa" w:w="100"/>
              <w:left w:type="dxa" w:w="120"/>
              <w:bottom w:type="dxa" w:w="100"/>
              <w:right w:type="dxa" w:w="120"/>
            </w:tcMar>
            <w:vAlign w:val="center"/>
          </w:tcPr>
          <w:p>
            <w:pPr>
              <w:jc w:val="left"/>
            </w:pPr>
            <w:r>
              <w:rPr>
                <w:b/>
                <w:bCs/>
                <w:color w:val="FFFFFF"/>
                <w:sz w:val="20"/>
                <w:szCs w:val="20"/>
              </w:rPr>
              <w:t xml:space="preserve">Strategic Focus for Future State</w:t>
            </w:r>
          </w:p>
        </w:tc>
      </w:tr>
      <w:tr>
        <w:tc>
          <w:tcPr>
            <w:tcW w:type="dxa" w:w="1800"/>
            <w:shd w:fill="FFFFFF" w:val="clear"/>
            <w:tcMar>
              <w:top w:type="dxa" w:w="100"/>
              <w:left w:type="dxa" w:w="120"/>
              <w:bottom w:type="dxa" w:w="100"/>
              <w:right w:type="dxa" w:w="120"/>
            </w:tcMar>
            <w:vAlign w:val="center"/>
          </w:tcPr>
          <w:p>
            <w:pPr>
              <w:jc w:val="left"/>
            </w:pPr>
            <w:r>
              <w:rPr>
                <w:b w:val="false"/>
                <w:bCs w:val="false"/>
                <w:sz w:val="20"/>
                <w:szCs w:val="20"/>
              </w:rPr>
              <w:t xml:space="preserve">Licensing</w:t>
            </w:r>
          </w:p>
        </w:tc>
        <w:tc>
          <w:tcPr>
            <w:tcW w:type="dxa" w:w="3780"/>
            <w:shd w:fill="FFFFFF" w:val="clear"/>
            <w:tcMar>
              <w:top w:type="dxa" w:w="100"/>
              <w:left w:type="dxa" w:w="120"/>
              <w:bottom w:type="dxa" w:w="100"/>
              <w:right w:type="dxa" w:w="120"/>
            </w:tcMar>
            <w:vAlign w:val="center"/>
          </w:tcPr>
          <w:p>
            <w:pPr>
              <w:jc w:val="left"/>
            </w:pPr>
            <w:r>
              <w:rPr>
                <w:b w:val="false"/>
                <w:bCs w:val="false"/>
                <w:sz w:val="20"/>
                <w:szCs w:val="20"/>
              </w:rPr>
              <w:t xml:space="preserve">DB2 legacy licensing is a cost outlier; deprecated but not yet retired.</w:t>
            </w:r>
          </w:p>
        </w:tc>
        <w:tc>
          <w:tcPr>
            <w:tcW w:type="dxa" w:w="3780"/>
            <w:shd w:fill="FFFFFF" w:val="clear"/>
            <w:tcMar>
              <w:top w:type="dxa" w:w="100"/>
              <w:left w:type="dxa" w:w="120"/>
              <w:bottom w:type="dxa" w:w="100"/>
              <w:right w:type="dxa" w:w="120"/>
            </w:tcMar>
            <w:vAlign w:val="center"/>
          </w:tcPr>
          <w:p>
            <w:pPr>
              <w:jc w:val="left"/>
            </w:pPr>
            <w:r>
              <w:rPr>
                <w:b w:val="false"/>
                <w:bCs w:val="false"/>
                <w:sz w:val="20"/>
                <w:szCs w:val="20"/>
              </w:rPr>
              <w:t xml:space="preserve">Rationalized, cost-optimized licensing footprint; DB2 exit completed.</w:t>
            </w:r>
          </w:p>
        </w:tc>
      </w:tr>
      <w:tr>
        <w:tc>
          <w:tcPr>
            <w:tcW w:type="dxa" w:w="1800"/>
            <w:shd w:fill="F2F2F2" w:val="clear"/>
            <w:tcMar>
              <w:top w:type="dxa" w:w="100"/>
              <w:left w:type="dxa" w:w="120"/>
              <w:bottom w:type="dxa" w:w="100"/>
              <w:right w:type="dxa" w:w="120"/>
            </w:tcMar>
            <w:vAlign w:val="center"/>
          </w:tcPr>
          <w:p>
            <w:pPr>
              <w:jc w:val="left"/>
            </w:pPr>
            <w:r>
              <w:rPr>
                <w:b w:val="false"/>
                <w:bCs w:val="false"/>
                <w:sz w:val="20"/>
                <w:szCs w:val="20"/>
              </w:rPr>
              <w:t xml:space="preserve">Resilience</w:t>
            </w:r>
          </w:p>
        </w:tc>
        <w:tc>
          <w:tcPr>
            <w:tcW w:type="dxa" w:w="3780"/>
            <w:shd w:fill="F2F2F2" w:val="clear"/>
            <w:tcMar>
              <w:top w:type="dxa" w:w="100"/>
              <w:left w:type="dxa" w:w="120"/>
              <w:bottom w:type="dxa" w:w="100"/>
              <w:right w:type="dxa" w:w="120"/>
            </w:tcMar>
            <w:vAlign w:val="center"/>
          </w:tcPr>
          <w:p>
            <w:pPr>
              <w:jc w:val="left"/>
            </w:pPr>
            <w:r>
              <w:rPr>
                <w:b w:val="false"/>
                <w:bCs w:val="false"/>
                <w:sz w:val="20"/>
                <w:szCs w:val="20"/>
              </w:rPr>
              <w:t xml:space="preserve">99.5% availability; RPO/RTO up to 96 hours across the board.</w:t>
            </w:r>
          </w:p>
        </w:tc>
        <w:tc>
          <w:tcPr>
            <w:tcW w:type="dxa" w:w="3780"/>
            <w:shd w:fill="F2F2F2" w:val="clear"/>
            <w:tcMar>
              <w:top w:type="dxa" w:w="100"/>
              <w:left w:type="dxa" w:w="120"/>
              <w:bottom w:type="dxa" w:w="100"/>
              <w:right w:type="dxa" w:w="120"/>
            </w:tcMar>
            <w:vAlign w:val="center"/>
          </w:tcPr>
          <w:p>
            <w:pPr>
              <w:jc w:val="left"/>
            </w:pPr>
            <w:r>
              <w:rPr>
                <w:b w:val="false"/>
                <w:bCs w:val="false"/>
                <w:sz w:val="20"/>
                <w:szCs w:val="20"/>
              </w:rPr>
              <w:t xml:space="preserve">Tiered resilience targets aligned to workload criticality, informed by cloud roadmap's maturity levels 4–5.</w:t>
            </w:r>
          </w:p>
        </w:tc>
      </w:tr>
      <w:tr>
        <w:tc>
          <w:tcPr>
            <w:tcW w:type="dxa" w:w="1800"/>
            <w:shd w:fill="FFFFFF" w:val="clear"/>
            <w:tcMar>
              <w:top w:type="dxa" w:w="100"/>
              <w:left w:type="dxa" w:w="120"/>
              <w:bottom w:type="dxa" w:w="100"/>
              <w:right w:type="dxa" w:w="120"/>
            </w:tcMar>
            <w:vAlign w:val="center"/>
          </w:tcPr>
          <w:p>
            <w:pPr>
              <w:jc w:val="left"/>
            </w:pPr>
            <w:r>
              <w:rPr>
                <w:b w:val="false"/>
                <w:bCs w:val="false"/>
                <w:sz w:val="20"/>
                <w:szCs w:val="20"/>
              </w:rPr>
              <w:t xml:space="preserve">Platform Choice</w:t>
            </w:r>
          </w:p>
        </w:tc>
        <w:tc>
          <w:tcPr>
            <w:tcW w:type="dxa" w:w="3780"/>
            <w:shd w:fill="FFFFFF" w:val="clear"/>
            <w:tcMar>
              <w:top w:type="dxa" w:w="100"/>
              <w:left w:type="dxa" w:w="120"/>
              <w:bottom w:type="dxa" w:w="100"/>
              <w:right w:type="dxa" w:w="120"/>
            </w:tcMar>
            <w:vAlign w:val="center"/>
          </w:tcPr>
          <w:p>
            <w:pPr>
              <w:jc w:val="left"/>
            </w:pPr>
            <w:r>
              <w:rPr>
                <w:b w:val="false"/>
                <w:bCs w:val="false"/>
                <w:sz w:val="20"/>
                <w:szCs w:val="20"/>
              </w:rPr>
              <w:t xml:space="preserve">Postgres/MongoDB cloud-only; Oracle Exa@Azure pricing TBD.</w:t>
            </w:r>
          </w:p>
        </w:tc>
        <w:tc>
          <w:tcPr>
            <w:tcW w:type="dxa" w:w="3780"/>
            <w:shd w:fill="FFFFFF" w:val="clear"/>
            <w:tcMar>
              <w:top w:type="dxa" w:w="100"/>
              <w:left w:type="dxa" w:w="120"/>
              <w:bottom w:type="dxa" w:w="100"/>
              <w:right w:type="dxa" w:w="120"/>
            </w:tcMar>
            <w:vAlign w:val="center"/>
          </w:tcPr>
          <w:p>
            <w:pPr>
              <w:jc w:val="left"/>
            </w:pPr>
            <w:r>
              <w:rPr>
                <w:b w:val="false"/>
                <w:bCs w:val="false"/>
                <w:sz w:val="20"/>
                <w:szCs w:val="20"/>
              </w:rPr>
              <w:t xml:space="preserve">Deliberate placement policy for every engine, consistent with “cloud appropriate.”</w:t>
            </w:r>
          </w:p>
        </w:tc>
      </w:tr>
      <w:tr>
        <w:tc>
          <w:tcPr>
            <w:tcW w:type="dxa" w:w="1800"/>
            <w:shd w:fill="F2F2F2" w:val="clear"/>
            <w:tcMar>
              <w:top w:type="dxa" w:w="100"/>
              <w:left w:type="dxa" w:w="120"/>
              <w:bottom w:type="dxa" w:w="100"/>
              <w:right w:type="dxa" w:w="120"/>
            </w:tcMar>
            <w:vAlign w:val="center"/>
          </w:tcPr>
          <w:p>
            <w:pPr>
              <w:jc w:val="left"/>
            </w:pPr>
            <w:r>
              <w:rPr>
                <w:b w:val="false"/>
                <w:bCs w:val="false"/>
                <w:sz w:val="20"/>
                <w:szCs w:val="20"/>
              </w:rPr>
              <w:t xml:space="preserve">Operating Model</w:t>
            </w:r>
          </w:p>
        </w:tc>
        <w:tc>
          <w:tcPr>
            <w:tcW w:type="dxa" w:w="3780"/>
            <w:shd w:fill="F2F2F2" w:val="clear"/>
            <w:tcMar>
              <w:top w:type="dxa" w:w="100"/>
              <w:left w:type="dxa" w:w="120"/>
              <w:bottom w:type="dxa" w:w="100"/>
              <w:right w:type="dxa" w:w="120"/>
            </w:tcMar>
            <w:vAlign w:val="center"/>
          </w:tcPr>
          <w:p>
            <w:pPr>
              <w:jc w:val="left"/>
            </w:pPr>
            <w:r>
              <w:rPr>
                <w:b w:val="false"/>
                <w:bCs w:val="false"/>
                <w:sz w:val="20"/>
                <w:szCs w:val="20"/>
              </w:rPr>
              <w:t xml:space="preserve">HCL-managed, largely ticket-driven provisioning.</w:t>
            </w:r>
          </w:p>
        </w:tc>
        <w:tc>
          <w:tcPr>
            <w:tcW w:type="dxa" w:w="3780"/>
            <w:shd w:fill="F2F2F2" w:val="clear"/>
            <w:tcMar>
              <w:top w:type="dxa" w:w="100"/>
              <w:left w:type="dxa" w:w="120"/>
              <w:bottom w:type="dxa" w:w="100"/>
              <w:right w:type="dxa" w:w="120"/>
            </w:tcMar>
            <w:vAlign w:val="center"/>
          </w:tcPr>
          <w:p>
            <w:pPr>
              <w:jc w:val="left"/>
            </w:pPr>
            <w:r>
              <w:rPr>
                <w:b w:val="false"/>
                <w:bCs w:val="false"/>
                <w:sz w:val="20"/>
                <w:szCs w:val="20"/>
              </w:rPr>
              <w:t xml:space="preserve">Increased self-service for common patterns, consistent with “Automation Everywhere.”</w:t>
            </w:r>
          </w:p>
        </w:tc>
      </w:tr>
    </w:tbl>
    <w:p>
      <w:pPr>
        <w:spacing w:before="200"/>
      </w:pPr>
    </w:p>
    <w:p>
      <w:pPr>
        <w:pStyle w:val="Heading2"/>
        <w:spacing w:after="120" w:before="260"/>
      </w:pPr>
      <w:r>
        <w:t xml:space="preserve">6.7 Work Package / Initiative Templates</w:t>
      </w:r>
    </w:p>
    <w:p>
      <w:pPr>
        <w:spacing w:after="160" w:line="276"/>
      </w:pPr>
      <w:r>
        <w:t xml:space="preserve">Mirrors the cloud roadmap's pain-points table, initiative/objective table, dependencies slide, quarterly sequencing view, and cost/duration/timeline table — same shapes, database content.</w:t>
      </w:r>
    </w:p>
    <w:p>
      <w:pPr>
        <w:pStyle w:val="Heading3"/>
        <w:spacing w:after="100" w:before="200"/>
      </w:pPr>
      <w:r>
        <w:t xml:space="preserve">Priorities &amp; Pain 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930"/>
        <w:gridCol w:w="293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20"/>
                <w:szCs w:val="20"/>
              </w:rPr>
              <w:t xml:space="preserve">Priority Name</w:t>
            </w:r>
          </w:p>
        </w:tc>
        <w:tc>
          <w:tcPr>
            <w:tcW w:type="dxa" w:w="1300"/>
            <w:shd w:fill="1F3864" w:val="clear"/>
            <w:tcMar>
              <w:top w:type="dxa" w:w="100"/>
              <w:left w:type="dxa" w:w="120"/>
              <w:bottom w:type="dxa" w:w="100"/>
              <w:right w:type="dxa" w:w="120"/>
            </w:tcMar>
            <w:vAlign w:val="center"/>
          </w:tcPr>
          <w:p>
            <w:pPr>
              <w:jc w:val="left"/>
            </w:pPr>
            <w:r>
              <w:rPr>
                <w:b/>
                <w:bCs/>
                <w:color w:val="FFFFFF"/>
                <w:sz w:val="20"/>
                <w:szCs w:val="20"/>
              </w:rPr>
              <w:t xml:space="preserve">Rank</w:t>
            </w:r>
          </w:p>
        </w:tc>
        <w:tc>
          <w:tcPr>
            <w:tcW w:type="dxa" w:w="2930"/>
            <w:shd w:fill="1F3864" w:val="clear"/>
            <w:tcMar>
              <w:top w:type="dxa" w:w="100"/>
              <w:left w:type="dxa" w:w="120"/>
              <w:bottom w:type="dxa" w:w="100"/>
              <w:right w:type="dxa" w:w="120"/>
            </w:tcMar>
            <w:vAlign w:val="center"/>
          </w:tcPr>
          <w:p>
            <w:pPr>
              <w:jc w:val="left"/>
            </w:pPr>
            <w:r>
              <w:rPr>
                <w:b/>
                <w:bCs/>
                <w:color w:val="FFFFFF"/>
                <w:sz w:val="20"/>
                <w:szCs w:val="20"/>
              </w:rPr>
              <w:t xml:space="preserve">Pain Point</w:t>
            </w:r>
          </w:p>
        </w:tc>
        <w:tc>
          <w:tcPr>
            <w:tcW w:type="dxa" w:w="2930"/>
            <w:shd w:fill="1F3864" w:val="clear"/>
            <w:tcMar>
              <w:top w:type="dxa" w:w="100"/>
              <w:left w:type="dxa" w:w="120"/>
              <w:bottom w:type="dxa" w:w="100"/>
              <w:right w:type="dxa" w:w="120"/>
            </w:tcMar>
            <w:vAlign w:val="center"/>
          </w:tcPr>
          <w:p>
            <w:pPr>
              <w:jc w:val="left"/>
            </w:pPr>
            <w:r>
              <w:rPr>
                <w:b/>
                <w:bCs/>
                <w:color w:val="FFFFFF"/>
                <w:sz w:val="20"/>
                <w:szCs w:val="20"/>
              </w:rPr>
              <w:t xml:space="preserve">Business Impact</w:t>
            </w:r>
          </w:p>
        </w:tc>
      </w:tr>
      <w:tr>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w:t>
            </w:r>
          </w:p>
        </w:tc>
        <w:tc>
          <w:tcPr>
            <w:tcW w:type="dxa" w:w="1300"/>
            <w:shd w:fill="FFFFFF" w:val="clear"/>
            <w:tcMar>
              <w:top w:type="dxa" w:w="100"/>
              <w:left w:type="dxa" w:w="120"/>
              <w:bottom w:type="dxa" w:w="100"/>
              <w:right w:type="dxa" w:w="120"/>
            </w:tcMar>
            <w:vAlign w:val="center"/>
          </w:tcPr>
          <w:p>
            <w:pPr>
              <w:jc w:val="left"/>
            </w:pPr>
            <w:r>
              <w:rPr>
                <w:b w:val="false"/>
                <w:bCs w:val="false"/>
                <w:sz w:val="20"/>
                <w:szCs w:val="20"/>
              </w:rPr>
              <w:t xml:space="preserve">—</w:t>
            </w:r>
          </w:p>
        </w:tc>
        <w:tc>
          <w:tcPr>
            <w:tcW w:type="dxa" w:w="2930"/>
            <w:shd w:fill="FFFFFF" w:val="clear"/>
            <w:tcMar>
              <w:top w:type="dxa" w:w="100"/>
              <w:left w:type="dxa" w:w="120"/>
              <w:bottom w:type="dxa" w:w="100"/>
              <w:right w:type="dxa" w:w="120"/>
            </w:tcMar>
            <w:vAlign w:val="center"/>
          </w:tcPr>
          <w:p>
            <w:pPr>
              <w:jc w:val="left"/>
            </w:pPr>
            <w:r>
              <w:rPr>
                <w:b w:val="false"/>
                <w:bCs w:val="false"/>
                <w:sz w:val="20"/>
                <w:szCs w:val="20"/>
              </w:rPr>
              <w:t xml:space="preserve">—</w:t>
            </w:r>
          </w:p>
        </w:tc>
        <w:tc>
          <w:tcPr>
            <w:tcW w:type="dxa" w:w="2930"/>
            <w:shd w:fill="FFFFFF" w:val="clear"/>
            <w:tcMar>
              <w:top w:type="dxa" w:w="100"/>
              <w:left w:type="dxa" w:w="120"/>
              <w:bottom w:type="dxa" w:w="100"/>
              <w:right w:type="dxa" w:w="120"/>
            </w:tcMar>
            <w:vAlign w:val="center"/>
          </w:tcPr>
          <w:p>
            <w:pPr>
              <w:jc w:val="left"/>
            </w:pPr>
            <w:r>
              <w:rPr>
                <w:b w:val="false"/>
                <w:bCs w:val="false"/>
                <w:sz w:val="20"/>
                <w:szCs w:val="20"/>
              </w:rPr>
              <w:t xml:space="preserve">—</w:t>
            </w:r>
          </w:p>
        </w:tc>
      </w:tr>
    </w:tbl>
    <w:p>
      <w:pPr>
        <w:spacing w:before="160"/>
      </w:pPr>
    </w:p>
    <w:p>
      <w:pPr>
        <w:pStyle w:val="Heading3"/>
        <w:spacing w:after="100" w:before="200"/>
      </w:pPr>
      <w:r>
        <w:t xml:space="preserve">Initiatives &amp; Objectives (coded, e.g. D1, D2… for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val="clear"/>
            <w:tcMar>
              <w:top w:type="dxa" w:w="100"/>
              <w:left w:type="dxa" w:w="120"/>
              <w:bottom w:type="dxa" w:w="100"/>
              <w:right w:type="dxa" w:w="120"/>
            </w:tcMar>
            <w:vAlign w:val="center"/>
          </w:tcPr>
          <w:p>
            <w:pPr>
              <w:jc w:val="left"/>
            </w:pPr>
            <w:r>
              <w:rPr>
                <w:b/>
                <w:bCs/>
                <w:color w:val="FFFFFF"/>
                <w:sz w:val="20"/>
                <w:szCs w:val="20"/>
              </w:rPr>
              <w:t xml:space="preserve">Code / Initiative</w:t>
            </w:r>
          </w:p>
        </w:tc>
        <w:tc>
          <w:tcPr>
            <w:tcW w:type="dxa" w:w="7020"/>
            <w:shd w:fill="1F3864" w:val="clear"/>
            <w:tcMar>
              <w:top w:type="dxa" w:w="100"/>
              <w:left w:type="dxa" w:w="120"/>
              <w:bottom w:type="dxa" w:w="100"/>
              <w:right w:type="dxa" w:w="120"/>
            </w:tcMar>
            <w:vAlign w:val="center"/>
          </w:tcPr>
          <w:p>
            <w:pPr>
              <w:jc w:val="left"/>
            </w:pPr>
            <w:r>
              <w:rPr>
                <w:b/>
                <w:bCs/>
                <w:color w:val="FFFFFF"/>
                <w:sz w:val="20"/>
                <w:szCs w:val="20"/>
              </w:rPr>
              <w:t xml:space="preserve">Objective</w:t>
            </w:r>
          </w:p>
        </w:tc>
      </w:tr>
      <w:tr>
        <w:tc>
          <w:tcPr>
            <w:tcW w:type="dxa" w:w="2340"/>
            <w:shd w:fill="FFFFFF" w:val="clear"/>
            <w:tcMar>
              <w:top w:type="dxa" w:w="100"/>
              <w:left w:type="dxa" w:w="120"/>
              <w:bottom w:type="dxa" w:w="100"/>
              <w:right w:type="dxa" w:w="120"/>
            </w:tcMar>
            <w:vAlign w:val="center"/>
          </w:tcPr>
          <w:p>
            <w:pPr>
              <w:jc w:val="left"/>
            </w:pPr>
            <w:r>
              <w:rPr>
                <w:b w:val="false"/>
                <w:bCs w:val="false"/>
                <w:sz w:val="20"/>
                <w:szCs w:val="20"/>
              </w:rPr>
              <w:t xml:space="preserve">D1: —</w:t>
            </w:r>
          </w:p>
        </w:tc>
        <w:tc>
          <w:tcPr>
            <w:tcW w:type="dxa" w:w="7020"/>
            <w:shd w:fill="FFFFFF" w:val="clear"/>
            <w:tcMar>
              <w:top w:type="dxa" w:w="100"/>
              <w:left w:type="dxa" w:w="120"/>
              <w:bottom w:type="dxa" w:w="100"/>
              <w:right w:type="dxa" w:w="120"/>
            </w:tcMar>
            <w:vAlign w:val="center"/>
          </w:tcPr>
          <w:p>
            <w:pPr>
              <w:jc w:val="left"/>
            </w:pPr>
            <w:r>
              <w:rPr>
                <w:b w:val="false"/>
                <w:bCs w:val="false"/>
                <w:sz w:val="20"/>
                <w:szCs w:val="20"/>
              </w:rPr>
              <w:t xml:space="preserve">—</w:t>
            </w:r>
          </w:p>
        </w:tc>
      </w:tr>
    </w:tbl>
    <w:p>
      <w:pPr>
        <w:spacing w:before="160"/>
      </w:pPr>
    </w:p>
    <w:p>
      <w:pPr>
        <w:pStyle w:val="Heading3"/>
        <w:spacing w:after="100" w:before="200"/>
      </w:pPr>
      <w:r>
        <w:t xml:space="preserve">Dependencies on Sibling Roadmaps</w:t>
      </w:r>
    </w:p>
    <w:p>
      <w:pPr>
        <w:pStyle w:val="ListParagraph"/>
        <w:numPr>
          <w:ilvl w:val="0"/>
          <w:numId w:val="3"/>
        </w:numPr>
        <w:spacing w:after="80" w:line="276"/>
      </w:pPr>
      <w:r>
        <w:t xml:space="preserve">Flag which database initiatives depend on, or feed, Cloud Foundations work packages — e.g., a DR modernization initiative may depend on Chaos Resiliency Testing (C7); a database observability initiative may depend on the Cloud Log Forwarding Platform (C1).</w:t>
      </w:r>
    </w:p>
    <w:p>
      <w:pPr>
        <w:pStyle w:val="Heading3"/>
        <w:spacing w:after="100" w:before="200"/>
      </w:pPr>
      <w:r>
        <w:t xml:space="preserve">Quarterly Sequencing (2-Year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875"/>
        <w:gridCol w:w="875"/>
        <w:gridCol w:w="875"/>
        <w:gridCol w:w="875"/>
        <w:gridCol w:w="875"/>
        <w:gridCol w:w="875"/>
        <w:gridCol w:w="875"/>
        <w:gridCol w:w="875"/>
      </w:tblGrid>
      <w:tr>
        <w:trPr>
          <w:tblHeader/>
        </w:trPr>
        <w:tc>
          <w:tcPr>
            <w:tcW w:type="dxa" w:w="2340"/>
            <w:shd w:fill="1F3864" w:val="clear"/>
            <w:tcMar>
              <w:top w:type="dxa" w:w="100"/>
              <w:left w:type="dxa" w:w="120"/>
              <w:bottom w:type="dxa" w:w="100"/>
              <w:right w:type="dxa" w:w="120"/>
            </w:tcMar>
            <w:vAlign w:val="center"/>
          </w:tcPr>
          <w:p>
            <w:pPr>
              <w:jc w:val="left"/>
            </w:pPr>
            <w:r>
              <w:rPr>
                <w:b/>
                <w:bCs/>
                <w:color w:val="FFFFFF"/>
                <w:sz w:val="20"/>
                <w:szCs w:val="20"/>
              </w:rPr>
              <w:t xml:space="preserve">Initiative</w:t>
            </w:r>
          </w:p>
        </w:tc>
        <w:tc>
          <w:tcPr>
            <w:tcW w:type="dxa" w:w="875"/>
            <w:shd w:fill="1F3864" w:val="clear"/>
            <w:tcMar>
              <w:top w:type="dxa" w:w="100"/>
              <w:left w:type="dxa" w:w="120"/>
              <w:bottom w:type="dxa" w:w="100"/>
              <w:right w:type="dxa" w:w="120"/>
            </w:tcMar>
            <w:vAlign w:val="center"/>
          </w:tcPr>
          <w:p>
            <w:pPr>
              <w:jc w:val="left"/>
            </w:pPr>
            <w:r>
              <w:rPr>
                <w:b/>
                <w:bCs/>
                <w:color w:val="FFFFFF"/>
                <w:sz w:val="20"/>
                <w:szCs w:val="20"/>
              </w:rPr>
              <w:t xml:space="preserve">Q1</w:t>
            </w:r>
          </w:p>
        </w:tc>
        <w:tc>
          <w:tcPr>
            <w:tcW w:type="dxa" w:w="875"/>
            <w:shd w:fill="1F3864" w:val="clear"/>
            <w:tcMar>
              <w:top w:type="dxa" w:w="100"/>
              <w:left w:type="dxa" w:w="120"/>
              <w:bottom w:type="dxa" w:w="100"/>
              <w:right w:type="dxa" w:w="120"/>
            </w:tcMar>
            <w:vAlign w:val="center"/>
          </w:tcPr>
          <w:p>
            <w:pPr>
              <w:jc w:val="left"/>
            </w:pPr>
            <w:r>
              <w:rPr>
                <w:b/>
                <w:bCs/>
                <w:color w:val="FFFFFF"/>
                <w:sz w:val="20"/>
                <w:szCs w:val="20"/>
              </w:rPr>
              <w:t xml:space="preserve">Q2</w:t>
            </w:r>
          </w:p>
        </w:tc>
        <w:tc>
          <w:tcPr>
            <w:tcW w:type="dxa" w:w="875"/>
            <w:shd w:fill="1F3864" w:val="clear"/>
            <w:tcMar>
              <w:top w:type="dxa" w:w="100"/>
              <w:left w:type="dxa" w:w="120"/>
              <w:bottom w:type="dxa" w:w="100"/>
              <w:right w:type="dxa" w:w="120"/>
            </w:tcMar>
            <w:vAlign w:val="center"/>
          </w:tcPr>
          <w:p>
            <w:pPr>
              <w:jc w:val="left"/>
            </w:pPr>
            <w:r>
              <w:rPr>
                <w:b/>
                <w:bCs/>
                <w:color w:val="FFFFFF"/>
                <w:sz w:val="20"/>
                <w:szCs w:val="20"/>
              </w:rPr>
              <w:t xml:space="preserve">Q3</w:t>
            </w:r>
          </w:p>
        </w:tc>
        <w:tc>
          <w:tcPr>
            <w:tcW w:type="dxa" w:w="875"/>
            <w:shd w:fill="1F3864" w:val="clear"/>
            <w:tcMar>
              <w:top w:type="dxa" w:w="100"/>
              <w:left w:type="dxa" w:w="120"/>
              <w:bottom w:type="dxa" w:w="100"/>
              <w:right w:type="dxa" w:w="120"/>
            </w:tcMar>
            <w:vAlign w:val="center"/>
          </w:tcPr>
          <w:p>
            <w:pPr>
              <w:jc w:val="left"/>
            </w:pPr>
            <w:r>
              <w:rPr>
                <w:b/>
                <w:bCs/>
                <w:color w:val="FFFFFF"/>
                <w:sz w:val="20"/>
                <w:szCs w:val="20"/>
              </w:rPr>
              <w:t xml:space="preserve">Q4</w:t>
            </w:r>
          </w:p>
        </w:tc>
        <w:tc>
          <w:tcPr>
            <w:tcW w:type="dxa" w:w="875"/>
            <w:shd w:fill="1F3864" w:val="clear"/>
            <w:tcMar>
              <w:top w:type="dxa" w:w="100"/>
              <w:left w:type="dxa" w:w="120"/>
              <w:bottom w:type="dxa" w:w="100"/>
              <w:right w:type="dxa" w:w="120"/>
            </w:tcMar>
            <w:vAlign w:val="center"/>
          </w:tcPr>
          <w:p>
            <w:pPr>
              <w:jc w:val="left"/>
            </w:pPr>
            <w:r>
              <w:rPr>
                <w:b/>
                <w:bCs/>
                <w:color w:val="FFFFFF"/>
                <w:sz w:val="20"/>
                <w:szCs w:val="20"/>
              </w:rPr>
              <w:t xml:space="preserve">Q1</w:t>
            </w:r>
          </w:p>
        </w:tc>
        <w:tc>
          <w:tcPr>
            <w:tcW w:type="dxa" w:w="875"/>
            <w:shd w:fill="1F3864" w:val="clear"/>
            <w:tcMar>
              <w:top w:type="dxa" w:w="100"/>
              <w:left w:type="dxa" w:w="120"/>
              <w:bottom w:type="dxa" w:w="100"/>
              <w:right w:type="dxa" w:w="120"/>
            </w:tcMar>
            <w:vAlign w:val="center"/>
          </w:tcPr>
          <w:p>
            <w:pPr>
              <w:jc w:val="left"/>
            </w:pPr>
            <w:r>
              <w:rPr>
                <w:b/>
                <w:bCs/>
                <w:color w:val="FFFFFF"/>
                <w:sz w:val="20"/>
                <w:szCs w:val="20"/>
              </w:rPr>
              <w:t xml:space="preserve">Q2</w:t>
            </w:r>
          </w:p>
        </w:tc>
        <w:tc>
          <w:tcPr>
            <w:tcW w:type="dxa" w:w="875"/>
            <w:shd w:fill="1F3864" w:val="clear"/>
            <w:tcMar>
              <w:top w:type="dxa" w:w="100"/>
              <w:left w:type="dxa" w:w="120"/>
              <w:bottom w:type="dxa" w:w="100"/>
              <w:right w:type="dxa" w:w="120"/>
            </w:tcMar>
            <w:vAlign w:val="center"/>
          </w:tcPr>
          <w:p>
            <w:pPr>
              <w:jc w:val="left"/>
            </w:pPr>
            <w:r>
              <w:rPr>
                <w:b/>
                <w:bCs/>
                <w:color w:val="FFFFFF"/>
                <w:sz w:val="20"/>
                <w:szCs w:val="20"/>
              </w:rPr>
              <w:t xml:space="preserve">Q3</w:t>
            </w:r>
          </w:p>
        </w:tc>
        <w:tc>
          <w:tcPr>
            <w:tcW w:type="dxa" w:w="875"/>
            <w:shd w:fill="1F3864" w:val="clear"/>
            <w:tcMar>
              <w:top w:type="dxa" w:w="100"/>
              <w:left w:type="dxa" w:w="120"/>
              <w:bottom w:type="dxa" w:w="100"/>
              <w:right w:type="dxa" w:w="120"/>
            </w:tcMar>
            <w:vAlign w:val="center"/>
          </w:tcPr>
          <w:p>
            <w:pPr>
              <w:jc w:val="left"/>
            </w:pPr>
            <w:r>
              <w:rPr>
                <w:b/>
                <w:bCs/>
                <w:color w:val="FFFFFF"/>
                <w:sz w:val="20"/>
                <w:szCs w:val="20"/>
              </w:rPr>
              <w:t xml:space="preserve">Q4</w:t>
            </w:r>
          </w:p>
        </w:tc>
      </w:tr>
      <w:tr>
        <w:tc>
          <w:tcPr>
            <w:tcW w:type="dxa" w:w="2340"/>
            <w:shd w:fill="FFFFFF" w:val="clear"/>
            <w:tcMar>
              <w:top w:type="dxa" w:w="100"/>
              <w:left w:type="dxa" w:w="120"/>
              <w:bottom w:type="dxa" w:w="100"/>
              <w:right w:type="dxa" w:w="120"/>
            </w:tcMar>
            <w:vAlign w:val="center"/>
          </w:tcPr>
          <w:p>
            <w:pPr>
              <w:jc w:val="left"/>
            </w:pPr>
            <w:r>
              <w:rPr>
                <w:b w:val="false"/>
                <w:bCs w:val="false"/>
                <w:sz w:val="20"/>
                <w:szCs w:val="20"/>
              </w:rPr>
              <w:t xml:space="preserve">—</w:t>
            </w:r>
          </w:p>
        </w:tc>
        <w:tc>
          <w:tcPr>
            <w:tcW w:type="dxa" w:w="875"/>
            <w:shd w:fill="FFFFFF" w:val="clear"/>
            <w:tcMar>
              <w:top w:type="dxa" w:w="100"/>
              <w:left w:type="dxa" w:w="120"/>
              <w:bottom w:type="dxa" w:w="100"/>
              <w:right w:type="dxa" w:w="120"/>
            </w:tcMar>
            <w:vAlign w:val="center"/>
          </w:tcPr>
          <w:p>
            <w:pPr>
              <w:jc w:val="left"/>
            </w:pPr>
            <w:r>
              <w:rPr>
                <w:b w:val="false"/>
                <w:bCs w:val="false"/>
                <w:sz w:val="20"/>
                <w:szCs w:val="20"/>
              </w:rPr>
              <w:t xml:space="preserve"/>
            </w:r>
          </w:p>
        </w:tc>
        <w:tc>
          <w:tcPr>
            <w:tcW w:type="dxa" w:w="875"/>
            <w:shd w:fill="FFFFFF" w:val="clear"/>
            <w:tcMar>
              <w:top w:type="dxa" w:w="100"/>
              <w:left w:type="dxa" w:w="120"/>
              <w:bottom w:type="dxa" w:w="100"/>
              <w:right w:type="dxa" w:w="120"/>
            </w:tcMar>
            <w:vAlign w:val="center"/>
          </w:tcPr>
          <w:p>
            <w:pPr>
              <w:jc w:val="left"/>
            </w:pPr>
            <w:r>
              <w:rPr>
                <w:b w:val="false"/>
                <w:bCs w:val="false"/>
                <w:sz w:val="20"/>
                <w:szCs w:val="20"/>
              </w:rPr>
              <w:t xml:space="preserve"/>
            </w:r>
          </w:p>
        </w:tc>
        <w:tc>
          <w:tcPr>
            <w:tcW w:type="dxa" w:w="875"/>
            <w:shd w:fill="FFFFFF" w:val="clear"/>
            <w:tcMar>
              <w:top w:type="dxa" w:w="100"/>
              <w:left w:type="dxa" w:w="120"/>
              <w:bottom w:type="dxa" w:w="100"/>
              <w:right w:type="dxa" w:w="120"/>
            </w:tcMar>
            <w:vAlign w:val="center"/>
          </w:tcPr>
          <w:p>
            <w:pPr>
              <w:jc w:val="left"/>
            </w:pPr>
            <w:r>
              <w:rPr>
                <w:b w:val="false"/>
                <w:bCs w:val="false"/>
                <w:sz w:val="20"/>
                <w:szCs w:val="20"/>
              </w:rPr>
              <w:t xml:space="preserve"/>
            </w:r>
          </w:p>
        </w:tc>
        <w:tc>
          <w:tcPr>
            <w:tcW w:type="dxa" w:w="875"/>
            <w:shd w:fill="FFFFFF" w:val="clear"/>
            <w:tcMar>
              <w:top w:type="dxa" w:w="100"/>
              <w:left w:type="dxa" w:w="120"/>
              <w:bottom w:type="dxa" w:w="100"/>
              <w:right w:type="dxa" w:w="120"/>
            </w:tcMar>
            <w:vAlign w:val="center"/>
          </w:tcPr>
          <w:p>
            <w:pPr>
              <w:jc w:val="left"/>
            </w:pPr>
            <w:r>
              <w:rPr>
                <w:b w:val="false"/>
                <w:bCs w:val="false"/>
                <w:sz w:val="20"/>
                <w:szCs w:val="20"/>
              </w:rPr>
              <w:t xml:space="preserve"/>
            </w:r>
          </w:p>
        </w:tc>
        <w:tc>
          <w:tcPr>
            <w:tcW w:type="dxa" w:w="875"/>
            <w:shd w:fill="FFFFFF" w:val="clear"/>
            <w:tcMar>
              <w:top w:type="dxa" w:w="100"/>
              <w:left w:type="dxa" w:w="120"/>
              <w:bottom w:type="dxa" w:w="100"/>
              <w:right w:type="dxa" w:w="120"/>
            </w:tcMar>
            <w:vAlign w:val="center"/>
          </w:tcPr>
          <w:p>
            <w:pPr>
              <w:jc w:val="left"/>
            </w:pPr>
            <w:r>
              <w:rPr>
                <w:b w:val="false"/>
                <w:bCs w:val="false"/>
                <w:sz w:val="20"/>
                <w:szCs w:val="20"/>
              </w:rPr>
              <w:t xml:space="preserve"/>
            </w:r>
          </w:p>
        </w:tc>
        <w:tc>
          <w:tcPr>
            <w:tcW w:type="dxa" w:w="875"/>
            <w:shd w:fill="FFFFFF" w:val="clear"/>
            <w:tcMar>
              <w:top w:type="dxa" w:w="100"/>
              <w:left w:type="dxa" w:w="120"/>
              <w:bottom w:type="dxa" w:w="100"/>
              <w:right w:type="dxa" w:w="120"/>
            </w:tcMar>
            <w:vAlign w:val="center"/>
          </w:tcPr>
          <w:p>
            <w:pPr>
              <w:jc w:val="left"/>
            </w:pPr>
            <w:r>
              <w:rPr>
                <w:b w:val="false"/>
                <w:bCs w:val="false"/>
                <w:sz w:val="20"/>
                <w:szCs w:val="20"/>
              </w:rPr>
              <w:t xml:space="preserve"/>
            </w:r>
          </w:p>
        </w:tc>
        <w:tc>
          <w:tcPr>
            <w:tcW w:type="dxa" w:w="875"/>
            <w:shd w:fill="FFFFFF" w:val="clear"/>
            <w:tcMar>
              <w:top w:type="dxa" w:w="100"/>
              <w:left w:type="dxa" w:w="120"/>
              <w:bottom w:type="dxa" w:w="100"/>
              <w:right w:type="dxa" w:w="120"/>
            </w:tcMar>
            <w:vAlign w:val="center"/>
          </w:tcPr>
          <w:p>
            <w:pPr>
              <w:jc w:val="left"/>
            </w:pPr>
            <w:r>
              <w:rPr>
                <w:b w:val="false"/>
                <w:bCs w:val="false"/>
                <w:sz w:val="20"/>
                <w:szCs w:val="20"/>
              </w:rPr>
              <w:t xml:space="preserve"/>
            </w:r>
          </w:p>
        </w:tc>
        <w:tc>
          <w:tcPr>
            <w:tcW w:type="dxa" w:w="875"/>
            <w:shd w:fill="FFFFFF" w:val="clear"/>
            <w:tcMar>
              <w:top w:type="dxa" w:w="100"/>
              <w:left w:type="dxa" w:w="120"/>
              <w:bottom w:type="dxa" w:w="100"/>
              <w:right w:type="dxa" w:w="120"/>
            </w:tcMar>
            <w:vAlign w:val="center"/>
          </w:tcPr>
          <w:p>
            <w:pPr>
              <w:jc w:val="left"/>
            </w:pPr>
            <w:r>
              <w:rPr>
                <w:b w:val="false"/>
                <w:bCs w:val="false"/>
                <w:sz w:val="20"/>
                <w:szCs w:val="20"/>
              </w:rPr>
              <w:t xml:space="preserve"/>
            </w:r>
          </w:p>
        </w:tc>
      </w:tr>
    </w:tbl>
    <w:p>
      <w:pPr>
        <w:spacing w:before="160"/>
      </w:pPr>
    </w:p>
    <w:p>
      <w:pPr>
        <w:pStyle w:val="Heading3"/>
        <w:spacing w:after="100" w:before="200"/>
      </w:pPr>
      <w:r>
        <w:t xml:space="preserve">Cost, Duration &amp; Timeline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00"/>
        <w:gridCol w:w="1600"/>
        <w:gridCol w:w="146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20"/>
                <w:szCs w:val="20"/>
              </w:rPr>
              <w:t xml:space="preserve">Initiative</w:t>
            </w:r>
          </w:p>
        </w:tc>
        <w:tc>
          <w:tcPr>
            <w:tcW w:type="dxa" w:w="2200"/>
            <w:shd w:fill="1F3864" w:val="clear"/>
            <w:tcMar>
              <w:top w:type="dxa" w:w="100"/>
              <w:left w:type="dxa" w:w="120"/>
              <w:bottom w:type="dxa" w:w="100"/>
              <w:right w:type="dxa" w:w="120"/>
            </w:tcMar>
            <w:vAlign w:val="center"/>
          </w:tcPr>
          <w:p>
            <w:pPr>
              <w:jc w:val="left"/>
            </w:pPr>
            <w:r>
              <w:rPr>
                <w:b/>
                <w:bCs/>
                <w:color w:val="FFFFFF"/>
                <w:sz w:val="20"/>
                <w:szCs w:val="20"/>
              </w:rPr>
              <w:t xml:space="preserve">In-Scope Technology</w:t>
            </w:r>
          </w:p>
        </w:tc>
        <w:tc>
          <w:tcPr>
            <w:tcW w:type="dxa" w:w="1900"/>
            <w:shd w:fill="1F3864" w:val="clear"/>
            <w:tcMar>
              <w:top w:type="dxa" w:w="100"/>
              <w:left w:type="dxa" w:w="120"/>
              <w:bottom w:type="dxa" w:w="100"/>
              <w:right w:type="dxa" w:w="120"/>
            </w:tcMar>
            <w:vAlign w:val="center"/>
          </w:tcPr>
          <w:p>
            <w:pPr>
              <w:jc w:val="left"/>
            </w:pPr>
            <w:r>
              <w:rPr>
                <w:b/>
                <w:bCs/>
                <w:color w:val="FFFFFF"/>
                <w:sz w:val="20"/>
                <w:szCs w:val="20"/>
              </w:rPr>
              <w:t xml:space="preserve">Estimated Cost</w:t>
            </w:r>
          </w:p>
        </w:tc>
        <w:tc>
          <w:tcPr>
            <w:tcW w:type="dxa" w:w="1600"/>
            <w:shd w:fill="1F3864" w:val="clear"/>
            <w:tcMar>
              <w:top w:type="dxa" w:w="100"/>
              <w:left w:type="dxa" w:w="120"/>
              <w:bottom w:type="dxa" w:w="100"/>
              <w:right w:type="dxa" w:w="120"/>
            </w:tcMar>
            <w:vAlign w:val="center"/>
          </w:tcPr>
          <w:p>
            <w:pPr>
              <w:jc w:val="left"/>
            </w:pPr>
            <w:r>
              <w:rPr>
                <w:b/>
                <w:bCs/>
                <w:color w:val="FFFFFF"/>
                <w:sz w:val="20"/>
                <w:szCs w:val="20"/>
              </w:rPr>
              <w:t xml:space="preserve">Estimated Duration</w:t>
            </w:r>
          </w:p>
        </w:tc>
        <w:tc>
          <w:tcPr>
            <w:tcW w:type="dxa" w:w="1460"/>
            <w:shd w:fill="1F3864" w:val="clear"/>
            <w:tcMar>
              <w:top w:type="dxa" w:w="100"/>
              <w:left w:type="dxa" w:w="120"/>
              <w:bottom w:type="dxa" w:w="100"/>
              <w:right w:type="dxa" w:w="120"/>
            </w:tcMar>
            <w:vAlign w:val="center"/>
          </w:tcPr>
          <w:p>
            <w:pPr>
              <w:jc w:val="left"/>
            </w:pPr>
            <w:r>
              <w:rPr>
                <w:b/>
                <w:bCs/>
                <w:color w:val="FFFFFF"/>
                <w:sz w:val="20"/>
                <w:szCs w:val="20"/>
              </w:rPr>
              <w:t xml:space="preserve">Timeline</w:t>
            </w:r>
          </w:p>
        </w:tc>
      </w:tr>
      <w:tr>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w:t>
            </w:r>
          </w:p>
        </w:tc>
        <w:tc>
          <w:tcPr>
            <w:tcW w:type="dxa" w:w="2200"/>
            <w:shd w:fill="FFFFFF" w:val="clear"/>
            <w:tcMar>
              <w:top w:type="dxa" w:w="100"/>
              <w:left w:type="dxa" w:w="120"/>
              <w:bottom w:type="dxa" w:w="100"/>
              <w:right w:type="dxa" w:w="120"/>
            </w:tcMar>
            <w:vAlign w:val="center"/>
          </w:tcPr>
          <w:p>
            <w:pPr>
              <w:jc w:val="left"/>
            </w:pPr>
            <w:r>
              <w:rPr>
                <w:b w:val="false"/>
                <w:bCs w:val="false"/>
                <w:sz w:val="20"/>
                <w:szCs w:val="20"/>
              </w:rPr>
              <w:t xml:space="preserve">—</w:t>
            </w:r>
          </w:p>
        </w:tc>
        <w:tc>
          <w:tcPr>
            <w:tcW w:type="dxa" w:w="1900"/>
            <w:shd w:fill="FFFFFF" w:val="clear"/>
            <w:tcMar>
              <w:top w:type="dxa" w:w="100"/>
              <w:left w:type="dxa" w:w="120"/>
              <w:bottom w:type="dxa" w:w="100"/>
              <w:right w:type="dxa" w:w="120"/>
            </w:tcMar>
            <w:vAlign w:val="center"/>
          </w:tcPr>
          <w:p>
            <w:pPr>
              <w:jc w:val="left"/>
            </w:pPr>
            <w:r>
              <w:rPr>
                <w:b w:val="false"/>
                <w:bCs w:val="false"/>
                <w:sz w:val="20"/>
                <w:szCs w:val="20"/>
              </w:rPr>
              <w:t xml:space="preserve">—</w:t>
            </w:r>
          </w:p>
        </w:tc>
        <w:tc>
          <w:tcPr>
            <w:tcW w:type="dxa" w:w="1600"/>
            <w:shd w:fill="FFFFFF" w:val="clear"/>
            <w:tcMar>
              <w:top w:type="dxa" w:w="100"/>
              <w:left w:type="dxa" w:w="120"/>
              <w:bottom w:type="dxa" w:w="100"/>
              <w:right w:type="dxa" w:w="120"/>
            </w:tcMar>
            <w:vAlign w:val="center"/>
          </w:tcPr>
          <w:p>
            <w:pPr>
              <w:jc w:val="left"/>
            </w:pPr>
            <w:r>
              <w:rPr>
                <w:b w:val="false"/>
                <w:bCs w:val="false"/>
                <w:sz w:val="20"/>
                <w:szCs w:val="20"/>
              </w:rPr>
              <w:t xml:space="preserve">—</w:t>
            </w:r>
          </w:p>
        </w:tc>
        <w:tc>
          <w:tcPr>
            <w:tcW w:type="dxa" w:w="1460"/>
            <w:shd w:fill="FFFFFF" w:val="clear"/>
            <w:tcMar>
              <w:top w:type="dxa" w:w="100"/>
              <w:left w:type="dxa" w:w="120"/>
              <w:bottom w:type="dxa" w:w="100"/>
              <w:right w:type="dxa" w:w="120"/>
            </w:tcMar>
            <w:vAlign w:val="center"/>
          </w:tcPr>
          <w:p>
            <w:pPr>
              <w:jc w:val="left"/>
            </w:pPr>
            <w:r>
              <w:rPr>
                <w:b w:val="false"/>
                <w:bCs w:val="false"/>
                <w:sz w:val="20"/>
                <w:szCs w:val="20"/>
              </w:rPr>
              <w:t xml:space="preserve">—</w:t>
            </w:r>
          </w:p>
        </w:tc>
      </w:tr>
    </w:tbl>
    <w:p>
      <w:pPr>
        <w:spacing w:before="200"/>
      </w:pPr>
    </w:p>
    <w:p>
      <w:pPr>
        <w:pStyle w:val="Heading2"/>
        <w:spacing w:after="120" w:before="260"/>
      </w:pPr>
      <w:r>
        <w:t xml:space="preserve">6.8 Capability Mapping — Action Item</w:t>
      </w:r>
    </w:p>
    <w:p>
      <w:pPr>
        <w:spacing w:after="160" w:line="276"/>
      </w:pPr>
      <w:r>
        <w:rPr>
          <w:i/>
          <w:iCs/>
          <w:color w:val="595959"/>
        </w:rPr>
        <w:t xml:space="preserve">Every I&amp;O roadmap gets mapped to the Canada Life Technology Capability Model (based on the TBM taxonomy: L1–L3 are standard TBM names, L4 is Canada Life-specific). This is a structural requirement, not optional polish. Confirm with EA which L1–L4 categories apply to database services — likely under Delivery &gt; Enabling Platforms &gt; Foundation Platform, possibly with a new Data/Database-specific L4 branch — before the roadmap is considered complete.</w:t>
      </w:r>
    </w:p>
    <w:p>
      <w:pPr>
        <w:pStyle w:val="Heading1"/>
        <w:spacing w:after="160" w:before="360"/>
      </w:pPr>
      <w:r>
        <w:t xml:space="preserve">7. What Made the Cloud Roadmap Work — Applied to Database Services</w:t>
      </w:r>
    </w:p>
    <w:p>
      <w:pPr>
        <w:spacing w:after="160" w:line="276"/>
      </w:pPr>
      <w:r>
        <w:t xml:space="preserve">These are specifics pulled from your actual, approved deck — not general theory.</w:t>
      </w:r>
    </w:p>
    <w:p>
      <w:pPr>
        <w:pStyle w:val="ListParagraph"/>
        <w:numPr>
          <w:ilvl w:val="0"/>
          <w:numId w:val="3"/>
        </w:numPr>
        <w:spacing w:after="90" w:line="276"/>
      </w:pPr>
      <w:r>
        <w:rPr>
          <w:b/>
          <w:bCs/>
        </w:rPr>
        <w:t xml:space="preserve">The sign-off chain is named up front. </w:t>
      </w:r>
      <w:r>
        <w:t xml:space="preserve">Slide 2 names the exact approval chain — CTO/SVP I&amp;O, Chief Enterprise Architect, VP Platform Engineering — plus author and working group. Confirm the equivalent chain for a database roadmap before drafting content; it likely includes your Database Product Owner's leadership and the same Chief EA.</w:t>
      </w:r>
    </w:p>
    <w:p>
      <w:pPr>
        <w:pStyle w:val="ListParagraph"/>
        <w:numPr>
          <w:ilvl w:val="0"/>
          <w:numId w:val="3"/>
        </w:numPr>
        <w:spacing w:after="90" w:line="276"/>
      </w:pPr>
      <w:r>
        <w:rPr>
          <w:b/>
          <w:bCs/>
        </w:rPr>
        <w:t xml:space="preserve">Every domain and initiative ties back to the guiding principles and the capability model. </w:t>
      </w:r>
      <w:r>
        <w:t xml:space="preserve">This is structural, not decorative — the same discipline needs to hold for database services (see 6.2 and 6.8).</w:t>
      </w:r>
    </w:p>
    <w:p>
      <w:pPr>
        <w:pStyle w:val="ListParagraph"/>
        <w:numPr>
          <w:ilvl w:val="0"/>
          <w:numId w:val="3"/>
        </w:numPr>
        <w:spacing w:after="90" w:line="276"/>
      </w:pPr>
      <w:r>
        <w:rPr>
          <w:b/>
          <w:bCs/>
        </w:rPr>
        <w:t xml:space="preserve">A 5-level maturity model plus a current-vs-target radar gives execs an instant read. </w:t>
      </w:r>
      <w:r>
        <w:t xml:space="preserve">One slide answers “where are we, where are we going” at a glance — replicate this exactly (6.5, 6.6).</w:t>
      </w:r>
    </w:p>
    <w:p>
      <w:pPr>
        <w:pStyle w:val="ListParagraph"/>
        <w:numPr>
          <w:ilvl w:val="0"/>
          <w:numId w:val="3"/>
        </w:numPr>
        <w:spacing w:after="90" w:line="276"/>
      </w:pPr>
      <w:r>
        <w:rPr>
          <w:b/>
          <w:bCs/>
        </w:rPr>
        <w:t xml:space="preserve">Initiatives are coded, ranked, costed, timed, and cross-referenced. </w:t>
      </w:r>
      <w:r>
        <w:t xml:space="preserve">C1–C10, ranked by pain-point severity, each with technology/cost/duration/timeline, plus a dedicated dependencies slide linking to sibling roadmaps. Identify early which Cloud Foundations work packages the database roadmap should hook into (DR/resiliency, observability/log forwarding are the clearest early candidates — see 5.4).</w:t>
      </w:r>
    </w:p>
    <w:p>
      <w:pPr>
        <w:pStyle w:val="ListParagraph"/>
        <w:numPr>
          <w:ilvl w:val="0"/>
          <w:numId w:val="3"/>
        </w:numPr>
        <w:spacing w:after="90" w:line="276"/>
      </w:pPr>
      <w:r>
        <w:rPr>
          <w:b/>
          <w:bCs/>
        </w:rPr>
        <w:t xml:space="preserve">A strategic exit is named as a design principle, not buried in a footnote. </w:t>
      </w:r>
      <w:r>
        <w:t xml:space="preserve">“Progressive Retirement of GCP Workloads” is principle #5 in the target-state design. DB2's already-deprecated status is the database roadmap's equivalent — naming it explicitly as a strategic exit gives the story the same clean narrative device.</w:t>
      </w:r>
    </w:p>
    <w:p>
      <w:pPr>
        <w:pStyle w:val="ListParagraph"/>
        <w:numPr>
          <w:ilvl w:val="0"/>
          <w:numId w:val="3"/>
        </w:numPr>
        <w:spacing w:after="90" w:line="276"/>
      </w:pPr>
      <w:r>
        <w:rPr>
          <w:b/>
          <w:bCs/>
        </w:rPr>
        <w:t xml:space="preserve">Everything lands on one sequencing slide. </w:t>
      </w:r>
      <w:r>
        <w:t xml:space="preserve">All initiatives, quarter by quarter, across the full 2-year horizon, on a single slide (slide 25). Build toward that one visual as the roadmap's centerpiece.</w:t>
      </w:r>
    </w:p>
    <w:p>
      <w:pPr>
        <w:pStyle w:val="Heading1"/>
        <w:spacing w:after="160" w:before="360"/>
      </w:pPr>
      <w:r>
        <w:t xml:space="preserve">Appendix: Quick-Reference Checklist</w:t>
      </w:r>
    </w:p>
    <w:p>
      <w:pPr>
        <w:pStyle w:val="ListParagraph"/>
        <w:numPr>
          <w:ilvl w:val="0"/>
          <w:numId w:val="3"/>
        </w:numPr>
        <w:spacing w:after="80" w:line="276"/>
      </w:pPr>
      <w:r>
        <w:t xml:space="preserve">Vision/goal statement received from Database Product Owner</w:t>
      </w:r>
    </w:p>
    <w:p>
      <w:pPr>
        <w:pStyle w:val="ListParagraph"/>
        <w:numPr>
          <w:ilvl w:val="0"/>
          <w:numId w:val="3"/>
        </w:numPr>
        <w:spacing w:after="80" w:line="276"/>
      </w:pPr>
      <w:r>
        <w:t xml:space="preserve">Scope boundaries agreed (engines, hosting models, in/out of scope)</w:t>
      </w:r>
    </w:p>
    <w:p>
      <w:pPr>
        <w:pStyle w:val="ListParagraph"/>
        <w:numPr>
          <w:ilvl w:val="0"/>
          <w:numId w:val="3"/>
        </w:numPr>
        <w:spacing w:after="80" w:line="276"/>
      </w:pPr>
      <w:r>
        <w:t xml:space="preserve">Roadmap horizon agreed (recommend matching the 2-year cloud roadmap horizon)</w:t>
      </w:r>
    </w:p>
    <w:p>
      <w:pPr>
        <w:pStyle w:val="ListParagraph"/>
        <w:numPr>
          <w:ilvl w:val="0"/>
          <w:numId w:val="3"/>
        </w:numPr>
        <w:spacing w:after="80" w:line="276"/>
      </w:pPr>
      <w:r>
        <w:t xml:space="preserve">Discovery sessions scheduled with PO and EA Portfolio Architect</w:t>
      </w:r>
    </w:p>
    <w:p>
      <w:pPr>
        <w:pStyle w:val="ListParagraph"/>
        <w:numPr>
          <w:ilvl w:val="0"/>
          <w:numId w:val="3"/>
        </w:numPr>
        <w:spacing w:after="80" w:line="276"/>
      </w:pPr>
      <w:r>
        <w:t xml:space="preserve">Current-state inventory and cost baseline captured — start from Section 5, confirm with PO and Portfolio Architect</w:t>
      </w:r>
    </w:p>
    <w:p>
      <w:pPr>
        <w:pStyle w:val="ListParagraph"/>
        <w:numPr>
          <w:ilvl w:val="0"/>
          <w:numId w:val="3"/>
        </w:numPr>
        <w:spacing w:after="80" w:line="276"/>
      </w:pPr>
      <w:r>
        <w:t xml:space="preserve">Landscape/benchmarking scan complete</w:t>
      </w:r>
    </w:p>
    <w:p>
      <w:pPr>
        <w:pStyle w:val="ListParagraph"/>
        <w:numPr>
          <w:ilvl w:val="0"/>
          <w:numId w:val="3"/>
        </w:numPr>
        <w:spacing w:after="80" w:line="276"/>
      </w:pPr>
      <w:r>
        <w:t xml:space="preserve">Strategic themes drafted and validated</w:t>
      </w:r>
    </w:p>
    <w:p>
      <w:pPr>
        <w:pStyle w:val="ListParagraph"/>
        <w:numPr>
          <w:ilvl w:val="0"/>
          <w:numId w:val="3"/>
        </w:numPr>
        <w:spacing w:after="80" w:line="276"/>
      </w:pPr>
      <w:r>
        <w:t xml:space="preserve">Approval chain and awareness path confirmed with EA (mirror the cloud roadmap's sign-off structure)</w:t>
      </w:r>
    </w:p>
    <w:p>
      <w:pPr>
        <w:pStyle w:val="ListParagraph"/>
        <w:numPr>
          <w:ilvl w:val="0"/>
          <w:numId w:val="3"/>
        </w:numPr>
        <w:spacing w:after="80" w:line="276"/>
      </w:pPr>
      <w:r>
        <w:t xml:space="preserve">TBM / Canada Life Technology Capability Model mapping confirmed with EA for database services</w:t>
      </w:r>
    </w:p>
    <w:p>
      <w:pPr>
        <w:pStyle w:val="ListParagraph"/>
        <w:numPr>
          <w:ilvl w:val="0"/>
          <w:numId w:val="3"/>
        </w:numPr>
        <w:spacing w:after="80" w:line="276"/>
      </w:pPr>
      <w:r>
        <w:t xml:space="preserve">Decision made: adopt the nine existing guiding principles verbatim, or add a database-specific one</w:t>
      </w:r>
    </w:p>
    <w:p>
      <w:pPr>
        <w:pStyle w:val="ListParagraph"/>
        <w:numPr>
          <w:ilvl w:val="0"/>
          <w:numId w:val="3"/>
        </w:numPr>
        <w:spacing w:after="80" w:line="276"/>
      </w:pPr>
      <w:r>
        <w:t xml:space="preserve">Service-catalogue assumptions validated with PO and Portfolio Architect (DB2 footprint, NoSQL/Postgres placement policy, HCL sourcing model)</w:t>
      </w:r>
    </w:p>
    <w:p>
      <w:pPr>
        <w:pStyle w:val="ListParagraph"/>
        <w:numPr>
          <w:ilvl w:val="0"/>
          <w:numId w:val="3"/>
        </w:numPr>
        <w:spacing w:after="80" w:line="276"/>
      </w:pPr>
      <w:r>
        <w:t xml:space="preserve">Exa@Azure (Intake #290) current status confirmed — Workstream 2 decision outcome and phase — and its milestones folded into this roadmap's sequencing</w:t>
      </w:r>
    </w:p>
    <w:p>
      <w:pPr>
        <w:pStyle w:val="ListParagraph"/>
        <w:numPr>
          <w:ilvl w:val="0"/>
          <w:numId w:val="3"/>
        </w:numPr>
        <w:spacing w:after="80" w:line="276"/>
      </w:pPr>
      <w:r>
        <w:t xml:space="preserve">Roadmap draft socialized before executive session</w:t>
      </w:r>
    </w:p>
    <w:p>
      <w:pPr>
        <w:pStyle w:val="ListParagraph"/>
        <w:numPr>
          <w:ilvl w:val="0"/>
          <w:numId w:val="3"/>
        </w:numPr>
        <w:spacing w:after="80" w:line="276"/>
      </w:pPr>
      <w:r>
        <w:t xml:space="preserve">Governance/tracking cadence agreed for post-approval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2026-08-05T13:28:06.023Z</dcterms:created>
  <dcterms:modified xsi:type="dcterms:W3CDTF">2026-08-05T13:28:06.036Z</dcterms:modified>
</cp:coreProperties>
</file>

<file path=docProps/custom.xml><?xml version="1.0" encoding="utf-8"?>
<Properties xmlns="http://schemas.openxmlformats.org/officeDocument/2006/custom-properties" xmlns:vt="http://schemas.openxmlformats.org/officeDocument/2006/docPropsVTypes"/>
</file>