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11080"/>
      </w:tblGrid>
      <w:tr>
        <w:tc>
          <w:tcPr>
            <w:tcW w:type="dxa" w:w="11080"/>
            <w:tcBorders>
              <w:top w:val="none" w:color="FFFFFF" w:sz="0"/>
              <w:left w:val="none" w:color="FFFFFF" w:sz="0"/>
              <w:bottom w:val="none" w:color="FFFFFF" w:sz="0"/>
              <w:right w:val="none" w:color="FFFFFF" w:sz="0"/>
            </w:tcBorders>
            <w:shd w:fill="2C2C2C" w:val="clear"/>
            <w:tcMar>
              <w:top w:type="dxa" w:w="100"/>
              <w:left w:type="dxa" w:w="180"/>
              <w:bottom w:type="dxa" w:w="100"/>
              <w:right w:type="dxa" w:w="180"/>
            </w:tcMar>
          </w:tcPr>
          <w:p>
            <w:pPr>
              <w:spacing w:after="50" w:before="0"/>
            </w:pPr>
            <w:r>
              <w:rPr>
                <w:rFonts w:ascii="Arial" w:cs="Arial" w:eastAsia="Arial" w:hAnsi="Arial"/>
                <w:b/>
                <w:bCs/>
                <w:i w:val="false"/>
                <w:iCs w:val="false"/>
                <w:color w:val="FFFFFF"/>
                <w:sz w:val="22"/>
                <w:szCs w:val="22"/>
              </w:rPr>
              <w:t xml:space="preserve">EA Efficiency Committee - Focus Group Submission</w:t>
            </w:r>
          </w:p>
          <w:p>
            <w:pPr>
              <w:spacing w:after="0" w:before="0"/>
            </w:pPr>
            <w:r>
              <w:rPr>
                <w:rFonts w:ascii="Arial" w:cs="Arial" w:eastAsia="Arial" w:hAnsi="Arial"/>
                <w:b w:val="false"/>
                <w:bCs w:val="false"/>
                <w:i w:val="false"/>
                <w:iCs w:val="false"/>
                <w:color w:val="CCCCCC"/>
                <w:sz w:val="14"/>
                <w:szCs w:val="14"/>
              </w:rPr>
              <w:t xml:space="preserve">Data, Automation &amp; Platform BU</w:t>
            </w:r>
            <w:r>
              <w:rPr>
                <w:rFonts w:ascii="Arial" w:cs="Arial" w:eastAsia="Arial" w:hAnsi="Arial"/>
                <w:b w:val="false"/>
                <w:bCs w:val="false"/>
                <w:i w:val="false"/>
                <w:iCs w:val="false"/>
                <w:color w:val="888888"/>
                <w:sz w:val="14"/>
                <w:szCs w:val="14"/>
              </w:rPr>
              <w:t xml:space="preserve">   |   </w:t>
            </w:r>
            <w:r>
              <w:rPr>
                <w:rFonts w:ascii="Arial" w:cs="Arial" w:eastAsia="Arial" w:hAnsi="Arial"/>
                <w:b w:val="false"/>
                <w:bCs w:val="false"/>
                <w:i w:val="false"/>
                <w:iCs w:val="false"/>
                <w:color w:val="CCCCCC"/>
                <w:sz w:val="14"/>
                <w:szCs w:val="14"/>
              </w:rPr>
              <w:t xml:space="preserve">Portfolio Architect, Cloud &amp; DevOps</w:t>
            </w:r>
            <w:r>
              <w:rPr>
                <w:rFonts w:ascii="Arial" w:cs="Arial" w:eastAsia="Arial" w:hAnsi="Arial"/>
                <w:b w:val="false"/>
                <w:bCs w:val="false"/>
                <w:i w:val="false"/>
                <w:iCs w:val="false"/>
                <w:color w:val="888888"/>
                <w:sz w:val="14"/>
                <w:szCs w:val="14"/>
              </w:rPr>
              <w:t xml:space="preserve">   |   </w:t>
            </w:r>
            <w:r>
              <w:rPr>
                <w:rFonts w:ascii="Arial" w:cs="Arial" w:eastAsia="Arial" w:hAnsi="Arial"/>
                <w:b/>
                <w:bCs/>
                <w:i w:val="false"/>
                <w:iCs w:val="false"/>
                <w:color w:val="FFFFFF"/>
                <w:sz w:val="14"/>
                <w:szCs w:val="14"/>
              </w:rPr>
              <w:t xml:space="preserve">Santhosh Kumar C</w:t>
            </w:r>
            <w:r>
              <w:rPr>
                <w:rFonts w:ascii="Arial" w:cs="Arial" w:eastAsia="Arial" w:hAnsi="Arial"/>
                <w:b w:val="false"/>
                <w:bCs w:val="false"/>
                <w:i w:val="false"/>
                <w:iCs w:val="false"/>
                <w:color w:val="888888"/>
                <w:sz w:val="14"/>
                <w:szCs w:val="14"/>
              </w:rPr>
              <w:t xml:space="preserve">   |   </w:t>
            </w:r>
            <w:r>
              <w:rPr>
                <w:rFonts w:ascii="Arial" w:cs="Arial" w:eastAsia="Arial" w:hAnsi="Arial"/>
                <w:b w:val="false"/>
                <w:bCs w:val="false"/>
                <w:i w:val="false"/>
                <w:iCs w:val="false"/>
                <w:color w:val="CCCCCC"/>
                <w:sz w:val="14"/>
                <w:szCs w:val="14"/>
              </w:rPr>
              <w:t xml:space="preserve">March 12, 2026</w:t>
            </w:r>
          </w:p>
        </w:tc>
      </w:tr>
    </w:tbl>
    <w:p>
      <w:pPr>
        <w:spacing w:after="0" w:before="70"/>
      </w:pPr>
      <w:r>
        <w:rPr>
          <w:rFonts w:ascii="Arial" w:cs="Arial" w:eastAsia="Arial" w:hAnsi="Arial"/>
          <w:b w:val="false"/>
          <w:bCs w:val="false"/>
          <w:i w:val="false"/>
          <w:iCs w:val="false"/>
          <w:color w:val="1A1A1A"/>
          <w:sz w:val="17"/>
          <w:szCs w:val="17"/>
        </w:rPr>
        <w:t xml:space="preserve"/>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1680"/>
        <w:gridCol w:w="9400"/>
      </w:tblGrid>
      <w:tr>
        <w:tc>
          <w:tcPr>
            <w:tcW w:type="dxa" w:w="1680"/>
            <w:tcBorders>
              <w:top w:val="single" w:color="333333" w:sz="6"/>
              <w:left w:val="single" w:color="333333" w:sz="6"/>
              <w:bottom w:val="single" w:color="333333" w:sz="6"/>
              <w:right w:val="single" w:color="333333" w:sz="6"/>
            </w:tcBorders>
            <w:shd w:fill="A50021" w:val="clear"/>
            <w:tcMar>
              <w:top w:type="dxa" w:w="70"/>
              <w:left w:type="dxa" w:w="140"/>
              <w:bottom w:type="dxa" w:w="70"/>
              <w:right w:type="dxa" w:w="140"/>
            </w:tcMar>
            <w:vAlign w:val="top"/>
          </w:tcPr>
          <w:p>
            <w:pPr>
              <w:spacing w:after="0" w:before="0"/>
            </w:pPr>
            <w:r>
              <w:rPr>
                <w:rFonts w:ascii="Arial" w:cs="Arial" w:eastAsia="Arial" w:hAnsi="Arial"/>
                <w:b/>
                <w:bCs/>
                <w:i w:val="false"/>
                <w:iCs w:val="false"/>
                <w:color w:val="FFFFFF"/>
                <w:sz w:val="16"/>
                <w:szCs w:val="16"/>
              </w:rPr>
              <w:t xml:space="preserve">Section</w:t>
            </w:r>
          </w:p>
        </w:tc>
        <w:tc>
          <w:tcPr>
            <w:tcW w:type="dxa" w:w="9400"/>
            <w:tcBorders>
              <w:top w:val="single" w:color="333333" w:sz="6"/>
              <w:left w:val="single" w:color="333333" w:sz="6"/>
              <w:bottom w:val="single" w:color="333333" w:sz="6"/>
              <w:right w:val="single" w:color="333333" w:sz="6"/>
            </w:tcBorders>
            <w:shd w:fill="A50021" w:val="clear"/>
            <w:tcMar>
              <w:top w:type="dxa" w:w="70"/>
              <w:left w:type="dxa" w:w="140"/>
              <w:bottom w:type="dxa" w:w="70"/>
              <w:right w:type="dxa" w:w="140"/>
            </w:tcMar>
            <w:vAlign w:val="top"/>
          </w:tcPr>
          <w:p>
            <w:pPr>
              <w:spacing w:after="0" w:before="0"/>
            </w:pPr>
            <w:r>
              <w:rPr>
                <w:rFonts w:ascii="Arial" w:cs="Arial" w:eastAsia="Arial" w:hAnsi="Arial"/>
                <w:b/>
                <w:bCs/>
                <w:i w:val="false"/>
                <w:iCs w:val="false"/>
                <w:color w:val="FFFFFF"/>
                <w:sz w:val="16"/>
                <w:szCs w:val="16"/>
              </w:rPr>
              <w:t xml:space="preserve">Response</w:t>
            </w:r>
          </w:p>
        </w:tc>
      </w:tr>
      <w:tr>
        <w:tc>
          <w:tcPr>
            <w:tcW w:type="dxa" w:w="1680"/>
            <w:tcBorders>
              <w:top w:val="single" w:color="555555" w:sz="6"/>
              <w:left w:val="single" w:color="555555" w:sz="6"/>
              <w:bottom w:val="single" w:color="555555" w:sz="6"/>
              <w:right w:val="single" w:color="555555" w:sz="6"/>
            </w:tcBorders>
            <w:shd w:fill="404040" w:val="clear"/>
            <w:tcMar>
              <w:top w:type="dxa" w:w="70"/>
              <w:left w:type="dxa" w:w="140"/>
              <w:bottom w:type="dxa" w:w="70"/>
              <w:right w:type="dxa" w:w="140"/>
            </w:tcMar>
            <w:vAlign w:val="top"/>
          </w:tcPr>
          <w:p>
            <w:pPr>
              <w:spacing w:after="0" w:before="0"/>
            </w:pPr>
            <w:r>
              <w:rPr>
                <w:rFonts w:ascii="Arial" w:cs="Arial" w:eastAsia="Arial" w:hAnsi="Arial"/>
                <w:b/>
                <w:bCs/>
                <w:i w:val="false"/>
                <w:iCs w:val="false"/>
                <w:color w:val="FFFFFF"/>
                <w:sz w:val="16"/>
                <w:szCs w:val="16"/>
              </w:rPr>
              <w:t xml:space="preserve">Title
(Challenge)</w:t>
            </w:r>
          </w:p>
        </w:tc>
        <w:tc>
          <w:tcPr>
            <w:tcW w:type="dxa" w:w="9400"/>
            <w:tcBorders>
              <w:top w:val="single" w:color="CCCCCC" w:sz="6"/>
              <w:left w:val="single" w:color="CCCCCC" w:sz="6"/>
              <w:bottom w:val="single" w:color="CCCCCC" w:sz="6"/>
              <w:right w:val="single" w:color="CCCCCC" w:sz="6"/>
            </w:tcBorders>
            <w:shd w:fill="FFFFFF" w:val="clear"/>
            <w:tcMar>
              <w:top w:type="dxa" w:w="70"/>
              <w:left w:type="dxa" w:w="140"/>
              <w:bottom w:type="dxa" w:w="70"/>
              <w:right w:type="dxa" w:w="140"/>
            </w:tcMar>
            <w:vAlign w:val="top"/>
          </w:tcPr>
          <w:p>
            <w:pPr>
              <w:spacing w:after="0" w:before="0"/>
            </w:pPr>
            <w:r>
              <w:rPr>
                <w:rFonts w:ascii="Arial" w:cs="Arial" w:eastAsia="Arial" w:hAnsi="Arial"/>
                <w:b/>
                <w:bCs/>
                <w:i w:val="false"/>
                <w:iCs w:val="false"/>
                <w:color w:val="A50021"/>
                <w:sz w:val="17"/>
                <w:szCs w:val="17"/>
              </w:rPr>
              <w:t xml:space="preserve">The CAQ-CA-E2E framework is designed for application delivery. Platform initiatives have no fit.</w:t>
            </w:r>
          </w:p>
        </w:tc>
      </w:tr>
      <w:tr>
        <w:tc>
          <w:tcPr>
            <w:tcW w:type="dxa" w:w="1680"/>
            <w:tcBorders>
              <w:top w:val="single" w:color="555555" w:sz="6"/>
              <w:left w:val="single" w:color="555555" w:sz="6"/>
              <w:bottom w:val="single" w:color="555555" w:sz="6"/>
              <w:right w:val="single" w:color="555555" w:sz="6"/>
            </w:tcBorders>
            <w:shd w:fill="404040" w:val="clear"/>
            <w:tcMar>
              <w:top w:type="dxa" w:w="70"/>
              <w:left w:type="dxa" w:w="140"/>
              <w:bottom w:type="dxa" w:w="70"/>
              <w:right w:type="dxa" w:w="140"/>
            </w:tcMar>
            <w:vAlign w:val="top"/>
          </w:tcPr>
          <w:p>
            <w:pPr>
              <w:spacing w:after="0" w:before="0"/>
            </w:pPr>
            <w:r>
              <w:rPr>
                <w:rFonts w:ascii="Arial" w:cs="Arial" w:eastAsia="Arial" w:hAnsi="Arial"/>
                <w:b/>
                <w:bCs/>
                <w:i w:val="false"/>
                <w:iCs w:val="false"/>
                <w:color w:val="FFFFFF"/>
                <w:sz w:val="16"/>
                <w:szCs w:val="16"/>
              </w:rPr>
              <w:t xml:space="preserve">Gap -
What's Not
Working?</w:t>
            </w:r>
          </w:p>
        </w:tc>
        <w:tc>
          <w:tcPr>
            <w:tcW w:type="dxa" w:w="9400"/>
            <w:tcBorders>
              <w:top w:val="single" w:color="CCCCCC" w:sz="6"/>
              <w:left w:val="single" w:color="CCCCCC" w:sz="6"/>
              <w:bottom w:val="single" w:color="CCCCCC" w:sz="6"/>
              <w:right w:val="single" w:color="CCCCCC" w:sz="6"/>
            </w:tcBorders>
            <w:shd w:fill="FFFFFF" w:val="clear"/>
            <w:tcMar>
              <w:top w:type="dxa" w:w="70"/>
              <w:left w:type="dxa" w:w="140"/>
              <w:bottom w:type="dxa" w:w="70"/>
              <w:right w:type="dxa" w:w="140"/>
            </w:tcMar>
            <w:vAlign w:val="top"/>
          </w:tcPr>
          <w:p>
            <w:pPr>
              <w:spacing w:after="55" w:before="0"/>
            </w:pPr>
            <w:r>
              <w:rPr>
                <w:rFonts w:ascii="Arial" w:cs="Arial" w:eastAsia="Arial" w:hAnsi="Arial"/>
                <w:b/>
                <w:bCs/>
                <w:i w:val="false"/>
                <w:iCs w:val="false"/>
                <w:color w:val="1A1A1A"/>
                <w:sz w:val="17"/>
                <w:szCs w:val="17"/>
              </w:rPr>
              <w:t xml:space="preserve">What's the gap?  </w:t>
            </w:r>
            <w:r>
              <w:rPr>
                <w:rFonts w:ascii="Arial" w:cs="Arial" w:eastAsia="Arial" w:hAnsi="Arial"/>
                <w:b w:val="false"/>
                <w:bCs w:val="false"/>
                <w:i w:val="false"/>
                <w:iCs w:val="false"/>
                <w:color w:val="1A1A1A"/>
                <w:sz w:val="17"/>
                <w:szCs w:val="17"/>
              </w:rPr>
              <w:t xml:space="preserve">The CAQ, CA, and E2E templates assume every initiative delivers an application. The strategic platform checklist covers only application-layer tools: Apigee, MDM, Salesforce, SAP, UIPath. The CA requires information models, data flows, and journey maps. Platform initiatives, meaning those that establish, migrate, or modernize shared enabling technology, have none of these. The framework has no model for this type of work.</w:t>
            </w:r>
          </w:p>
          <w:p>
            <w:pPr>
              <w:spacing w:after="55" w:before="0"/>
            </w:pPr>
            <w:r>
              <w:rPr>
                <w:rFonts w:ascii="Arial" w:cs="Arial" w:eastAsia="Arial" w:hAnsi="Arial"/>
                <w:b/>
                <w:bCs/>
                <w:i w:val="false"/>
                <w:iCs w:val="false"/>
                <w:color w:val="1A1A1A"/>
                <w:sz w:val="17"/>
                <w:szCs w:val="17"/>
              </w:rPr>
              <w:t xml:space="preserve">Root cause?  </w:t>
            </w:r>
            <w:r>
              <w:rPr>
                <w:rFonts w:ascii="Arial" w:cs="Arial" w:eastAsia="Arial" w:hAnsi="Arial"/>
                <w:b w:val="false"/>
                <w:bCs w:val="false"/>
                <w:i w:val="false"/>
                <w:iCs w:val="false"/>
                <w:color w:val="1A1A1A"/>
                <w:sz w:val="17"/>
                <w:szCs w:val="17"/>
              </w:rPr>
              <w:t xml:space="preserve">A governance gap expressed through artifact design. The framework never formally recognized platform initiatives as a distinct type, so the artifacts were never designed to support them. The CAQ Technology Platforms section has only three substantive questions: a deployment model checkbox, a free-text cloud component field, and a marketplace flag. Nothing covers who owns and operates the platform, which workloads depend on it, what is triggering the initiative, or which enterprise platform standards apply. The singular factor is the absence of an initiative type classification.</w:t>
            </w:r>
          </w:p>
          <w:p>
            <w:pPr>
              <w:spacing w:after="50" w:before="0"/>
            </w:pPr>
            <w:r>
              <w:rPr>
                <w:rFonts w:ascii="Arial" w:cs="Arial" w:eastAsia="Arial" w:hAnsi="Arial"/>
                <w:b/>
                <w:bCs/>
                <w:i w:val="false"/>
                <w:iCs w:val="false"/>
                <w:color w:val="1A1A1A"/>
                <w:sz w:val="17"/>
                <w:szCs w:val="17"/>
              </w:rPr>
              <w:t xml:space="preserve">Why is it not working?  </w:t>
            </w:r>
            <w:r>
              <w:rPr>
                <w:rFonts w:ascii="Arial" w:cs="Arial" w:eastAsia="Arial" w:hAnsi="Arial"/>
                <w:b w:val="false"/>
                <w:bCs w:val="false"/>
                <w:i w:val="false"/>
                <w:iCs w:val="false"/>
                <w:color w:val="1A1A1A"/>
                <w:sz w:val="17"/>
                <w:szCs w:val="17"/>
              </w:rPr>
              <w:t xml:space="preserve">Platform initiatives are a growing share of the portfolio as cloud migration accelerates. PAs and SAs navigate templates that do not fit, leave sections blank, and answer questions that produce no useful architectural signal. By the time these gaps surface in the CA, the delivery team has already set timelines and made commitments that are difficult to reverse. The framework is also waterfall by design: it stops at approval with no mechanism to track how the solution evolves through delivery. This is confirmed independently across all four DAP domains. The evidence is in the CAQ itself: Question 23 lists 13 Canada Life strategic platforms. Not one is a cloud infrastructure, IaC, or automation platform. That is not a DAP gap. It is a framework gap.</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single" w:color="D4A017" w:sz="4"/>
                    <w:left w:val="thick" w:color="A50021" w:sz="16"/>
                    <w:bottom w:val="single" w:color="D4A017" w:sz="4"/>
                    <w:right w:val="single" w:color="D4A017" w:sz="4"/>
                  </w:tcBorders>
                  <w:shd w:fill="FFF8E1" w:val="clear"/>
                  <w:tcMar>
                    <w:top w:type="dxa" w:w="70"/>
                    <w:left w:type="dxa" w:w="140"/>
                    <w:bottom w:type="dxa" w:w="70"/>
                    <w:right w:type="dxa" w:w="140"/>
                  </w:tcMar>
                </w:tcPr>
                <w:p>
                  <w:pPr>
                    <w:spacing w:after="0" w:before="0"/>
                  </w:pPr>
                  <w:r>
                    <w:rPr>
                      <w:rFonts w:ascii="Arial" w:cs="Arial" w:eastAsia="Arial" w:hAnsi="Arial"/>
                      <w:b/>
                      <w:bCs/>
                      <w:i w:val="false"/>
                      <w:iCs w:val="false"/>
                      <w:color w:val="1A1A1A"/>
                      <w:sz w:val="16"/>
                      <w:szCs w:val="16"/>
                    </w:rPr>
                    <w:t xml:space="preserve">Cloud &amp; DevOps:  </w:t>
                  </w:r>
                  <w:r>
                    <w:rPr>
                      <w:rFonts w:ascii="Arial" w:cs="Arial" w:eastAsia="Arial" w:hAnsi="Arial"/>
                      <w:b w:val="false"/>
                      <w:bCs w:val="false"/>
                      <w:i w:val="false"/>
                      <w:iCs w:val="false"/>
                      <w:color w:val="1A1A1A"/>
                      <w:sz w:val="16"/>
                      <w:szCs w:val="16"/>
                    </w:rPr>
                    <w:t xml:space="preserve">On ExaData in Azure (Intake #290), the CAQ recorded 42 dependent applications but had no way to characterize that dependency in architectural terms: which applications had migration constraints, what the sequencing risk was, or what the DR topology decision meant for each workload. By the time these questions surfaced in the CA, the delivery timeline was already set. Same pattern on Ansible Automation Platform on Azure.  </w:t>
                  </w:r>
                  <w:r>
                    <w:rPr>
                      <w:rFonts w:ascii="Arial" w:cs="Arial" w:eastAsia="Arial" w:hAnsi="Arial"/>
                      <w:b/>
                      <w:bCs/>
                      <w:i w:val="false"/>
                      <w:iCs w:val="false"/>
                      <w:color w:val="1A1A1A"/>
                      <w:sz w:val="16"/>
                      <w:szCs w:val="16"/>
                    </w:rPr>
                    <w:t xml:space="preserve">Data and AI:  </w:t>
                  </w:r>
                  <w:r>
                    <w:rPr>
                      <w:rFonts w:ascii="Arial" w:cs="Arial" w:eastAsia="Arial" w:hAnsi="Arial"/>
                      <w:b w:val="false"/>
                      <w:bCs w:val="false"/>
                      <w:i w:val="false"/>
                      <w:iCs w:val="false"/>
                      <w:color w:val="1A1A1A"/>
                      <w:sz w:val="16"/>
                      <w:szCs w:val="16"/>
                    </w:rPr>
                    <w:t xml:space="preserve">CAQ submissions arrive with no triage or validation; the purpose of submission is unclear.  </w:t>
                  </w:r>
                  <w:r>
                    <w:rPr>
                      <w:rFonts w:ascii="Arial" w:cs="Arial" w:eastAsia="Arial" w:hAnsi="Arial"/>
                      <w:b/>
                      <w:bCs/>
                      <w:i w:val="false"/>
                      <w:iCs w:val="false"/>
                      <w:color w:val="1A1A1A"/>
                      <w:sz w:val="16"/>
                      <w:szCs w:val="16"/>
                    </w:rPr>
                    <w:t xml:space="preserve">Integration:  </w:t>
                  </w:r>
                  <w:r>
                    <w:rPr>
                      <w:rFonts w:ascii="Arial" w:cs="Arial" w:eastAsia="Arial" w:hAnsi="Arial"/>
                      <w:b w:val="false"/>
                      <w:bCs w:val="false"/>
                      <w:i w:val="false"/>
                      <w:iCs w:val="false"/>
                      <w:color w:val="1A1A1A"/>
                      <w:sz w:val="16"/>
                      <w:szCs w:val="16"/>
                    </w:rPr>
                    <w:t xml:space="preserve">The CA restates CAQ content rather than advancing it; capability models have no authoritative source; completed CAs sit in personal OneDrives that reviewers cannot access.  </w:t>
                  </w:r>
                  <w:r>
                    <w:rPr>
                      <w:rFonts w:ascii="Arial" w:cs="Arial" w:eastAsia="Arial" w:hAnsi="Arial"/>
                      <w:b/>
                      <w:bCs/>
                      <w:i w:val="false"/>
                      <w:iCs w:val="false"/>
                      <w:color w:val="1A1A1A"/>
                      <w:sz w:val="16"/>
                      <w:szCs w:val="16"/>
                    </w:rPr>
                    <w:t xml:space="preserve">Automation:  </w:t>
                  </w:r>
                  <w:r>
                    <w:rPr>
                      <w:rFonts w:ascii="Arial" w:cs="Arial" w:eastAsia="Arial" w:hAnsi="Arial"/>
                      <w:b w:val="false"/>
                      <w:bCs w:val="false"/>
                      <w:i w:val="false"/>
                      <w:iCs w:val="false"/>
                      <w:color w:val="1A1A1A"/>
                      <w:sz w:val="16"/>
                      <w:szCs w:val="16"/>
                    </w:rPr>
                    <w:t xml:space="preserve">The process stops at approval. What gets built during delivery regularly diverges from what was documented, with no mechanism to track how the solution evolved or whether it stayed aligned.</w:t>
                  </w:r>
                </w:p>
              </w:tc>
            </w:tr>
          </w:tbl>
          <w:p/>
        </w:tc>
      </w:tr>
      <w:tr>
        <w:tc>
          <w:tcPr>
            <w:tcW w:type="dxa" w:w="1680"/>
            <w:tcBorders>
              <w:top w:val="single" w:color="555555" w:sz="6"/>
              <w:left w:val="single" w:color="555555" w:sz="6"/>
              <w:bottom w:val="single" w:color="555555" w:sz="6"/>
              <w:right w:val="single" w:color="555555" w:sz="6"/>
            </w:tcBorders>
            <w:shd w:fill="404040" w:val="clear"/>
            <w:tcMar>
              <w:top w:type="dxa" w:w="70"/>
              <w:left w:type="dxa" w:w="140"/>
              <w:bottom w:type="dxa" w:w="70"/>
              <w:right w:type="dxa" w:w="140"/>
            </w:tcMar>
            <w:vAlign w:val="top"/>
          </w:tcPr>
          <w:p>
            <w:pPr>
              <w:spacing w:after="0" w:before="0"/>
            </w:pPr>
            <w:r>
              <w:rPr>
                <w:rFonts w:ascii="Arial" w:cs="Arial" w:eastAsia="Arial" w:hAnsi="Arial"/>
                <w:b/>
                <w:bCs/>
                <w:i w:val="false"/>
                <w:iCs w:val="false"/>
                <w:color w:val="FFFFFF"/>
                <w:sz w:val="16"/>
                <w:szCs w:val="16"/>
              </w:rPr>
              <w:t xml:space="preserve">Enterprise
Impact</w:t>
            </w:r>
          </w:p>
        </w:tc>
        <w:tc>
          <w:tcPr>
            <w:tcW w:type="dxa" w:w="9400"/>
            <w:tcBorders>
              <w:top w:val="single" w:color="CCCCCC" w:sz="6"/>
              <w:left w:val="single" w:color="CCCCCC" w:sz="6"/>
              <w:bottom w:val="single" w:color="CCCCCC" w:sz="6"/>
              <w:right w:val="single" w:color="CCCCCC" w:sz="6"/>
            </w:tcBorders>
            <w:shd w:fill="FFFFFF" w:val="clear"/>
            <w:tcMar>
              <w:top w:type="dxa" w:w="70"/>
              <w:left w:type="dxa" w:w="140"/>
              <w:bottom w:type="dxa" w:w="70"/>
              <w:right w:type="dxa" w:w="140"/>
            </w:tcMar>
            <w:vAlign w:val="top"/>
          </w:tcPr>
          <w:p>
            <w:pPr>
              <w:spacing w:after="50" w:before="0"/>
            </w:pPr>
            <w:r>
              <w:rPr>
                <w:rFonts w:ascii="Arial" w:cs="Arial" w:eastAsia="Arial" w:hAnsi="Arial"/>
                <w:b w:val="false"/>
                <w:bCs w:val="false"/>
                <w:i w:val="false"/>
                <w:iCs w:val="false"/>
                <w:color w:val="1A1A1A"/>
                <w:sz w:val="17"/>
                <w:szCs w:val="17"/>
              </w:rPr>
              <w:t xml:space="preserve">Every platform initiative enters the process as a misfit, regardless of business unit. Governance bodies approve CAs without a clear picture of which workloads are affected, what the operational transition will cost, or whether the solution meets enterprise platform standards. Because the process closes at approval and does not track solution evolution, misalignment accumulates silently through delivery and surfaces as late-stage design changes, avoidable rework, and review boards ratifying solutions not yet fully defined. Three EA goals are directly undermined:</w:t>
            </w:r>
          </w:p>
          <w:p>
            <w:pPr>
              <w:pStyle w:val="ListParagraph"/>
              <w:numPr>
                <w:ilvl w:val="0"/>
                <w:numId w:val="2"/>
              </w:numPr>
              <w:spacing w:after="55" w:before="0"/>
            </w:pPr>
            <w:r>
              <w:rPr>
                <w:rFonts w:ascii="Arial" w:cs="Arial" w:eastAsia="Arial" w:hAnsi="Arial"/>
                <w:b w:val="false"/>
                <w:bCs w:val="false"/>
                <w:i w:val="false"/>
                <w:iCs w:val="false"/>
                <w:color w:val="1A1A1A"/>
                <w:sz w:val="16"/>
                <w:szCs w:val="16"/>
              </w:rPr>
              <w:t xml:space="preserve">Enable early architectural influence: EA has no platform-specific signal at intake, so architectural input arrives after delivery teams have already committed to a direction.</w:t>
            </w:r>
          </w:p>
          <w:p>
            <w:pPr>
              <w:pStyle w:val="ListParagraph"/>
              <w:numPr>
                <w:ilvl w:val="0"/>
                <w:numId w:val="2"/>
              </w:numPr>
              <w:spacing w:after="55" w:before="0"/>
            </w:pPr>
            <w:r>
              <w:rPr>
                <w:rFonts w:ascii="Arial" w:cs="Arial" w:eastAsia="Arial" w:hAnsi="Arial"/>
                <w:b w:val="false"/>
                <w:bCs w:val="false"/>
                <w:i w:val="false"/>
                <w:iCs w:val="false"/>
                <w:color w:val="1A1A1A"/>
                <w:sz w:val="16"/>
                <w:szCs w:val="16"/>
              </w:rPr>
              <w:t xml:space="preserve">Surface significant architectural challenges early: key questions about platform ownership, dependent workloads, and transition approach are not raised until the CA is underway.</w:t>
            </w:r>
          </w:p>
          <w:p>
            <w:pPr>
              <w:pStyle w:val="ListParagraph"/>
              <w:numPr>
                <w:ilvl w:val="0"/>
                <w:numId w:val="2"/>
              </w:numPr>
              <w:spacing w:after="55" w:before="0"/>
            </w:pPr>
            <w:r>
              <w:rPr>
                <w:rFonts w:ascii="Arial" w:cs="Arial" w:eastAsia="Arial" w:hAnsi="Arial"/>
                <w:b w:val="false"/>
                <w:bCs w:val="false"/>
                <w:i w:val="false"/>
                <w:iCs w:val="false"/>
                <w:color w:val="1A1A1A"/>
                <w:sz w:val="16"/>
                <w:szCs w:val="16"/>
              </w:rPr>
              <w:t xml:space="preserve">Ensure alignment with enterprise standards: no platform-layer standards validation pathway exists in the current framework. Platform initiatives clear governance without it.</w:t>
            </w:r>
          </w:p>
        </w:tc>
      </w:tr>
      <w:tr>
        <w:tc>
          <w:tcPr>
            <w:tcW w:type="dxa" w:w="1680"/>
            <w:tcBorders>
              <w:top w:val="single" w:color="555555" w:sz="6"/>
              <w:left w:val="single" w:color="555555" w:sz="6"/>
              <w:bottom w:val="single" w:color="555555" w:sz="6"/>
              <w:right w:val="single" w:color="555555" w:sz="6"/>
            </w:tcBorders>
            <w:shd w:fill="404040" w:val="clear"/>
            <w:tcMar>
              <w:top w:type="dxa" w:w="70"/>
              <w:left w:type="dxa" w:w="140"/>
              <w:bottom w:type="dxa" w:w="70"/>
              <w:right w:type="dxa" w:w="140"/>
            </w:tcMar>
            <w:vAlign w:val="top"/>
          </w:tcPr>
          <w:p>
            <w:pPr>
              <w:spacing w:after="0" w:before="0"/>
            </w:pPr>
            <w:r>
              <w:rPr>
                <w:rFonts w:ascii="Arial" w:cs="Arial" w:eastAsia="Arial" w:hAnsi="Arial"/>
                <w:b/>
                <w:bCs/>
                <w:i w:val="false"/>
                <w:iCs w:val="false"/>
                <w:color w:val="FFFFFF"/>
                <w:sz w:val="16"/>
                <w:szCs w:val="16"/>
              </w:rPr>
              <w:t xml:space="preserve">Recommend-
ation</w:t>
            </w:r>
          </w:p>
        </w:tc>
        <w:tc>
          <w:tcPr>
            <w:tcW w:type="dxa" w:w="9400"/>
            <w:tcBorders>
              <w:top w:val="single" w:color="CCCCCC" w:sz="6"/>
              <w:left w:val="single" w:color="CCCCCC" w:sz="6"/>
              <w:bottom w:val="single" w:color="CCCCCC" w:sz="6"/>
              <w:right w:val="single" w:color="CCCCCC" w:sz="6"/>
            </w:tcBorders>
            <w:shd w:fill="FFFFFF" w:val="clear"/>
            <w:tcMar>
              <w:top w:type="dxa" w:w="70"/>
              <w:left w:type="dxa" w:w="140"/>
              <w:bottom w:type="dxa" w:w="70"/>
              <w:right w:type="dxa" w:w="140"/>
            </w:tcMar>
            <w:vAlign w:val="top"/>
          </w:tcPr>
          <w:p>
            <w:pPr>
              <w:spacing w:after="50" w:before="0"/>
            </w:pPr>
            <w:r>
              <w:rPr>
                <w:rFonts w:ascii="Arial" w:cs="Arial" w:eastAsia="Arial" w:hAnsi="Arial"/>
                <w:b w:val="false"/>
                <w:bCs w:val="false"/>
                <w:i w:val="false"/>
                <w:iCs w:val="false"/>
                <w:color w:val="1A1A1A"/>
                <w:sz w:val="17"/>
                <w:szCs w:val="17"/>
              </w:rPr>
              <w:t xml:space="preserve">The new Framework must formally recognize platform initiatives as a distinct initiative type. Two EA-owned changes are required:</w:t>
            </w:r>
          </w:p>
          <w:p>
            <w:pPr>
              <w:pStyle w:val="ListParagraph"/>
              <w:numPr>
                <w:ilvl w:val="0"/>
                <w:numId w:val="2"/>
              </w:numPr>
              <w:spacing w:after="55" w:before="0"/>
            </w:pPr>
            <w:r>
              <w:rPr>
                <w:rFonts w:ascii="Arial" w:cs="Arial" w:eastAsia="Arial" w:hAnsi="Arial"/>
                <w:b w:val="false"/>
                <w:bCs w:val="false"/>
                <w:i w:val="false"/>
                <w:iCs w:val="false"/>
                <w:color w:val="1A1A1A"/>
                <w:sz w:val="16"/>
                <w:szCs w:val="16"/>
              </w:rPr>
              <w:t xml:space="preserve">Add an initiative type classification early in the CAQ. When a platform initiative is identified, a targeted set of questions activates in place of the application-centric defaults: who owns and operates the platform, which workloads depend on it, what is triggering the initiative, and which enterprise platform standards apply. Application initiatives are unaffected. Platform teams get a question set that fits their work.</w:t>
            </w:r>
          </w:p>
          <w:p>
            <w:pPr>
              <w:pStyle w:val="ListParagraph"/>
              <w:numPr>
                <w:ilvl w:val="0"/>
                <w:numId w:val="2"/>
              </w:numPr>
              <w:spacing w:after="55" w:before="0"/>
            </w:pPr>
            <w:r>
              <w:rPr>
                <w:rFonts w:ascii="Arial" w:cs="Arial" w:eastAsia="Arial" w:hAnsi="Arial"/>
                <w:b w:val="false"/>
                <w:bCs w:val="false"/>
                <w:i w:val="false"/>
                <w:iCs w:val="false"/>
                <w:color w:val="1A1A1A"/>
                <w:sz w:val="16"/>
                <w:szCs w:val="16"/>
              </w:rPr>
              <w:t xml:space="preserve">Define a platform view set in the CA and E2E Framework as a first-class alternative to the application view set: platform service boundary and consumer dependency map replace systems context and information model; operational model and ownership replace journey maps; infrastructure dependency and standards alignment replace logical data flow; transition architecture is included where the initiative involves moving from an existing state. This substitutes inapplicable views. It does not expand the template.</w:t>
            </w:r>
          </w:p>
        </w:tc>
      </w:tr>
      <w:tr>
        <w:tc>
          <w:tcPr>
            <w:tcW w:type="dxa" w:w="1680"/>
            <w:tcBorders>
              <w:top w:val="single" w:color="555555" w:sz="6"/>
              <w:left w:val="single" w:color="555555" w:sz="6"/>
              <w:bottom w:val="single" w:color="555555" w:sz="6"/>
              <w:right w:val="single" w:color="555555" w:sz="6"/>
            </w:tcBorders>
            <w:shd w:fill="404040" w:val="clear"/>
            <w:tcMar>
              <w:top w:type="dxa" w:w="70"/>
              <w:left w:type="dxa" w:w="140"/>
              <w:bottom w:type="dxa" w:w="70"/>
              <w:right w:type="dxa" w:w="140"/>
            </w:tcMar>
            <w:vAlign w:val="top"/>
          </w:tcPr>
          <w:p>
            <w:pPr>
              <w:spacing w:after="0" w:before="0"/>
            </w:pPr>
            <w:r>
              <w:rPr>
                <w:rFonts w:ascii="Arial" w:cs="Arial" w:eastAsia="Arial" w:hAnsi="Arial"/>
                <w:b/>
                <w:bCs/>
                <w:i w:val="false"/>
                <w:iCs w:val="false"/>
                <w:color w:val="FFFFFF"/>
                <w:sz w:val="16"/>
                <w:szCs w:val="16"/>
              </w:rPr>
              <w:t xml:space="preserve">Adoption
Risk</w:t>
            </w:r>
          </w:p>
        </w:tc>
        <w:tc>
          <w:tcPr>
            <w:tcW w:type="dxa" w:w="9400"/>
            <w:tcBorders>
              <w:top w:val="single" w:color="CCCCCC" w:sz="6"/>
              <w:left w:val="single" w:color="CCCCCC" w:sz="6"/>
              <w:bottom w:val="single" w:color="CCCCCC" w:sz="6"/>
              <w:right w:val="single" w:color="CCCCCC" w:sz="6"/>
            </w:tcBorders>
            <w:shd w:fill="FFFFFF" w:val="clear"/>
            <w:tcMar>
              <w:top w:type="dxa" w:w="70"/>
              <w:left w:type="dxa" w:w="140"/>
              <w:bottom w:type="dxa" w:w="70"/>
              <w:right w:type="dxa" w:w="140"/>
            </w:tcMar>
            <w:vAlign w:val="top"/>
          </w:tcPr>
          <w:p>
            <w:pPr>
              <w:pStyle w:val="ListParagraph"/>
              <w:numPr>
                <w:ilvl w:val="0"/>
                <w:numId w:val="2"/>
              </w:numPr>
              <w:spacing w:after="55" w:before="0"/>
            </w:pPr>
            <w:r>
              <w:rPr>
                <w:rFonts w:ascii="Arial" w:cs="Arial" w:eastAsia="Arial" w:hAnsi="Arial"/>
                <w:b w:val="false"/>
                <w:bCs w:val="false"/>
                <w:i w:val="false"/>
                <w:iCs w:val="false"/>
                <w:color w:val="1A1A1A"/>
                <w:sz w:val="16"/>
                <w:szCs w:val="16"/>
              </w:rPr>
              <w:t xml:space="preserve">EA leadership may see an initiative type classification as added complexity on a form that is already too long. This concern has been raised by the Integration PA.</w:t>
            </w:r>
          </w:p>
          <w:p>
            <w:pPr>
              <w:pStyle w:val="ListParagraph"/>
              <w:numPr>
                <w:ilvl w:val="0"/>
                <w:numId w:val="2"/>
              </w:numPr>
              <w:spacing w:after="55" w:before="0"/>
            </w:pPr>
            <w:r>
              <w:rPr>
                <w:rFonts w:ascii="Arial" w:cs="Arial" w:eastAsia="Arial" w:hAnsi="Arial"/>
                <w:b w:val="false"/>
                <w:bCs w:val="false"/>
                <w:i w:val="false"/>
                <w:iCs w:val="false"/>
                <w:color w:val="1A1A1A"/>
                <w:sz w:val="16"/>
                <w:szCs w:val="16"/>
              </w:rPr>
              <w:t xml:space="preserve">Delivery teams may resist any intake change that looks like a new gate.</w:t>
            </w:r>
          </w:p>
          <w:p>
            <w:pPr>
              <w:spacing w:after="0" w:before="60"/>
            </w:pPr>
            <w:r>
              <w:rPr>
                <w:rFonts w:ascii="Arial" w:cs="Arial" w:eastAsia="Arial" w:hAnsi="Arial"/>
                <w:b/>
                <w:bCs/>
                <w:i w:val="false"/>
                <w:iCs w:val="false"/>
                <w:color w:val="1A1A1A"/>
                <w:sz w:val="17"/>
                <w:szCs w:val="17"/>
              </w:rPr>
              <w:t xml:space="preserve">Mitigation:  </w:t>
            </w:r>
            <w:r>
              <w:rPr>
                <w:rFonts w:ascii="Arial" w:cs="Arial" w:eastAsia="Arial" w:hAnsi="Arial"/>
                <w:b w:val="false"/>
                <w:bCs w:val="false"/>
                <w:i w:val="false"/>
                <w:iCs w:val="false"/>
                <w:color w:val="1A1A1A"/>
                <w:sz w:val="17"/>
                <w:szCs w:val="17"/>
              </w:rPr>
              <w:t xml:space="preserve">Frame this as simplification, not expansion. The current 35-question application-centric CAQ is the complexity problem for platform teams. A platform pathway removes questions that do not apply and eliminates blank-section workarounds that slow every platform CA. The net question count for platform initiatives goes down, not up. Pilot on one initiative per BU before the Framework is finalized, measure how many items are still open at ARC review compared to before, and use that data to close the resistance argument.</w:t>
            </w:r>
          </w:p>
        </w:tc>
      </w:tr>
    </w:tbl>
    <w:p>
      <w:pPr>
        <w:spacing w:after="0" w:before="80"/>
      </w:pPr>
      <w:r>
        <w:rPr>
          <w:rFonts w:ascii="Arial" w:cs="Arial" w:eastAsia="Arial" w:hAnsi="Arial"/>
          <w:b w:val="false"/>
          <w:bCs w:val="false"/>
          <w:i w:val="false"/>
          <w:iCs w:val="false"/>
          <w:color w:val="999999"/>
          <w:sz w:val="13"/>
          <w:szCs w:val="13"/>
        </w:rPr>
        <w:t xml:space="preserve">EA Efficiency Committee - Focus Group   |   March 12, 2026   |   Confidential - Internal Use Only</w:t>
      </w:r>
    </w:p>
    <w:sectPr>
      <w:pgSz w:w="12240" w:h="15840" w:orient="portrait"/>
      <w:pgMar w:top="580" w:right="580" w:bottom="580" w:left="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2026-03-12T12:23:10.449Z</dcterms:created>
  <dcterms:modified xsi:type="dcterms:W3CDTF">2026-03-12T12:23:10.450Z</dcterms:modified>
</cp:coreProperties>
</file>

<file path=docProps/custom.xml><?xml version="1.0" encoding="utf-8"?>
<Properties xmlns="http://schemas.openxmlformats.org/officeDocument/2006/custom-properties" xmlns:vt="http://schemas.openxmlformats.org/officeDocument/2006/docPropsVTypes"/>
</file>