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us_market_analysis_for_therapist_5b94d6"/>
      <w:r>
        <w:rPr>
          <w:rFonts w:eastAsia="georgia" w:cs="georgia" w:ascii="georgia" w:hAnsi="georgia"/>
          <w:b/>
          <w:color w:val="000000"/>
          <w:sz w:val="39"/>
        </w:rPr>
        <w:t xml:space="preserve">US Market Analysis for Therapist Insurance Revenue SaaS: ClaimCompass GTM Strategy</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ClaimCompass addresses a $65+ billion revenue cycle management market opportunity with sharp differentiation: rather than competing as "another AI appeal tool," it positions as a therapist-specific insurance revenue guardrail that solves the full denial workflow — triage, credentialing health, corrected claims, payer follow-up, and appeals — for solo and small-group behavioral health practices.[^1]</w:t>
      </w:r>
    </w:p>
    <w:p>
      <w:pPr>
        <w:spacing w:line="360" w:after="210" w:lineRule="auto"/>
      </w:pPr>
      <w:r>
        <w:rPr>
          <w:rFonts w:eastAsia="georgia" w:cs="georgia" w:ascii="georgia" w:hAnsi="georgia"/>
          <w:color w:val="000000"/>
        </w:rPr>
        <w:t xml:space="preserve">The behavioral health market is projected to grow from $94.82 billion in 2025 to $165.38 billion by 2034 (6.4% CAGR), while therapists face denial rates of 30% versus 8-12% for general medicine. Solo therapists seeing 25 patients weekly at $150 average reimbursement generate $195,000 annually but collect only $159,900 at the 82% net collection rate typical of self-managed billing — leaving $35,000+ on the table. With an average take-home of $86,961 on $127,631 revenue, therapists cannot afford enterprise RCM solutions priced at $1,000+/month.[</w:t>
      </w:r>
      <w:r>
        <w:rPr>
          <w:rFonts w:eastAsia="georgia" w:cs="georgia" w:ascii="georgia" w:hAnsi="georgia"/>
          <w:color w:val="000000"/>
          <w:vertAlign w:val="superscript"/>
        </w:rPr>
        <w:t xml:space="preserve">2][</w:t>
      </w:r>
      <w:r>
        <w:rPr>
          <w:rFonts w:eastAsia="georgia" w:cs="georgia" w:ascii="georgia" w:hAnsi="georgia"/>
          <w:color w:val="000000"/>
        </w:rPr>
        <w:t xml:space="preserve">3][</w:t>
      </w:r>
      <w:r>
        <w:rPr>
          <w:rFonts w:eastAsia="georgia" w:cs="georgia" w:ascii="georgia" w:hAnsi="georgia"/>
          <w:color w:val="000000"/>
          <w:vertAlign w:val="superscript"/>
        </w:rPr>
        <w:t xml:space="preserve">4][</w:t>
      </w:r>
      <w:r>
        <w:rPr>
          <w:rFonts w:eastAsia="georgia" w:cs="georgia" w:ascii="georgia" w:hAnsi="georgia"/>
          <w:color w:val="000000"/>
        </w:rPr>
        <w:t xml:space="preserve">5]</w:t>
      </w:r>
    </w:p>
    <w:p>
      <w:pPr>
        <w:spacing w:line="360" w:after="210" w:lineRule="auto"/>
      </w:pPr>
      <w:r>
        <w:rPr>
          <w:rFonts w:eastAsia="georgia" w:cs="georgia" w:ascii="georgia" w:hAnsi="georgia"/>
          <w:color w:val="000000"/>
        </w:rPr>
        <w:t xml:space="preserve">The core insight: behavioral health denials rarely need polished appeal letters. Most require corrected claims (wrong modifier, POS, NPI), credentialing fixes (CAQH re-attestation, taxonomy mismatch, panel effective date issues), payer portal follow-up, or client billing adjustments. Competitors like AppealGenius ($1,000/month), Blueprint (EHR replacement), Anomaly (enterprise prediction), and Authsnap (hospital-focused clinical appeals) leave room for an EHR-agnostic, therapist-native operating system priced at $79-$249/month that works with SimplePractice (77% market share) and TherapyNotes (14%).[^6]</w:t>
      </w:r>
    </w:p>
    <w:p>
      <w:pPr>
        <w:spacing w:line="360" w:after="210" w:lineRule="auto"/>
      </w:pPr>
      <w:r>
        <w:rPr>
          <w:rFonts w:eastAsia="georgia" w:cs="georgia" w:ascii="georgia" w:hAnsi="georgia"/>
          <w:color w:val="000000"/>
        </w:rPr>
        <w:t xml:space="preserve">ClaimCompass's differentiation lies in denial triage before appeals, credentialing health monitoring as revenue protection, behavioral-health-specific payer playbooks (90791, 90834, 90837, telehealth modifiers, CAQH, NPI/taxonomy issues), and prevention loops that turn resolved denials into billing rules. The wedge is not "generate appeals faster" but "know exactly what to do next" — making the product a decision support layer rather than a document generator.</w:t>
      </w:r>
    </w:p>
    <w:p>
      <w:pPr>
        <w:spacing w:line="360" w:before="315" w:after="105" w:lineRule="auto"/>
        <w:ind w:left="-30"/>
        <w:jc w:val="left"/>
      </w:pPr>
      <w:bookmarkStart w:id="2" w:name="market_landscape"/>
      <w:r>
        <w:rPr>
          <w:rFonts w:eastAsia="georgia" w:cs="georgia" w:ascii="georgia" w:hAnsi="georgia"/>
          <w:b/>
          <w:color w:val="000000"/>
          <w:sz w:val="24"/>
        </w:rPr>
        <w:t xml:space="preserve">Market Landscape</w:t>
      </w:r>
      <w:bookmarkEnd w:id="2"/>
    </w:p>
    <w:p>
      <w:pPr>
        <w:spacing w:line="360" w:before="315" w:after="105" w:lineRule="auto"/>
        <w:ind w:left="-30"/>
        <w:jc w:val="left"/>
      </w:pPr>
      <w:bookmarkStart w:id="3" w:name="behavioral_health_market_size_and_growth"/>
      <w:r>
        <w:rPr>
          <w:rFonts w:eastAsia="georgia" w:cs="georgia" w:ascii="georgia" w:hAnsi="georgia"/>
          <w:b/>
          <w:color w:val="000000"/>
          <w:sz w:val="24"/>
        </w:rPr>
        <w:t xml:space="preserve">Behavioral Health Market Size and Growth</w:t>
      </w:r>
      <w:bookmarkEnd w:id="3"/>
    </w:p>
    <w:p>
      <w:pPr>
        <w:spacing w:line="360" w:after="210" w:lineRule="auto"/>
      </w:pPr>
      <w:r>
        <w:rPr>
          <w:rFonts w:eastAsia="georgia" w:cs="georgia" w:ascii="georgia" w:hAnsi="georgia"/>
          <w:color w:val="000000"/>
        </w:rPr>
        <w:t xml:space="preserve">The US behavioral health market reached $94.82 billion in 2025 and is projected to grow to approximately $165.38 billion by 2034, reflecting a compound annual growth rate of 6.4%. This growth trajectory is driven by increasing mental health awareness, telehealth adoption, and legislative support for behavioral health parity. However, revenue cycle management infrastructure has not kept pace with this expansion, creating operational friction for independent therapists.[^2]</w:t>
      </w:r>
    </w:p>
    <w:p>
      <w:pPr>
        <w:spacing w:line="360" w:after="210" w:lineRule="auto"/>
      </w:pPr>
      <w:r>
        <w:rPr>
          <w:rFonts w:eastAsia="georgia" w:cs="georgia" w:ascii="georgia" w:hAnsi="georgia"/>
          <w:color w:val="000000"/>
        </w:rPr>
        <w:t xml:space="preserve">The broader healthcare revenue cycle management (RCM) market provides context for ClaimCompass's positioning. The US healthcare RCM market was valued at $65.38 billion in 2025 and is expected to reach $195.92 billion by 2035, growing at 11.6% CAGR. Services dominated the RCM market in 2024 with revenues of $62 billion, as outsourced billing, coding, claims management, and denial resolution gain traction among mid-sized hospitals and physician groups lacking in-house expertise. However, these enterprise-scale solutions are not designed for the solo therapist with 20-30 patients and 3-5 denied claims per month.[</w:t>
      </w:r>
      <w:r>
        <w:rPr>
          <w:rFonts w:eastAsia="georgia" w:cs="georgia" w:ascii="georgia" w:hAnsi="georgia"/>
          <w:color w:val="000000"/>
          <w:vertAlign w:val="superscript"/>
        </w:rPr>
        <w:t xml:space="preserve">1][</w:t>
      </w:r>
      <w:r>
        <w:rPr>
          <w:rFonts w:eastAsia="georgia" w:cs="georgia" w:ascii="georgia" w:hAnsi="georgia"/>
          <w:color w:val="000000"/>
        </w:rPr>
        <w:t xml:space="preserve">7]</w:t>
      </w:r>
    </w:p>
    <w:p>
      <w:pPr>
        <w:spacing w:line="360" w:before="315" w:after="105" w:lineRule="auto"/>
        <w:ind w:left="-30"/>
        <w:jc w:val="left"/>
      </w:pPr>
      <w:bookmarkStart w:id="4" w:name="target_addressable_market_solo_an_782a81"/>
      <w:r>
        <w:rPr>
          <w:rFonts w:eastAsia="georgia" w:cs="georgia" w:ascii="georgia" w:hAnsi="georgia"/>
          <w:b/>
          <w:color w:val="000000"/>
          <w:sz w:val="24"/>
        </w:rPr>
        <w:t xml:space="preserve">Target Addressable Market: Solo and Small-Group Therapists</w:t>
      </w:r>
      <w:bookmarkEnd w:id="4"/>
    </w:p>
    <w:p>
      <w:pPr>
        <w:spacing w:line="360" w:after="210" w:lineRule="auto"/>
      </w:pPr>
      <w:r>
        <w:rPr>
          <w:rFonts w:eastAsia="georgia" w:cs="georgia" w:ascii="georgia" w:hAnsi="georgia"/>
          <w:color w:val="000000"/>
        </w:rPr>
        <w:t xml:space="preserve">The primary target market consists of solo therapists and small behavioral health practices (1-5 clinicians) who bill insurance independently. While exact US counts for solo therapists are difficult to isolate, industry data provides strong directional evidence. SimplePractice, which holds approximately 77% market share among behavioral health practice management platforms, and TherapyNotes with 14% share together account for over 90% of the small-practice EHR market. This concentration indicates tens of thousands of potential users already invested in EHR infrastructure that ClaimCompass can complement rather than replace.[^6]</w:t>
      </w:r>
    </w:p>
    <w:p>
      <w:pPr>
        <w:spacing w:line="360" w:after="210" w:lineRule="auto"/>
      </w:pPr>
      <w:r>
        <w:rPr>
          <w:rFonts w:eastAsia="georgia" w:cs="georgia" w:ascii="georgia" w:hAnsi="georgia"/>
          <w:color w:val="000000"/>
        </w:rPr>
        <w:t xml:space="preserve">Average solo therapist revenue provides insight into market sizing. A solo therapist seeing 25 patients weekly at $150 average reimbursement should collect $195,000 annually, but at the typical 82% net collection rate for self-managed billing, actual collections drop to $159,900 — a $35,100 revenue leak. Across Heard's 2025 dataset of private practices, average revenue was $127,631 with take-home income of $86,961. This suggests significant financial pressure on therapists who cannot afford enterprise RCM solutions priced at $1,000+/month but desperately need better revenue protection.[</w:t>
      </w:r>
      <w:r>
        <w:rPr>
          <w:rFonts w:eastAsia="georgia" w:cs="georgia" w:ascii="georgia" w:hAnsi="georgia"/>
          <w:color w:val="000000"/>
          <w:vertAlign w:val="superscript"/>
        </w:rPr>
        <w:t xml:space="preserve">4][</w:t>
      </w:r>
      <w:r>
        <w:rPr>
          <w:rFonts w:eastAsia="georgia" w:cs="georgia" w:ascii="georgia" w:hAnsi="georgia"/>
          <w:color w:val="000000"/>
        </w:rPr>
        <w:t xml:space="preserve">5]</w:t>
      </w:r>
    </w:p>
    <w:p>
      <w:pPr>
        <w:spacing w:line="360" w:after="210" w:lineRule="auto"/>
      </w:pPr>
      <w:r>
        <w:rPr>
          <w:rFonts w:eastAsia="georgia" w:cs="georgia" w:ascii="georgia" w:hAnsi="georgia"/>
          <w:color w:val="000000"/>
        </w:rPr>
        <w:t xml:space="preserve">The therapist practice management software market itself is estimated at $420.75 million in 2025 and projected to reach $1,023.45 million by 2033 (11.25% CAGR). North America holds 38.7% market share, with the United States accounting for 23.4%. While this includes broader practice management, it confirms the digital transformation underway in small therapy practices and validates the willingness to pay for software that solves operational pain points.[^8]</w:t>
      </w:r>
    </w:p>
    <w:p>
      <w:pPr>
        <w:spacing w:line="360" w:before="315" w:after="105" w:lineRule="auto"/>
        <w:ind w:left="-30"/>
        <w:jc w:val="left"/>
      </w:pPr>
      <w:bookmarkStart w:id="5" w:name="the_denial_crisis_in_behavioral_health"/>
      <w:r>
        <w:rPr>
          <w:rFonts w:eastAsia="georgia" w:cs="georgia" w:ascii="georgia" w:hAnsi="georgia"/>
          <w:b/>
          <w:color w:val="000000"/>
          <w:sz w:val="24"/>
        </w:rPr>
        <w:t xml:space="preserve">The Denial Crisis in Behavioral Health</w:t>
      </w:r>
      <w:bookmarkEnd w:id="5"/>
    </w:p>
    <w:p>
      <w:pPr>
        <w:spacing w:line="360" w:after="210" w:lineRule="auto"/>
      </w:pPr>
      <w:r>
        <w:rPr>
          <w:rFonts w:eastAsia="georgia" w:cs="georgia" w:ascii="georgia" w:hAnsi="georgia"/>
          <w:color w:val="000000"/>
        </w:rPr>
        <w:t xml:space="preserve">Behavioral health claims face uniquely punitive denial rates. The average denial rate for behavioral health claims stands at approximately 30%, while general medicine sees only 8-12%. This 2.5-3x higher denial rate stems from several behavioral-health-specific factors:[^3]</w:t>
      </w:r>
    </w:p>
    <w:p>
      <w:pPr>
        <w:numPr>
          <w:ilvl w:val="0"/>
          <w:numId w:val="1"/>
        </w:numPr>
        <w:spacing w:line="360" w:after="210" w:lineRule="auto"/>
      </w:pPr>
      <w:r>
        <w:rPr>
          <w:rFonts w:eastAsia="georgia" w:cs="georgia" w:ascii="georgia" w:hAnsi="georgia"/>
          <w:b/>
          <w:color w:val="000000"/>
          <w:sz w:val="21"/>
        </w:rPr>
        <w:t xml:space="preserve">CPT Code Documentation Requirements</w:t>
      </w:r>
      <w:r>
        <w:rPr>
          <w:rFonts w:eastAsia="georgia" w:cs="georgia" w:ascii="georgia" w:hAnsi="georgia"/>
          <w:color w:val="000000"/>
          <w:sz w:val="21"/>
        </w:rPr>
        <w:t xml:space="preserve">: Codes like 90834 (45-minute psychotherapy) and 90837 (60-minute psychotherapy) now require more precise documentation, including specific therapeutic approaches used. New codes in 2025 such as 989X1 for digital behavioral health interventions and 90868 for ultra-brief sessions (under 15 minutes) add complexity.[^9]</w:t>
      </w:r>
    </w:p>
    <w:p>
      <w:pPr>
        <w:numPr>
          <w:ilvl w:val="0"/>
          <w:numId w:val="1"/>
        </w:numPr>
        <w:spacing w:line="360" w:after="210" w:lineRule="auto"/>
      </w:pPr>
      <w:r>
        <w:rPr>
          <w:rFonts w:eastAsia="georgia" w:cs="georgia" w:ascii="georgia" w:hAnsi="georgia"/>
          <w:b/>
          <w:color w:val="000000"/>
          <w:sz w:val="21"/>
        </w:rPr>
        <w:t xml:space="preserve">Telehealth Modifier and Place of Service Issues</w:t>
      </w:r>
      <w:r>
        <w:rPr>
          <w:rFonts w:eastAsia="georgia" w:cs="georgia" w:ascii="georgia" w:hAnsi="georgia"/>
          <w:color w:val="000000"/>
          <w:sz w:val="21"/>
        </w:rPr>
        <w:t xml:space="preserve">: Permanent telehealth billing for behavioral health includes audio-only services in specific cases, but incorrect POS (place of service) and modifier combinations frequently trigger denials.[</w:t>
      </w:r>
      <w:r>
        <w:rPr>
          <w:rFonts w:eastAsia="georgia" w:cs="georgia" w:ascii="georgia" w:hAnsi="georgia"/>
          <w:color w:val="000000"/>
          <w:sz w:val="21"/>
          <w:vertAlign w:val="superscript"/>
        </w:rPr>
        <w:t xml:space="preserve">10][</w:t>
      </w:r>
      <w:r>
        <w:rPr>
          <w:rFonts w:eastAsia="georgia" w:cs="georgia" w:ascii="georgia" w:hAnsi="georgia"/>
          <w:color w:val="000000"/>
          <w:sz w:val="21"/>
        </w:rPr>
        <w:t xml:space="preserve">9]</w:t>
      </w:r>
    </w:p>
    <w:p>
      <w:pPr>
        <w:numPr>
          <w:ilvl w:val="0"/>
          <w:numId w:val="1"/>
        </w:numPr>
        <w:spacing w:line="360" w:after="210" w:lineRule="auto"/>
      </w:pPr>
      <w:r>
        <w:rPr>
          <w:rFonts w:eastAsia="georgia" w:cs="georgia" w:ascii="georgia" w:hAnsi="georgia"/>
          <w:b/>
          <w:color w:val="000000"/>
          <w:sz w:val="21"/>
        </w:rPr>
        <w:t xml:space="preserve">Medical Necessity Standards</w:t>
      </w:r>
      <w:r>
        <w:rPr>
          <w:rFonts w:eastAsia="georgia" w:cs="georgia" w:ascii="georgia" w:hAnsi="georgia"/>
          <w:color w:val="000000"/>
          <w:sz w:val="21"/>
        </w:rPr>
        <w:t xml:space="preserve">: Insurance companies tighten documentation requirements, emphasizing time-specific notes that clearly link services to medical necessity. Therapists report feeling constrained during sessions, needing to achieve significant outcomes to justify progress notes for insurance purposes.[</w:t>
      </w:r>
      <w:r>
        <w:rPr>
          <w:rFonts w:eastAsia="georgia" w:cs="georgia" w:ascii="georgia" w:hAnsi="georgia"/>
          <w:color w:val="000000"/>
          <w:sz w:val="21"/>
          <w:vertAlign w:val="superscript"/>
        </w:rPr>
        <w:t xml:space="preserve">11][</w:t>
      </w:r>
      <w:r>
        <w:rPr>
          <w:rFonts w:eastAsia="georgia" w:cs="georgia" w:ascii="georgia" w:hAnsi="georgia"/>
          <w:color w:val="000000"/>
          <w:sz w:val="21"/>
        </w:rPr>
        <w:t xml:space="preserve">9]</w:t>
      </w:r>
    </w:p>
    <w:p>
      <w:pPr>
        <w:numPr>
          <w:ilvl w:val="0"/>
          <w:numId w:val="1"/>
        </w:numPr>
        <w:spacing w:line="360" w:after="210" w:lineRule="auto"/>
      </w:pPr>
      <w:r>
        <w:rPr>
          <w:rFonts w:eastAsia="georgia" w:cs="georgia" w:ascii="georgia" w:hAnsi="georgia"/>
          <w:b/>
          <w:color w:val="000000"/>
          <w:sz w:val="21"/>
        </w:rPr>
        <w:t xml:space="preserve">Prior Authorization and Interactive Complexity</w:t>
      </w:r>
      <w:r>
        <w:rPr>
          <w:rFonts w:eastAsia="georgia" w:cs="georgia" w:ascii="georgia" w:hAnsi="georgia"/>
          <w:color w:val="000000"/>
          <w:sz w:val="21"/>
        </w:rPr>
        <w:t xml:space="preserve">: Time-based service revisions and interactive complexity add-on codes (90785 for sessions with complex communication needs) require precise documentation.[^9]</w:t>
      </w:r>
    </w:p>
    <w:p>
      <w:pPr>
        <w:spacing w:line="360" w:after="210" w:lineRule="auto"/>
      </w:pPr>
      <w:r>
        <w:rPr>
          <w:rFonts w:eastAsia="georgia" w:cs="georgia" w:ascii="georgia" w:hAnsi="georgia"/>
          <w:color w:val="000000"/>
        </w:rPr>
        <w:t xml:space="preserve">Despite the high initial denial rate, 81.7% of denied claims that are appealed are ultimately overturned, indicating that many initial denials are unjustified. However, between 50-65% of denied claims are never resubmitted because the reprocessing cost ranges from $25 to $181 in staff hours — often exceeding the claim value for solo therapists. Nearly 15% of medical claims submitted to private payers are initially denied, and hospitals and health systems spent an estimated $19.7 billion in 2022 trying to overturn denied claims. More than half (54.3%) of denied claims by payers ultimately are overturned, but only after providers go through multiple rounds of costly appeals.[</w:t>
      </w:r>
      <w:r>
        <w:rPr>
          <w:rFonts w:eastAsia="georgia" w:cs="georgia" w:ascii="georgia" w:hAnsi="georgia"/>
          <w:color w:val="000000"/>
          <w:vertAlign w:val="superscript"/>
        </w:rPr>
        <w:t xml:space="preserve">12][</w:t>
      </w:r>
      <w:r>
        <w:rPr>
          <w:rFonts w:eastAsia="georgia" w:cs="georgia" w:ascii="georgia" w:hAnsi="georgia"/>
          <w:color w:val="000000"/>
        </w:rPr>
        <w:t xml:space="preserve">13][^3]</w:t>
      </w:r>
    </w:p>
    <w:p>
      <w:pPr>
        <w:spacing w:line="360" w:after="210" w:lineRule="auto"/>
      </w:pPr>
      <w:r>
        <w:rPr>
          <w:rFonts w:eastAsia="georgia" w:cs="georgia" w:ascii="georgia" w:hAnsi="georgia"/>
          <w:color w:val="000000"/>
        </w:rPr>
        <w:t xml:space="preserve">The average cost to appeal a denial approaches $200 per case, with complex clinical denials incurring even higher expenses. Over $12 billion is lost annually due to denied claims, and more than 50% of denial inventory is not appealed due to time-consuming processes and staff shortages. Despite appeal efforts, only 54% of appealed denials are successfully overturned.[^14]</w:t>
      </w:r>
    </w:p>
    <w:p>
      <w:pPr>
        <w:spacing w:line="360" w:after="210" w:lineRule="auto"/>
      </w:pPr>
      <w:r>
        <w:rPr>
          <w:rFonts w:eastAsia="georgia" w:cs="georgia" w:ascii="georgia" w:hAnsi="georgia"/>
          <w:color w:val="000000"/>
        </w:rPr>
        <w:t xml:space="preserve">For solo therapists, this creates an impossible choice: spend billable clinical hours on claim follow-up or accept revenue leakage of $35,000+ annually.[^4]</w:t>
      </w:r>
    </w:p>
    <w:p>
      <w:pPr>
        <w:spacing w:line="360" w:before="315" w:after="105" w:lineRule="auto"/>
        <w:ind w:left="-30"/>
        <w:jc w:val="left"/>
      </w:pPr>
      <w:bookmarkStart w:id="6" w:name="problem_analysis_the_denial_maze_6392ac"/>
      <w:r>
        <w:rPr>
          <w:rFonts w:eastAsia="georgia" w:cs="georgia" w:ascii="georgia" w:hAnsi="georgia"/>
          <w:b/>
          <w:color w:val="000000"/>
          <w:sz w:val="24"/>
        </w:rPr>
        <w:t xml:space="preserve">Problem Analysis: The Denial Maze Beyond Appeals</w:t>
      </w:r>
      <w:bookmarkEnd w:id="6"/>
    </w:p>
    <w:p>
      <w:pPr>
        <w:spacing w:line="360" w:before="315" w:after="105" w:lineRule="auto"/>
        <w:ind w:left="-30"/>
        <w:jc w:val="left"/>
      </w:pPr>
      <w:bookmarkStart w:id="7" w:name="why_appeal_automation_misses_the_mark"/>
      <w:r>
        <w:rPr>
          <w:rFonts w:eastAsia="georgia" w:cs="georgia" w:ascii="georgia" w:hAnsi="georgia"/>
          <w:b/>
          <w:color w:val="000000"/>
          <w:sz w:val="24"/>
        </w:rPr>
        <w:t xml:space="preserve">Why "Appeal Automation" Misses the Mark</w:t>
      </w:r>
      <w:bookmarkEnd w:id="7"/>
    </w:p>
    <w:p>
      <w:pPr>
        <w:spacing w:line="360" w:after="210" w:lineRule="auto"/>
      </w:pPr>
      <w:r>
        <w:rPr>
          <w:rFonts w:eastAsia="georgia" w:cs="georgia" w:ascii="georgia" w:hAnsi="georgia"/>
          <w:color w:val="000000"/>
        </w:rPr>
        <w:t xml:space="preserve">The competitive landscape reveals a critical insight: behavioral health claim problems are not primarily appeal problems. They are triage, credentialing, and workflow problems. Most competitors position around appeals automation:</w:t>
      </w:r>
    </w:p>
    <w:p>
      <w:pPr>
        <w:numPr>
          <w:ilvl w:val="0"/>
          <w:numId w:val="2"/>
        </w:numPr>
        <w:spacing w:line="360" w:after="210" w:lineRule="auto"/>
      </w:pPr>
      <w:r>
        <w:rPr>
          <w:rFonts w:eastAsia="georgia" w:cs="georgia" w:ascii="georgia" w:hAnsi="georgia"/>
          <w:b/>
          <w:color w:val="000000"/>
          <w:sz w:val="21"/>
        </w:rPr>
        <w:t xml:space="preserve">AppealGenius</w:t>
      </w:r>
      <w:r>
        <w:rPr>
          <w:rFonts w:eastAsia="georgia" w:cs="georgia" w:ascii="georgia" w:hAnsi="georgia"/>
          <w:color w:val="000000"/>
          <w:sz w:val="21"/>
        </w:rPr>
        <w:t xml:space="preserve">: Payer-specific appeal letters priced at $1,000/month plus $2,500 setup, with annual contracts at $10,000/year. Uses successful appeal letters, ASAM criteria, CMS policies, and clinical evidence to generate appeals.</w:t>
      </w:r>
    </w:p>
    <w:p>
      <w:pPr>
        <w:numPr>
          <w:ilvl w:val="0"/>
          <w:numId w:val="2"/>
        </w:numPr>
        <w:spacing w:line="360" w:after="210" w:lineRule="auto"/>
      </w:pPr>
      <w:r>
        <w:rPr>
          <w:rFonts w:eastAsia="georgia" w:cs="georgia" w:ascii="georgia" w:hAnsi="georgia"/>
          <w:b/>
          <w:color w:val="000000"/>
          <w:sz w:val="21"/>
        </w:rPr>
        <w:t xml:space="preserve">Anomaly</w:t>
      </w:r>
      <w:r>
        <w:rPr>
          <w:rFonts w:eastAsia="georgia" w:cs="georgia" w:ascii="georgia" w:hAnsi="georgia"/>
          <w:color w:val="000000"/>
          <w:sz w:val="21"/>
        </w:rPr>
        <w:t xml:space="preserve">: Enterprise payer intelligence and denial prediction positioning. Built for larger revenue teams and payer/RCM workflows, not solo therapists asking "Why did this 90837 get denied and what do I do next?".</w:t>
      </w:r>
    </w:p>
    <w:p>
      <w:pPr>
        <w:numPr>
          <w:ilvl w:val="0"/>
          <w:numId w:val="2"/>
        </w:numPr>
        <w:spacing w:line="360" w:after="210" w:lineRule="auto"/>
      </w:pPr>
      <w:r>
        <w:rPr>
          <w:rFonts w:eastAsia="georgia" w:cs="georgia" w:ascii="georgia" w:hAnsi="georgia"/>
          <w:b/>
          <w:color w:val="000000"/>
          <w:sz w:val="21"/>
        </w:rPr>
        <w:t xml:space="preserve">Authsnap</w:t>
      </w:r>
      <w:r>
        <w:rPr>
          <w:rFonts w:eastAsia="georgia" w:cs="georgia" w:ascii="georgia" w:hAnsi="georgia"/>
          <w:color w:val="000000"/>
          <w:sz w:val="21"/>
        </w:rPr>
        <w:t xml:space="preserve">: Clinical appeal automation with human-in-the-loop RN/MD review, aimed at hospitals and clinical nuance-heavy medical claims. Specifically references sepsis diagnoses and Medicare Advantage hurdles.</w:t>
      </w:r>
    </w:p>
    <w:p>
      <w:pPr>
        <w:numPr>
          <w:ilvl w:val="0"/>
          <w:numId w:val="2"/>
        </w:numPr>
        <w:spacing w:line="360" w:after="210" w:lineRule="auto"/>
      </w:pPr>
      <w:r>
        <w:rPr>
          <w:rFonts w:eastAsia="georgia" w:cs="georgia" w:ascii="georgia" w:hAnsi="georgia"/>
          <w:b/>
          <w:color w:val="000000"/>
          <w:sz w:val="21"/>
        </w:rPr>
        <w:t xml:space="preserve">Blueprint</w:t>
      </w:r>
      <w:r>
        <w:rPr>
          <w:rFonts w:eastAsia="georgia" w:cs="georgia" w:ascii="georgia" w:hAnsi="georgia"/>
          <w:color w:val="000000"/>
          <w:sz w:val="21"/>
        </w:rPr>
        <w:t xml:space="preserve">: AI-assisted EHR for therapists with documentation, billing, insurance, scheduling, and AI assistant features. Requires buying into/replacing the EHR workflow.</w:t>
      </w:r>
    </w:p>
    <w:p>
      <w:pPr>
        <w:numPr>
          <w:ilvl w:val="0"/>
          <w:numId w:val="2"/>
        </w:numPr>
        <w:spacing w:line="360" w:after="210" w:lineRule="auto"/>
      </w:pPr>
      <w:r>
        <w:rPr>
          <w:rFonts w:eastAsia="georgia" w:cs="georgia" w:ascii="georgia" w:hAnsi="georgia"/>
          <w:b/>
          <w:color w:val="000000"/>
          <w:sz w:val="21"/>
        </w:rPr>
        <w:t xml:space="preserve">Aegis (YC W25)</w:t>
      </w:r>
      <w:r>
        <w:rPr>
          <w:rFonts w:eastAsia="georgia" w:cs="georgia" w:ascii="georgia" w:hAnsi="georgia"/>
          <w:color w:val="000000"/>
          <w:sz w:val="21"/>
        </w:rPr>
        <w:t xml:space="preserve">: Helps healthcare providers automatically appeal denied insurance claims by plugging into existing systems (EHRs, clearinghouses, payer portals) to detect denials automatically, pull documentation, generate compliant appeals, submit them, and track outcomes.[^15]</w:t>
      </w:r>
    </w:p>
    <w:p>
      <w:pPr>
        <w:spacing w:line="360" w:after="210" w:lineRule="auto"/>
      </w:pPr>
      <w:r>
        <w:rPr>
          <w:rFonts w:eastAsia="georgia" w:cs="georgia" w:ascii="georgia" w:hAnsi="georgia"/>
          <w:color w:val="000000"/>
        </w:rPr>
        <w:t xml:space="preserve">These solutions all optimize for downstream appeals, but behavioral health denials often require upstream fixes:</w:t>
      </w:r>
    </w:p>
    <w:p>
      <w:pPr>
        <w:numPr>
          <w:ilvl w:val="0"/>
          <w:numId w:val="3"/>
        </w:numPr>
        <w:spacing w:line="360" w:after="210" w:lineRule="auto"/>
      </w:pPr>
      <w:r>
        <w:rPr>
          <w:rFonts w:eastAsia="georgia" w:cs="georgia" w:ascii="georgia" w:hAnsi="georgia"/>
          <w:b/>
          <w:color w:val="000000"/>
          <w:sz w:val="21"/>
        </w:rPr>
        <w:t xml:space="preserve">Corrected Claim Issues</w:t>
      </w:r>
      <w:r>
        <w:rPr>
          <w:rFonts w:eastAsia="georgia" w:cs="georgia" w:ascii="georgia" w:hAnsi="georgia"/>
          <w:color w:val="000000"/>
          <w:sz w:val="21"/>
        </w:rPr>
        <w:t xml:space="preserve">: Wrong CPT, modifier, diagnosis, place of service, NPI, taxonomy, rendering/billing provider mismatch. These require resubmission through corrected claim workflows, not appeal letters.</w:t>
      </w:r>
    </w:p>
    <w:p>
      <w:pPr>
        <w:numPr>
          <w:ilvl w:val="0"/>
          <w:numId w:val="3"/>
        </w:numPr>
        <w:spacing w:line="360" w:after="210" w:lineRule="auto"/>
      </w:pPr>
      <w:r>
        <w:rPr>
          <w:rFonts w:eastAsia="georgia" w:cs="georgia" w:ascii="georgia" w:hAnsi="georgia"/>
          <w:b/>
          <w:color w:val="000000"/>
          <w:sz w:val="21"/>
        </w:rPr>
        <w:t xml:space="preserve">Credentialing/Enrollment Problems</w:t>
      </w:r>
      <w:r>
        <w:rPr>
          <w:rFonts w:eastAsia="georgia" w:cs="georgia" w:ascii="georgia" w:hAnsi="georgia"/>
          <w:color w:val="000000"/>
          <w:sz w:val="21"/>
        </w:rPr>
        <w:t xml:space="preserve">: CAQH re-attestation required every 120 days, panel effective dates not matching date of service, location mismatches, group vs. individual NPI contract confusion, taxonomy/specialty mismatches. These create "provider not found" or "provider not eligible" denials that no appeal letter can fix.[^16]</w:t>
      </w:r>
    </w:p>
    <w:p>
      <w:pPr>
        <w:numPr>
          <w:ilvl w:val="0"/>
          <w:numId w:val="3"/>
        </w:numPr>
        <w:spacing w:line="360" w:after="210" w:lineRule="auto"/>
      </w:pPr>
      <w:r>
        <w:rPr>
          <w:rFonts w:eastAsia="georgia" w:cs="georgia" w:ascii="georgia" w:hAnsi="georgia"/>
          <w:b/>
          <w:color w:val="000000"/>
          <w:sz w:val="21"/>
        </w:rPr>
        <w:t xml:space="preserve">Coordination of Benefits (COB) Issues</w:t>
      </w:r>
      <w:r>
        <w:rPr>
          <w:rFonts w:eastAsia="georgia" w:cs="georgia" w:ascii="georgia" w:hAnsi="georgia"/>
          <w:color w:val="000000"/>
          <w:sz w:val="21"/>
        </w:rPr>
        <w:t xml:space="preserve">: Wrong insurance priority, spouse coverage, Medicare coordination. These require payer portal corrections or phone follow-up.</w:t>
      </w:r>
    </w:p>
    <w:p>
      <w:pPr>
        <w:numPr>
          <w:ilvl w:val="0"/>
          <w:numId w:val="3"/>
        </w:numPr>
        <w:spacing w:line="360" w:after="210" w:lineRule="auto"/>
      </w:pPr>
      <w:r>
        <w:rPr>
          <w:rFonts w:eastAsia="georgia" w:cs="georgia" w:ascii="georgia" w:hAnsi="georgia"/>
          <w:b/>
          <w:color w:val="000000"/>
          <w:sz w:val="21"/>
        </w:rPr>
        <w:t xml:space="preserve">Timely Filing vs. True Appeals</w:t>
      </w:r>
      <w:r>
        <w:rPr>
          <w:rFonts w:eastAsia="georgia" w:cs="georgia" w:ascii="georgia" w:hAnsi="georgia"/>
          <w:color w:val="000000"/>
          <w:sz w:val="21"/>
        </w:rPr>
        <w:t xml:space="preserve">: Many "denials" are actually timely filing rejections that need expedited corrected claim submission, not medical necessity appeals.</w:t>
      </w:r>
    </w:p>
    <w:p>
      <w:pPr>
        <w:numPr>
          <w:ilvl w:val="0"/>
          <w:numId w:val="3"/>
        </w:numPr>
        <w:spacing w:line="360" w:after="210" w:lineRule="auto"/>
      </w:pPr>
      <w:r>
        <w:rPr>
          <w:rFonts w:eastAsia="georgia" w:cs="georgia" w:ascii="georgia" w:hAnsi="georgia"/>
          <w:b/>
          <w:color w:val="000000"/>
          <w:sz w:val="21"/>
        </w:rPr>
        <w:t xml:space="preserve">Client Financial Responsibility</w:t>
      </w:r>
      <w:r>
        <w:rPr>
          <w:rFonts w:eastAsia="georgia" w:cs="georgia" w:ascii="georgia" w:hAnsi="georgia"/>
          <w:color w:val="000000"/>
          <w:sz w:val="21"/>
        </w:rPr>
        <w:t xml:space="preserve">: Deductibles, coinsurance, inactive coverage. These require client billing workflows, not appeals.</w:t>
      </w:r>
    </w:p>
    <w:p>
      <w:pPr>
        <w:spacing w:line="360" w:after="210" w:lineRule="auto"/>
      </w:pPr>
      <w:r>
        <w:rPr>
          <w:rFonts w:eastAsia="georgia" w:cs="georgia" w:ascii="georgia" w:hAnsi="georgia"/>
          <w:color w:val="000000"/>
        </w:rPr>
        <w:t xml:space="preserve">The competitive white space exists precisely because therapists do not need more appeal letters. They need decision support: "Is this a corrected claim, a credentialing fix, a payer call, or a true appeal?"</w:t>
      </w:r>
    </w:p>
    <w:p>
      <w:pPr>
        <w:spacing w:line="360" w:before="315" w:after="105" w:lineRule="auto"/>
        <w:ind w:left="-30"/>
        <w:jc w:val="left"/>
      </w:pPr>
      <w:bookmarkStart w:id="8" w:name="the_credentialing_blind_spot"/>
      <w:r>
        <w:rPr>
          <w:rFonts w:eastAsia="georgia" w:cs="georgia" w:ascii="georgia" w:hAnsi="georgia"/>
          <w:b/>
          <w:color w:val="000000"/>
          <w:sz w:val="24"/>
        </w:rPr>
        <w:t xml:space="preserve">The Credentialing Blind Spot</w:t>
      </w:r>
      <w:bookmarkEnd w:id="8"/>
    </w:p>
    <w:p>
      <w:pPr>
        <w:spacing w:line="360" w:after="210" w:lineRule="auto"/>
      </w:pPr>
      <w:r>
        <w:rPr>
          <w:rFonts w:eastAsia="georgia" w:cs="georgia" w:ascii="georgia" w:hAnsi="georgia"/>
          <w:color w:val="000000"/>
        </w:rPr>
        <w:t xml:space="preserve">Insurance credentialing mistakes quietly cost mental health clinicians thousands of dollars through denied claims, delayed reimbursement, and lost network status. Credentialing is treated as a one-time administrative hurdle, but for many therapists, credentialing mistakes cost thousands annually through denied claims, missed effective dates, and loss of network status — often without realizing credentialing was the root cause.[^17]</w:t>
      </w:r>
    </w:p>
    <w:p>
      <w:pPr>
        <w:spacing w:line="360" w:after="210" w:lineRule="auto"/>
      </w:pPr>
      <w:r>
        <w:rPr>
          <w:rFonts w:eastAsia="georgia" w:cs="georgia" w:ascii="georgia" w:hAnsi="georgia"/>
          <w:color w:val="000000"/>
        </w:rPr>
        <w:t xml:space="preserve">CAQH re-attestation is required every 120 days to ensure changes in practice, qualifications, or details are reflected. Failure to re-attest results in "provider not found" or "provider not credentialed" denials that cascade across multiple claims until the issue is detected and corrected — often 30-90 days later. Two-thirds of therapists manually track CAQH deadlines or forget them entirely until a denial arrives.[</w:t>
      </w:r>
      <w:r>
        <w:rPr>
          <w:rFonts w:eastAsia="georgia" w:cs="georgia" w:ascii="georgia" w:hAnsi="georgia"/>
          <w:color w:val="000000"/>
          <w:vertAlign w:val="superscript"/>
        </w:rPr>
        <w:t xml:space="preserve">18][</w:t>
      </w:r>
      <w:r>
        <w:rPr>
          <w:rFonts w:eastAsia="georgia" w:cs="georgia" w:ascii="georgia" w:hAnsi="georgia"/>
          <w:color w:val="000000"/>
        </w:rPr>
        <w:t xml:space="preserve">16][^19]</w:t>
      </w:r>
    </w:p>
    <w:p>
      <w:pPr>
        <w:spacing w:line="360" w:after="210" w:lineRule="auto"/>
      </w:pPr>
      <w:r>
        <w:rPr>
          <w:rFonts w:eastAsia="georgia" w:cs="georgia" w:ascii="georgia" w:hAnsi="georgia"/>
          <w:color w:val="000000"/>
        </w:rPr>
        <w:t xml:space="preserve">Additional credentialing pain points include:</w:t>
      </w:r>
    </w:p>
    <w:p>
      <w:pPr>
        <w:numPr>
          <w:ilvl w:val="0"/>
          <w:numId w:val="4"/>
        </w:numPr>
        <w:spacing w:line="360" w:before="105" w:after="105" w:lineRule="auto"/>
      </w:pPr>
      <w:r>
        <w:rPr>
          <w:rFonts w:eastAsia="georgia" w:cs="georgia" w:ascii="georgia" w:hAnsi="georgia"/>
          <w:b/>
          <w:color w:val="000000"/>
          <w:sz w:val="21"/>
        </w:rPr>
        <w:t xml:space="preserve">License Expiration</w:t>
      </w:r>
      <w:r>
        <w:rPr>
          <w:rFonts w:eastAsia="georgia" w:cs="georgia" w:ascii="georgia" w:hAnsi="georgia"/>
          <w:color w:val="000000"/>
          <w:sz w:val="21"/>
        </w:rPr>
        <w:t xml:space="preserve">: State license renewals that lapse by even days trigger claim denials and payer contract suspensions.</w:t>
      </w:r>
    </w:p>
    <w:p>
      <w:pPr>
        <w:numPr>
          <w:ilvl w:val="0"/>
          <w:numId w:val="4"/>
        </w:numPr>
        <w:spacing w:line="360" w:before="105" w:after="105" w:lineRule="auto"/>
      </w:pPr>
      <w:r>
        <w:rPr>
          <w:rFonts w:eastAsia="georgia" w:cs="georgia" w:ascii="georgia" w:hAnsi="georgia"/>
          <w:b/>
          <w:color w:val="000000"/>
          <w:sz w:val="21"/>
        </w:rPr>
        <w:t xml:space="preserve">Taxonomy Code Mismatches</w:t>
      </w:r>
      <w:r>
        <w:rPr>
          <w:rFonts w:eastAsia="georgia" w:cs="georgia" w:ascii="georgia" w:hAnsi="georgia"/>
          <w:color w:val="000000"/>
          <w:sz w:val="21"/>
        </w:rPr>
        <w:t xml:space="preserve">: NPI-1 individual providers with incorrect taxonomy codes (e.g., general counselor vs. clinical social worker) trigger denials or downcoded reimbursements.</w:t>
      </w:r>
    </w:p>
    <w:p>
      <w:pPr>
        <w:numPr>
          <w:ilvl w:val="0"/>
          <w:numId w:val="4"/>
        </w:numPr>
        <w:spacing w:line="360" w:before="105" w:after="105" w:lineRule="auto"/>
      </w:pPr>
      <w:r>
        <w:rPr>
          <w:rFonts w:eastAsia="georgia" w:cs="georgia" w:ascii="georgia" w:hAnsi="georgia"/>
          <w:b/>
          <w:color w:val="000000"/>
          <w:sz w:val="21"/>
        </w:rPr>
        <w:t xml:space="preserve">Group vs. Individual NPI Confusion</w:t>
      </w:r>
      <w:r>
        <w:rPr>
          <w:rFonts w:eastAsia="georgia" w:cs="georgia" w:ascii="georgia" w:hAnsi="georgia"/>
          <w:color w:val="000000"/>
          <w:sz w:val="21"/>
        </w:rPr>
        <w:t xml:space="preserve">: Billing under group NPI when credentialed as individual, or vice versa, creates systemic denials.</w:t>
      </w:r>
    </w:p>
    <w:p>
      <w:pPr>
        <w:numPr>
          <w:ilvl w:val="0"/>
          <w:numId w:val="4"/>
        </w:numPr>
        <w:spacing w:line="360" w:before="105" w:after="105" w:lineRule="auto"/>
      </w:pPr>
      <w:r>
        <w:rPr>
          <w:rFonts w:eastAsia="georgia" w:cs="georgia" w:ascii="georgia" w:hAnsi="georgia"/>
          <w:b/>
          <w:color w:val="000000"/>
          <w:sz w:val="21"/>
        </w:rPr>
        <w:t xml:space="preserve">Payer Panel Effective Dates</w:t>
      </w:r>
      <w:r>
        <w:rPr>
          <w:rFonts w:eastAsia="georgia" w:cs="georgia" w:ascii="georgia" w:hAnsi="georgia"/>
          <w:color w:val="000000"/>
          <w:sz w:val="21"/>
        </w:rPr>
        <w:t xml:space="preserve">: Credentialing approval dated February 1 but payer system effective date listed as February 15 creates 14 days of retroactively denied claims.</w:t>
      </w:r>
    </w:p>
    <w:p>
      <w:pPr>
        <w:numPr>
          <w:ilvl w:val="0"/>
          <w:numId w:val="4"/>
        </w:numPr>
        <w:spacing w:line="360" w:before="105" w:after="105" w:lineRule="auto"/>
      </w:pPr>
      <w:r>
        <w:rPr>
          <w:rFonts w:eastAsia="georgia" w:cs="georgia" w:ascii="georgia" w:hAnsi="georgia"/>
          <w:b/>
          <w:color w:val="000000"/>
          <w:sz w:val="21"/>
        </w:rPr>
        <w:t xml:space="preserve">Location Mismatches</w:t>
      </w:r>
      <w:r>
        <w:rPr>
          <w:rFonts w:eastAsia="georgia" w:cs="georgia" w:ascii="georgia" w:hAnsi="georgia"/>
          <w:color w:val="000000"/>
          <w:sz w:val="21"/>
        </w:rPr>
        <w:t xml:space="preserve">: Adding a new office location to EHR but not updating payer contracts triggers POS denials.</w:t>
      </w:r>
    </w:p>
    <w:p>
      <w:pPr>
        <w:spacing w:line="360" w:after="210" w:lineRule="auto"/>
      </w:pPr>
      <w:r>
        <w:rPr>
          <w:rFonts w:eastAsia="georgia" w:cs="georgia" w:ascii="georgia" w:hAnsi="georgia"/>
          <w:color w:val="000000"/>
        </w:rPr>
        <w:t xml:space="preserve">CAQH collects comprehensive provider data including personal details, educational history, work history, licenses and certifications, professional liability insurance, practice locations, hospital affiliations, board certifications, disciplinary actions, and peer references. This information is used by major payers including Aetna, Blue Cross Blue Shield, Cigna, Humana, and UnitedHealthcare for credentialing.[^16]</w:t>
      </w:r>
    </w:p>
    <w:p>
      <w:pPr>
        <w:spacing w:line="360" w:after="210" w:lineRule="auto"/>
      </w:pPr>
      <w:r>
        <w:rPr>
          <w:rFonts w:eastAsia="georgia" w:cs="georgia" w:ascii="georgia" w:hAnsi="georgia"/>
          <w:color w:val="000000"/>
        </w:rPr>
        <w:t xml:space="preserve">No existing competitor clearly owns credentialing health as a revenue protection feature. This represents ClaimCompass's biggest moat opportunity: a Credentialing Health Monitor that surfaces NPI/taxonomy mismatches, license expiration (60-day warning), CAQH re-attestation countdowns (flag at 100 days since last attest), OIG LEIE and </w:t>
      </w:r>
      <w:hyperlink r:id="rId5">
        <w:r>
          <w:rPr>
            <w:rFonts w:eastAsia="helvetica neue" w:cs="helvetica neue" w:ascii="helvetica neue" w:hAnsi="helvetica neue"/>
            <w:color w:val="#000"/>
            <w:u w:val="single"/>
          </w:rPr>
          <w:t xml:space="preserve">SAM.gov</w:t>
        </w:r>
      </w:hyperlink>
      <w:r>
        <w:rPr>
          <w:rFonts w:eastAsia="georgia" w:cs="georgia" w:ascii="georgia" w:hAnsi="georgia"/>
          <w:color w:val="000000"/>
        </w:rPr>
        <w:t xml:space="preserve"> sanctions sweeps, and Medicare Opt-Out status — all positioned as "risk signals from public datasets" with clear disclaimers that this is not payer enrollment verification.</w:t>
      </w:r>
    </w:p>
    <w:p>
      <w:pPr>
        <w:spacing w:line="360" w:before="315" w:after="105" w:lineRule="auto"/>
        <w:ind w:left="-30"/>
        <w:jc w:val="left"/>
      </w:pPr>
      <w:bookmarkStart w:id="9" w:name="the_ehr_lock_in_problem"/>
      <w:r>
        <w:rPr>
          <w:rFonts w:eastAsia="georgia" w:cs="georgia" w:ascii="georgia" w:hAnsi="georgia"/>
          <w:b/>
          <w:color w:val="000000"/>
          <w:sz w:val="24"/>
        </w:rPr>
        <w:t xml:space="preserve">The EHR Lock-In Problem</w:t>
      </w:r>
      <w:bookmarkEnd w:id="9"/>
    </w:p>
    <w:p>
      <w:pPr>
        <w:spacing w:line="360" w:after="210" w:lineRule="auto"/>
      </w:pPr>
      <w:r>
        <w:rPr>
          <w:rFonts w:eastAsia="georgia" w:cs="georgia" w:ascii="georgia" w:hAnsi="georgia"/>
          <w:color w:val="000000"/>
        </w:rPr>
        <w:t xml:space="preserve">SimplePractice dominates the behavioral health EHR market with approximately 77% of transactions and users, while TherapyNotes holds 14%. Together, they account for over 90% of the small-practice behavioral health EHR market. Jane App is starting to break into the US market, while everyone else represents a long tail of niche platforms serving small market pockets.[^6]</w:t>
      </w:r>
    </w:p>
    <w:p>
      <w:pPr>
        <w:spacing w:line="360" w:after="210" w:lineRule="auto"/>
      </w:pPr>
      <w:r>
        <w:rPr>
          <w:rFonts w:eastAsia="georgia" w:cs="georgia" w:ascii="georgia" w:hAnsi="georgia"/>
          <w:color w:val="000000"/>
        </w:rPr>
        <w:t xml:space="preserve">TherapyNotes, founded in 2010 by a psychologist, takes a structured, template-driven approach to clinical documentation and treats insurance billing as a first-class feature. SimplePractice, launched in 2012, prioritized beautiful design and seamless client experience, building clinical tools around a consumer-grade interface. Both platforms are deeply integrated into therapist workflows for scheduling, documentation, billing, telehealth, and client communication.[</w:t>
      </w:r>
      <w:r>
        <w:rPr>
          <w:rFonts w:eastAsia="georgia" w:cs="georgia" w:ascii="georgia" w:hAnsi="georgia"/>
          <w:color w:val="000000"/>
          <w:vertAlign w:val="superscript"/>
        </w:rPr>
        <w:t xml:space="preserve">20][</w:t>
      </w:r>
      <w:r>
        <w:rPr>
          <w:rFonts w:eastAsia="georgia" w:cs="georgia" w:ascii="georgia" w:hAnsi="georgia"/>
          <w:color w:val="000000"/>
        </w:rPr>
        <w:t xml:space="preserve">21][</w:t>
      </w:r>
      <w:r>
        <w:rPr>
          <w:rFonts w:eastAsia="georgia" w:cs="georgia" w:ascii="georgia" w:hAnsi="georgia"/>
          <w:color w:val="000000"/>
          <w:vertAlign w:val="superscript"/>
        </w:rPr>
        <w:t xml:space="preserve">22][</w:t>
      </w:r>
      <w:r>
        <w:rPr>
          <w:rFonts w:eastAsia="georgia" w:cs="georgia" w:ascii="georgia" w:hAnsi="georgia"/>
          <w:color w:val="000000"/>
        </w:rPr>
        <w:t xml:space="preserve">23]</w:t>
      </w:r>
    </w:p>
    <w:p>
      <w:pPr>
        <w:spacing w:line="360" w:after="210" w:lineRule="auto"/>
      </w:pPr>
      <w:r>
        <w:rPr>
          <w:rFonts w:eastAsia="georgia" w:cs="georgia" w:ascii="georgia" w:hAnsi="georgia"/>
          <w:color w:val="000000"/>
        </w:rPr>
        <w:t xml:space="preserve">Therapists invested in these platforms face high switching costs: migrating historical client records, retraining staff, updating client-facing portals, and rebuilding documentation templates. Blueprint's EHR-replacement strategy requires this full migration, creating a significant adoption barrier. In contrast, ClaimCompass's EHR-agnostic positioning — "Works with your current EHR. Upload an EOB, denial, ERA, claim screenshot, or aging report and get the next step" — sidesteps this friction entirely.</w:t>
      </w:r>
    </w:p>
    <w:p>
      <w:pPr>
        <w:spacing w:line="360" w:after="210" w:lineRule="auto"/>
      </w:pPr>
      <w:r>
        <w:rPr>
          <w:rFonts w:eastAsia="georgia" w:cs="georgia" w:ascii="georgia" w:hAnsi="georgia"/>
          <w:color w:val="000000"/>
        </w:rPr>
        <w:t xml:space="preserve">The technical architecture supports this positioning: no EHR integration in MVP, with uploads via PDF/paste, email-forward ingestion in V1, and optional EHR API exploratory work in V2. This allows immediate value delivery without multi-month integration sprints or vendor partnership negotiations.</w:t>
      </w:r>
    </w:p>
    <w:p>
      <w:pPr>
        <w:spacing w:line="360" w:before="315" w:after="105" w:lineRule="auto"/>
        <w:ind w:left="-30"/>
        <w:jc w:val="left"/>
      </w:pPr>
      <w:bookmarkStart w:id="10" w:name="clearinghouse_economics_and_rcm_c_e0945a"/>
      <w:r>
        <w:rPr>
          <w:rFonts w:eastAsia="georgia" w:cs="georgia" w:ascii="georgia" w:hAnsi="georgia"/>
          <w:b/>
          <w:color w:val="000000"/>
          <w:sz w:val="24"/>
        </w:rPr>
        <w:t xml:space="preserve">Clearinghouse Economics and RCM Cost Structure</w:t>
      </w:r>
      <w:bookmarkEnd w:id="10"/>
    </w:p>
    <w:p>
      <w:pPr>
        <w:spacing w:line="360" w:after="210" w:lineRule="auto"/>
      </w:pPr>
      <w:r>
        <w:rPr>
          <w:rFonts w:eastAsia="georgia" w:cs="georgia" w:ascii="georgia" w:hAnsi="georgia"/>
          <w:color w:val="000000"/>
        </w:rPr>
        <w:t xml:space="preserve">Therapists billing insurance typically route claims through clearinghouses, which charge per transaction. Clearinghouse pricing ranges from $0.10 to $0.35 per claim submission, with additional charges for eligibility verification ($0.15), claim status checks ($0.15), and ERA retrieval ($0.15). Some clearinghouses charge monthly minimums (e.g., $25-$50/month for first 50-75 transactions).[</w:t>
      </w:r>
      <w:r>
        <w:rPr>
          <w:rFonts w:eastAsia="georgia" w:cs="georgia" w:ascii="georgia" w:hAnsi="georgia"/>
          <w:color w:val="000000"/>
          <w:vertAlign w:val="superscript"/>
        </w:rPr>
        <w:t xml:space="preserve">24][</w:t>
      </w:r>
      <w:r>
        <w:rPr>
          <w:rFonts w:eastAsia="georgia" w:cs="georgia" w:ascii="georgia" w:hAnsi="georgia"/>
          <w:color w:val="000000"/>
        </w:rPr>
        <w:t xml:space="preserve">25][^26]</w:t>
      </w:r>
    </w:p>
    <w:p>
      <w:pPr>
        <w:spacing w:line="360" w:after="210" w:lineRule="auto"/>
      </w:pPr>
      <w:r>
        <w:rPr>
          <w:rFonts w:eastAsia="georgia" w:cs="georgia" w:ascii="georgia" w:hAnsi="georgia"/>
          <w:color w:val="000000"/>
        </w:rPr>
        <w:t xml:space="preserve">Full EDI transaction loops become expensive at scale. Stedi's pricing model shows:</w:t>
      </w:r>
    </w:p>
    <w:p>
      <w:pPr>
        <w:numPr>
          <w:ilvl w:val="0"/>
          <w:numId w:val="5"/>
        </w:numPr>
        <w:spacing w:line="360" w:before="105" w:after="105" w:lineRule="auto"/>
      </w:pPr>
      <w:r>
        <w:rPr>
          <w:rFonts w:eastAsia="georgia" w:cs="georgia" w:ascii="georgia" w:hAnsi="georgia"/>
          <w:color w:val="000000"/>
          <w:sz w:val="21"/>
        </w:rPr>
        <w:t xml:space="preserve">270/271 eligibility checks: $0.15 per check</w:t>
      </w:r>
    </w:p>
    <w:p>
      <w:pPr>
        <w:numPr>
          <w:ilvl w:val="0"/>
          <w:numId w:val="5"/>
        </w:numPr>
        <w:spacing w:line="360" w:before="105" w:after="105" w:lineRule="auto"/>
      </w:pPr>
      <w:r>
        <w:rPr>
          <w:rFonts w:eastAsia="georgia" w:cs="georgia" w:ascii="georgia" w:hAnsi="georgia"/>
          <w:color w:val="000000"/>
          <w:sz w:val="21"/>
        </w:rPr>
        <w:t xml:space="preserve">276/277 claim status: $0.15 per check</w:t>
      </w:r>
    </w:p>
    <w:p>
      <w:pPr>
        <w:numPr>
          <w:ilvl w:val="0"/>
          <w:numId w:val="5"/>
        </w:numPr>
        <w:spacing w:line="360" w:before="105" w:after="105" w:lineRule="auto"/>
      </w:pPr>
      <w:r>
        <w:rPr>
          <w:rFonts w:eastAsia="georgia" w:cs="georgia" w:ascii="georgia" w:hAnsi="georgia"/>
          <w:color w:val="000000"/>
          <w:sz w:val="21"/>
        </w:rPr>
        <w:t xml:space="preserve">837P claim submission: $0.20 per claim</w:t>
      </w:r>
    </w:p>
    <w:p>
      <w:pPr>
        <w:numPr>
          <w:ilvl w:val="0"/>
          <w:numId w:val="5"/>
        </w:numPr>
        <w:spacing w:line="360" w:before="105" w:after="105" w:lineRule="auto"/>
      </w:pPr>
      <w:r>
        <w:rPr>
          <w:rFonts w:eastAsia="georgia" w:cs="georgia" w:ascii="georgia" w:hAnsi="georgia"/>
          <w:color w:val="000000"/>
          <w:sz w:val="21"/>
        </w:rPr>
        <w:t xml:space="preserve">835 ERA: $0.15 per remittance</w:t>
      </w:r>
    </w:p>
    <w:p>
      <w:pPr>
        <w:numPr>
          <w:ilvl w:val="0"/>
          <w:numId w:val="5"/>
        </w:numPr>
        <w:spacing w:line="360" w:before="105" w:after="105" w:lineRule="auto"/>
      </w:pPr>
      <w:r>
        <w:rPr>
          <w:rFonts w:eastAsia="georgia" w:cs="georgia" w:ascii="georgia" w:hAnsi="georgia"/>
          <w:color w:val="000000"/>
          <w:sz w:val="21"/>
        </w:rPr>
        <w:t xml:space="preserve">275 claim attachments: $0.75 per attachment</w:t>
      </w:r>
    </w:p>
    <w:p>
      <w:pPr>
        <w:spacing w:line="360" w:after="210" w:lineRule="auto"/>
      </w:pPr>
      <w:r>
        <w:rPr>
          <w:rFonts w:eastAsia="georgia" w:cs="georgia" w:ascii="georgia" w:hAnsi="georgia"/>
          <w:color w:val="000000"/>
        </w:rPr>
        <w:t xml:space="preserve">At 5,000 claims per month with full claim loop, Stedi alone costs $3,000-$4,100/month. This is why ClaimCompass's MVP explicitly excludes EDI integration and prices Stedi as a separate V1 add-on or higher tier — bundling unlimited EDI into a $79/month plan would destroy unit economics.</w:t>
      </w:r>
    </w:p>
    <w:p>
      <w:pPr>
        <w:spacing w:line="360" w:after="210" w:lineRule="auto"/>
      </w:pPr>
      <w:r>
        <w:rPr>
          <w:rFonts w:eastAsia="georgia" w:cs="georgia" w:ascii="georgia" w:hAnsi="georgia"/>
          <w:color w:val="000000"/>
        </w:rPr>
        <w:t xml:space="preserve">For solo therapists, the cost structure creates a bind: self-managed billing saves money upfront but leads to 82% collection rates and $35,000+ annual revenue leakage. Outsourced billing services charge 5-8% of collections, equivalent to $8,000-$12,000 annually on $150,000 in collections. Enterprise RCM software like AppealGenius at $1,000/month ($12,000/year) is prohibitive for solo practices. ClaimCompass at $79-$149/month ($948-$1,788/year) fits between self-managed billing's revenue leakage and enterprise RCM's cost burden.[^4]</w:t>
      </w:r>
    </w:p>
    <w:p>
      <w:pPr>
        <w:spacing w:line="360" w:before="315" w:after="105" w:lineRule="auto"/>
        <w:ind w:left="-30"/>
        <w:jc w:val="left"/>
      </w:pPr>
      <w:bookmarkStart w:id="11" w:name="headway_alma_the_too_good_to_be_t_a4e731"/>
      <w:r>
        <w:rPr>
          <w:rFonts w:eastAsia="georgia" w:cs="georgia" w:ascii="georgia" w:hAnsi="georgia"/>
          <w:b/>
          <w:color w:val="000000"/>
          <w:sz w:val="24"/>
        </w:rPr>
        <w:t xml:space="preserve">Headway/Alma: The "Too Good to Be True" Trap</w:t>
      </w:r>
      <w:bookmarkEnd w:id="11"/>
    </w:p>
    <w:p>
      <w:pPr>
        <w:spacing w:line="360" w:after="210" w:lineRule="auto"/>
      </w:pPr>
      <w:r>
        <w:rPr>
          <w:rFonts w:eastAsia="georgia" w:cs="georgia" w:ascii="georgia" w:hAnsi="georgia"/>
          <w:color w:val="000000"/>
        </w:rPr>
        <w:t xml:space="preserve">Platforms like Headway and Alma offer turnkey insurance credentialing and billing for therapists, promising higher reimbursement rates and administrative relief. However, user complaints reveal operational risks that create exit opportunities for ClaimCompass:</w:t>
      </w:r>
    </w:p>
    <w:p>
      <w:pPr>
        <w:numPr>
          <w:ilvl w:val="0"/>
          <w:numId w:val="6"/>
        </w:numPr>
        <w:spacing w:line="360" w:after="210" w:lineRule="auto"/>
      </w:pPr>
      <w:r>
        <w:rPr>
          <w:rFonts w:eastAsia="georgia" w:cs="georgia" w:ascii="georgia" w:hAnsi="georgia"/>
          <w:b/>
          <w:color w:val="000000"/>
          <w:sz w:val="21"/>
        </w:rPr>
        <w:t xml:space="preserve">Billing Errors</w:t>
      </w:r>
      <w:r>
        <w:rPr>
          <w:rFonts w:eastAsia="georgia" w:cs="georgia" w:ascii="georgia" w:hAnsi="georgia"/>
          <w:color w:val="000000"/>
          <w:sz w:val="21"/>
        </w:rPr>
        <w:t xml:space="preserve">: Headway and Alma frequently charge incorrect amounts, submit claims in batches months later (violating timely filing windows), and struggle to verify insurance eligibility accurately.[</w:t>
      </w:r>
      <w:r>
        <w:rPr>
          <w:rFonts w:eastAsia="georgia" w:cs="georgia" w:ascii="georgia" w:hAnsi="georgia"/>
          <w:color w:val="000000"/>
          <w:sz w:val="21"/>
          <w:vertAlign w:val="superscript"/>
        </w:rPr>
        <w:t xml:space="preserve">27][</w:t>
      </w:r>
      <w:r>
        <w:rPr>
          <w:rFonts w:eastAsia="georgia" w:cs="georgia" w:ascii="georgia" w:hAnsi="georgia"/>
          <w:color w:val="000000"/>
          <w:sz w:val="21"/>
        </w:rPr>
        <w:t xml:space="preserve">28][</w:t>
      </w:r>
      <w:r>
        <w:rPr>
          <w:rFonts w:eastAsia="georgia" w:cs="georgia" w:ascii="georgia" w:hAnsi="georgia"/>
          <w:color w:val="000000"/>
          <w:sz w:val="21"/>
          <w:vertAlign w:val="superscript"/>
        </w:rPr>
        <w:t xml:space="preserve">29][</w:t>
      </w:r>
      <w:r>
        <w:rPr>
          <w:rFonts w:eastAsia="georgia" w:cs="georgia" w:ascii="georgia" w:hAnsi="georgia"/>
          <w:color w:val="000000"/>
          <w:sz w:val="21"/>
        </w:rPr>
        <w:t xml:space="preserve">30]</w:t>
      </w:r>
    </w:p>
    <w:p>
      <w:pPr>
        <w:numPr>
          <w:ilvl w:val="0"/>
          <w:numId w:val="6"/>
        </w:numPr>
        <w:spacing w:line="360" w:after="210" w:lineRule="auto"/>
      </w:pPr>
      <w:r>
        <w:rPr>
          <w:rFonts w:eastAsia="georgia" w:cs="georgia" w:ascii="georgia" w:hAnsi="georgia"/>
          <w:b/>
          <w:color w:val="000000"/>
          <w:sz w:val="21"/>
        </w:rPr>
        <w:t xml:space="preserve">Client Billing Issues</w:t>
      </w:r>
      <w:r>
        <w:rPr>
          <w:rFonts w:eastAsia="georgia" w:cs="georgia" w:ascii="georgia" w:hAnsi="georgia"/>
          <w:color w:val="000000"/>
          <w:sz w:val="21"/>
        </w:rPr>
        <w:t xml:space="preserve">: Patients report being charged for past sessions without claims being filed, inconsistent co-pay amounts despite full coverage verification, and difficulty reaching human support to resolve errors.[</w:t>
      </w:r>
      <w:r>
        <w:rPr>
          <w:rFonts w:eastAsia="georgia" w:cs="georgia" w:ascii="georgia" w:hAnsi="georgia"/>
          <w:color w:val="000000"/>
          <w:sz w:val="21"/>
          <w:vertAlign w:val="superscript"/>
        </w:rPr>
        <w:t xml:space="preserve">28][</w:t>
      </w:r>
      <w:r>
        <w:rPr>
          <w:rFonts w:eastAsia="georgia" w:cs="georgia" w:ascii="georgia" w:hAnsi="georgia"/>
          <w:color w:val="000000"/>
          <w:sz w:val="21"/>
        </w:rPr>
        <w:t xml:space="preserve">27]</w:t>
      </w:r>
    </w:p>
    <w:p>
      <w:pPr>
        <w:numPr>
          <w:ilvl w:val="0"/>
          <w:numId w:val="6"/>
        </w:numPr>
        <w:spacing w:line="360" w:after="210" w:lineRule="auto"/>
      </w:pPr>
      <w:r>
        <w:rPr>
          <w:rFonts w:eastAsia="georgia" w:cs="georgia" w:ascii="georgia" w:hAnsi="georgia"/>
          <w:b/>
          <w:color w:val="000000"/>
          <w:sz w:val="21"/>
        </w:rPr>
        <w:t xml:space="preserve">Therapist Frustration</w:t>
      </w:r>
      <w:r>
        <w:rPr>
          <w:rFonts w:eastAsia="georgia" w:cs="georgia" w:ascii="georgia" w:hAnsi="georgia"/>
          <w:color w:val="000000"/>
          <w:sz w:val="21"/>
        </w:rPr>
        <w:t xml:space="preserve">: Therapists using these platforms report losing clients due to billing mistakes beyond their control, finding it nearly impossible to contact support (email-only, no phone), and facing revenue delays when platform errors require manual correction.[^27]</w:t>
      </w:r>
    </w:p>
    <w:p>
      <w:pPr>
        <w:numPr>
          <w:ilvl w:val="0"/>
          <w:numId w:val="6"/>
        </w:numPr>
        <w:spacing w:line="360" w:after="210" w:lineRule="auto"/>
      </w:pPr>
      <w:r>
        <w:rPr>
          <w:rFonts w:eastAsia="georgia" w:cs="georgia" w:ascii="georgia" w:hAnsi="georgia"/>
          <w:b/>
          <w:color w:val="000000"/>
          <w:sz w:val="21"/>
        </w:rPr>
        <w:t xml:space="preserve">BBB Complaints</w:t>
      </w:r>
      <w:r>
        <w:rPr>
          <w:rFonts w:eastAsia="georgia" w:cs="georgia" w:ascii="georgia" w:hAnsi="georgia"/>
          <w:color w:val="000000"/>
          <w:sz w:val="21"/>
        </w:rPr>
        <w:t xml:space="preserve">: Headway has 329 total complaints over 3 years, with 145 closed in the last 12 months. Common themes include incorrect credentialing dates creating systemic denials, generic copy-paste responses instead of case-specific investigation, and unresolved disputes over patient financial responsibility.[</w:t>
      </w:r>
      <w:r>
        <w:rPr>
          <w:rFonts w:eastAsia="georgia" w:cs="georgia" w:ascii="georgia" w:hAnsi="georgia"/>
          <w:color w:val="000000"/>
          <w:sz w:val="21"/>
          <w:vertAlign w:val="superscript"/>
        </w:rPr>
        <w:t xml:space="preserve">29][</w:t>
      </w:r>
      <w:r>
        <w:rPr>
          <w:rFonts w:eastAsia="georgia" w:cs="georgia" w:ascii="georgia" w:hAnsi="georgia"/>
          <w:color w:val="000000"/>
          <w:sz w:val="21"/>
        </w:rPr>
        <w:t xml:space="preserve">30][^28]</w:t>
      </w:r>
    </w:p>
    <w:p>
      <w:pPr>
        <w:spacing w:line="360" w:after="210" w:lineRule="auto"/>
      </w:pPr>
      <w:r>
        <w:rPr>
          <w:rFonts w:eastAsia="georgia" w:cs="georgia" w:ascii="georgia" w:hAnsi="georgia"/>
          <w:color w:val="000000"/>
        </w:rPr>
        <w:t xml:space="preserve">These platforms extract 4-8% of session revenue (Headway claims $4 per session, though therapists dispute this as understated). For therapists earning $195,000 gross, this represents $7,800-$15,600 annually. More critically, when therapists exit Headway/Alma due to billing errors or client dissatisfaction, they re-enter the market needing insurance billing infrastructure — precisely where ClaimCompass provides value without requiring EHR replacement or credentialing restart.[^27]</w:t>
      </w:r>
    </w:p>
    <w:p>
      <w:pPr>
        <w:spacing w:line="360" w:before="315" w:after="105" w:lineRule="auto"/>
        <w:ind w:left="-30"/>
        <w:jc w:val="left"/>
      </w:pPr>
      <w:bookmarkStart w:id="12" w:name="differentiation_strategy"/>
      <w:r>
        <w:rPr>
          <w:rFonts w:eastAsia="georgia" w:cs="georgia" w:ascii="georgia" w:hAnsi="georgia"/>
          <w:b/>
          <w:color w:val="000000"/>
          <w:sz w:val="24"/>
        </w:rPr>
        <w:t xml:space="preserve">Differentiation Strategy</w:t>
      </w:r>
      <w:bookmarkEnd w:id="12"/>
    </w:p>
    <w:p>
      <w:pPr>
        <w:spacing w:line="360" w:before="315" w:after="105" w:lineRule="auto"/>
        <w:ind w:left="-30"/>
        <w:jc w:val="left"/>
      </w:pPr>
      <w:bookmarkStart w:id="13" w:name="core_positioning_therapist_revenu_961dcb"/>
      <w:r>
        <w:rPr>
          <w:rFonts w:eastAsia="georgia" w:cs="georgia" w:ascii="georgia" w:hAnsi="georgia"/>
          <w:b/>
          <w:color w:val="000000"/>
          <w:sz w:val="24"/>
        </w:rPr>
        <w:t xml:space="preserve">Core Positioning: Therapist Revenue Guardrail vs. Appeal Generator</w:t>
      </w:r>
      <w:bookmarkEnd w:id="13"/>
    </w:p>
    <w:p>
      <w:pPr>
        <w:spacing w:line="360" w:after="210" w:lineRule="auto"/>
      </w:pPr>
      <w:r>
        <w:rPr>
          <w:rFonts w:eastAsia="georgia" w:cs="georgia" w:ascii="georgia" w:hAnsi="georgia"/>
          <w:color w:val="000000"/>
        </w:rPr>
        <w:t xml:space="preserve">ClaimCompass's strategic differentiation is not "AI appeals for behavioral health" but "The first denial triage and credentialing-health copilot built for independent therapists". This positioning creates distance from all four primary competitors by owning a different job to be done.</w:t>
      </w:r>
    </w:p>
    <w:p>
      <w:pPr>
        <w:spacing w:line="360" w:after="210" w:lineRule="auto"/>
      </w:pPr>
      <w:r>
        <w:rPr>
          <w:rFonts w:eastAsia="georgia" w:cs="georgia" w:ascii="georgia" w:hAnsi="georgia"/>
          <w:color w:val="000000"/>
        </w:rPr>
        <w:t xml:space="preserve">The product's first job is not "write an appeal." It is: "Tell me what this denial actually is, what bucket it belongs in, and the fastest path to getting paid". Core denial buckets include:</w:t>
      </w:r>
    </w:p>
    <w:p>
      <w:pPr>
        <w:numPr>
          <w:ilvl w:val="0"/>
          <w:numId w:val="7"/>
        </w:numPr>
        <w:spacing w:line="360" w:after="210" w:lineRule="auto"/>
      </w:pPr>
      <w:r>
        <w:rPr>
          <w:rFonts w:eastAsia="georgia" w:cs="georgia" w:ascii="georgia" w:hAnsi="georgia"/>
          <w:b/>
          <w:color w:val="000000"/>
          <w:sz w:val="21"/>
        </w:rPr>
        <w:t xml:space="preserve">Fix and Resubmit</w:t>
      </w:r>
      <w:r>
        <w:rPr>
          <w:rFonts w:eastAsia="georgia" w:cs="georgia" w:ascii="georgia" w:hAnsi="georgia"/>
          <w:color w:val="000000"/>
          <w:sz w:val="21"/>
        </w:rPr>
        <w:t xml:space="preserve">: Wrong CPT, modifier, diagnosis, place of service, NPI, taxonomy, payer ID, rendering/billing provider mismatch. Requires corrected claim, not appeal.</w:t>
      </w:r>
    </w:p>
    <w:p>
      <w:pPr>
        <w:numPr>
          <w:ilvl w:val="0"/>
          <w:numId w:val="7"/>
        </w:numPr>
        <w:spacing w:line="360" w:after="210" w:lineRule="auto"/>
      </w:pPr>
      <w:r>
        <w:rPr>
          <w:rFonts w:eastAsia="georgia" w:cs="georgia" w:ascii="georgia" w:hAnsi="georgia"/>
          <w:b/>
          <w:color w:val="000000"/>
          <w:sz w:val="21"/>
        </w:rPr>
        <w:t xml:space="preserve">Payer Follow-Up Required</w:t>
      </w:r>
      <w:r>
        <w:rPr>
          <w:rFonts w:eastAsia="georgia" w:cs="georgia" w:ascii="georgia" w:hAnsi="georgia"/>
          <w:color w:val="000000"/>
          <w:sz w:val="21"/>
        </w:rPr>
        <w:t xml:space="preserve">: Claim stuck, pending, COB issue, provider not found, enrollment mismatch. Requires payer portal login or phone call with specific reference numbers and questions.</w:t>
      </w:r>
    </w:p>
    <w:p>
      <w:pPr>
        <w:numPr>
          <w:ilvl w:val="0"/>
          <w:numId w:val="7"/>
        </w:numPr>
        <w:spacing w:line="360" w:after="210" w:lineRule="auto"/>
      </w:pPr>
      <w:r>
        <w:rPr>
          <w:rFonts w:eastAsia="georgia" w:cs="georgia" w:ascii="georgia" w:hAnsi="georgia"/>
          <w:b/>
          <w:color w:val="000000"/>
          <w:sz w:val="21"/>
        </w:rPr>
        <w:t xml:space="preserve">Credentialing/Enrollment Issue</w:t>
      </w:r>
      <w:r>
        <w:rPr>
          <w:rFonts w:eastAsia="georgia" w:cs="georgia" w:ascii="georgia" w:hAnsi="georgia"/>
          <w:color w:val="000000"/>
          <w:sz w:val="21"/>
        </w:rPr>
        <w:t xml:space="preserve">: CAQH re-attestation overdue, panel effective date mismatch, location not credentialed, tax ID mismatch, specialty/taxonomy discrepancy, individual vs group contract confusion. Requires CAQH update or payer enrollment correction.</w:t>
      </w:r>
    </w:p>
    <w:p>
      <w:pPr>
        <w:numPr>
          <w:ilvl w:val="0"/>
          <w:numId w:val="7"/>
        </w:numPr>
        <w:spacing w:line="360" w:after="210" w:lineRule="auto"/>
      </w:pPr>
      <w:r>
        <w:rPr>
          <w:rFonts w:eastAsia="georgia" w:cs="georgia" w:ascii="georgia" w:hAnsi="georgia"/>
          <w:b/>
          <w:color w:val="000000"/>
          <w:sz w:val="21"/>
        </w:rPr>
        <w:t xml:space="preserve">True Appeal Needed</w:t>
      </w:r>
      <w:r>
        <w:rPr>
          <w:rFonts w:eastAsia="georgia" w:cs="georgia" w:ascii="georgia" w:hAnsi="georgia"/>
          <w:color w:val="000000"/>
          <w:sz w:val="21"/>
        </w:rPr>
        <w:t xml:space="preserve">: Medical necessity dispute, timely filing exception request, authorization dispute, retroactive eligibility issue. This is where appeal letter generation adds value.</w:t>
      </w:r>
    </w:p>
    <w:p>
      <w:pPr>
        <w:numPr>
          <w:ilvl w:val="0"/>
          <w:numId w:val="7"/>
        </w:numPr>
        <w:spacing w:line="360" w:after="210" w:lineRule="auto"/>
      </w:pPr>
      <w:r>
        <w:rPr>
          <w:rFonts w:eastAsia="georgia" w:cs="georgia" w:ascii="georgia" w:hAnsi="georgia"/>
          <w:b/>
          <w:color w:val="000000"/>
          <w:sz w:val="21"/>
        </w:rPr>
        <w:t xml:space="preserve">Client Financial Workflow</w:t>
      </w:r>
      <w:r>
        <w:rPr>
          <w:rFonts w:eastAsia="georgia" w:cs="georgia" w:ascii="georgia" w:hAnsi="georgia"/>
          <w:color w:val="000000"/>
          <w:sz w:val="21"/>
        </w:rPr>
        <w:t xml:space="preserve">: Deductible, coinsurance, inactive coverage, wrong insurance listed, coordination of benefits. Requires client billing communication or insurance verification.</w:t>
      </w:r>
    </w:p>
    <w:p>
      <w:pPr>
        <w:numPr>
          <w:ilvl w:val="0"/>
          <w:numId w:val="7"/>
        </w:numPr>
        <w:spacing w:line="360" w:after="210" w:lineRule="auto"/>
      </w:pPr>
      <w:r>
        <w:rPr>
          <w:rFonts w:eastAsia="georgia" w:cs="georgia" w:ascii="georgia" w:hAnsi="georgia"/>
          <w:b/>
          <w:color w:val="000000"/>
          <w:sz w:val="21"/>
        </w:rPr>
        <w:t xml:space="preserve">Write-Off Review</w:t>
      </w:r>
      <w:r>
        <w:rPr>
          <w:rFonts w:eastAsia="georgia" w:cs="georgia" w:ascii="georgia" w:hAnsi="georgia"/>
          <w:color w:val="000000"/>
          <w:sz w:val="21"/>
        </w:rPr>
        <w:t xml:space="preserve">: Claim value too low to pursue, timely filing window closed, pattern suggests systematic payer issue requiring contract renegotiation.</w:t>
      </w:r>
    </w:p>
    <w:p>
      <w:pPr>
        <w:spacing w:line="360" w:after="210" w:lineRule="auto"/>
      </w:pPr>
      <w:r>
        <w:rPr>
          <w:rFonts w:eastAsia="georgia" w:cs="georgia" w:ascii="georgia" w:hAnsi="georgia"/>
          <w:color w:val="000000"/>
        </w:rPr>
        <w:t xml:space="preserve">This six-bucket triage model — implemented as LLM-powered classification with confidence scores — is the differentiation core. It transforms ClaimCompass from a feature (appeal letter generator) into a platform (insurance ops decision layer).</w:t>
      </w:r>
    </w:p>
    <w:p>
      <w:pPr>
        <w:spacing w:line="360" w:before="315" w:after="105" w:lineRule="auto"/>
        <w:ind w:left="-30"/>
        <w:jc w:val="left"/>
      </w:pPr>
      <w:bookmarkStart w:id="14" w:name="behavioral_health_specific_payer_5520ba"/>
      <w:r>
        <w:rPr>
          <w:rFonts w:eastAsia="georgia" w:cs="georgia" w:ascii="georgia" w:hAnsi="georgia"/>
          <w:b/>
          <w:color w:val="000000"/>
          <w:sz w:val="24"/>
        </w:rPr>
        <w:t xml:space="preserve">Behavioral-Health-Specific Payer Playbooks</w:t>
      </w:r>
      <w:bookmarkEnd w:id="14"/>
    </w:p>
    <w:p>
      <w:pPr>
        <w:spacing w:line="360" w:after="210" w:lineRule="auto"/>
      </w:pPr>
      <w:r>
        <w:rPr>
          <w:rFonts w:eastAsia="georgia" w:cs="georgia" w:ascii="georgia" w:hAnsi="georgia"/>
          <w:color w:val="000000"/>
        </w:rPr>
        <w:t xml:space="preserve">Generic appeal tools lack the granular knowledge of outpatient therapy billing details. ClaimCompass's moat is a curated behavioral-health-specific denial library covering:</w:t>
      </w:r>
    </w:p>
    <w:p>
      <w:pPr>
        <w:numPr>
          <w:ilvl w:val="0"/>
          <w:numId w:val="8"/>
        </w:numPr>
        <w:spacing w:line="360" w:before="105" w:after="105" w:lineRule="auto"/>
      </w:pPr>
      <w:r>
        <w:rPr>
          <w:rFonts w:eastAsia="georgia" w:cs="georgia" w:ascii="georgia" w:hAnsi="georgia"/>
          <w:b/>
          <w:color w:val="000000"/>
          <w:sz w:val="21"/>
        </w:rPr>
        <w:t xml:space="preserve">Therapy CPT Codes</w:t>
      </w:r>
      <w:r>
        <w:rPr>
          <w:rFonts w:eastAsia="georgia" w:cs="georgia" w:ascii="georgia" w:hAnsi="georgia"/>
          <w:color w:val="000000"/>
          <w:sz w:val="21"/>
        </w:rPr>
        <w:t xml:space="preserve">: 90791 (diagnostic evaluation), 90832 (16-37 min psychotherapy), 90834 (45 min), 90837 (60 min), 90846/90847 (family therapy), 989X1/989X2 (digital behavioral health), 90868 (ultra-brief)[^9]</w:t>
      </w:r>
    </w:p>
    <w:p>
      <w:pPr>
        <w:numPr>
          <w:ilvl w:val="0"/>
          <w:numId w:val="8"/>
        </w:numPr>
        <w:spacing w:line="360" w:before="105" w:after="105" w:lineRule="auto"/>
      </w:pPr>
      <w:r>
        <w:rPr>
          <w:rFonts w:eastAsia="georgia" w:cs="georgia" w:ascii="georgia" w:hAnsi="georgia"/>
          <w:b/>
          <w:color w:val="000000"/>
          <w:sz w:val="21"/>
        </w:rPr>
        <w:t xml:space="preserve">Telehealth Modifiers</w:t>
      </w:r>
      <w:r>
        <w:rPr>
          <w:rFonts w:eastAsia="georgia" w:cs="georgia" w:ascii="georgia" w:hAnsi="georgia"/>
          <w:color w:val="000000"/>
          <w:sz w:val="21"/>
        </w:rPr>
        <w:t xml:space="preserve">: Correct modifier combinations for synchronous video, audio-only, asynchronous, and hybrid sessions</w:t>
      </w:r>
    </w:p>
    <w:p>
      <w:pPr>
        <w:numPr>
          <w:ilvl w:val="0"/>
          <w:numId w:val="8"/>
        </w:numPr>
        <w:spacing w:line="360" w:before="105" w:after="105" w:lineRule="auto"/>
      </w:pPr>
      <w:r>
        <w:rPr>
          <w:rFonts w:eastAsia="georgia" w:cs="georgia" w:ascii="georgia" w:hAnsi="georgia"/>
          <w:b/>
          <w:color w:val="000000"/>
          <w:sz w:val="21"/>
        </w:rPr>
        <w:t xml:space="preserve">Place of Service (POS) Rules</w:t>
      </w:r>
      <w:r>
        <w:rPr>
          <w:rFonts w:eastAsia="georgia" w:cs="georgia" w:ascii="georgia" w:hAnsi="georgia"/>
          <w:color w:val="000000"/>
          <w:sz w:val="21"/>
        </w:rPr>
        <w:t xml:space="preserve">: POS 02 (telehealth), POS 10 (home), POS 11 (office) combinations with modifiers that trigger denials with specific payers</w:t>
      </w:r>
    </w:p>
    <w:p>
      <w:pPr>
        <w:numPr>
          <w:ilvl w:val="0"/>
          <w:numId w:val="8"/>
        </w:numPr>
        <w:spacing w:line="360" w:before="105" w:after="105" w:lineRule="auto"/>
      </w:pPr>
      <w:r>
        <w:rPr>
          <w:rFonts w:eastAsia="georgia" w:cs="georgia" w:ascii="georgia" w:hAnsi="georgia"/>
          <w:b/>
          <w:color w:val="000000"/>
          <w:sz w:val="21"/>
        </w:rPr>
        <w:t xml:space="preserve">In-Network vs. Out-of-Network Confusion</w:t>
      </w:r>
      <w:r>
        <w:rPr>
          <w:rFonts w:eastAsia="georgia" w:cs="georgia" w:ascii="georgia" w:hAnsi="georgia"/>
          <w:color w:val="000000"/>
          <w:sz w:val="21"/>
        </w:rPr>
        <w:t xml:space="preserve">: Single-case agreements, gap exceptions, benefit verification discrepancies</w:t>
      </w:r>
    </w:p>
    <w:p>
      <w:pPr>
        <w:numPr>
          <w:ilvl w:val="0"/>
          <w:numId w:val="8"/>
        </w:numPr>
        <w:spacing w:line="360" w:before="105" w:after="105" w:lineRule="auto"/>
      </w:pPr>
      <w:r>
        <w:rPr>
          <w:rFonts w:eastAsia="georgia" w:cs="georgia" w:ascii="georgia" w:hAnsi="georgia"/>
          <w:b/>
          <w:color w:val="000000"/>
          <w:sz w:val="21"/>
        </w:rPr>
        <w:t xml:space="preserve">CAQH Re-Attestation Tracking</w:t>
      </w:r>
      <w:r>
        <w:rPr>
          <w:rFonts w:eastAsia="georgia" w:cs="georgia" w:ascii="georgia" w:hAnsi="georgia"/>
          <w:color w:val="000000"/>
          <w:sz w:val="21"/>
        </w:rPr>
        <w:t xml:space="preserve">: 120-day countdown with 100-day early warning flag[^16]</w:t>
      </w:r>
    </w:p>
    <w:p>
      <w:pPr>
        <w:numPr>
          <w:ilvl w:val="0"/>
          <w:numId w:val="8"/>
        </w:numPr>
        <w:spacing w:line="360" w:before="105" w:after="105" w:lineRule="auto"/>
      </w:pPr>
      <w:r>
        <w:rPr>
          <w:rFonts w:eastAsia="georgia" w:cs="georgia" w:ascii="georgia" w:hAnsi="georgia"/>
          <w:b/>
          <w:color w:val="000000"/>
          <w:sz w:val="21"/>
        </w:rPr>
        <w:t xml:space="preserve">Group NPI vs. Individual NPI</w:t>
      </w:r>
      <w:r>
        <w:rPr>
          <w:rFonts w:eastAsia="georgia" w:cs="georgia" w:ascii="georgia" w:hAnsi="georgia"/>
          <w:color w:val="000000"/>
          <w:sz w:val="21"/>
        </w:rPr>
        <w:t xml:space="preserve">: Billing/rendering provider combinations, tax ID mismatches, location-specific credentialing</w:t>
      </w:r>
    </w:p>
    <w:p>
      <w:pPr>
        <w:numPr>
          <w:ilvl w:val="0"/>
          <w:numId w:val="8"/>
        </w:numPr>
        <w:spacing w:line="360" w:before="105" w:after="105" w:lineRule="auto"/>
      </w:pPr>
      <w:r>
        <w:rPr>
          <w:rFonts w:eastAsia="georgia" w:cs="georgia" w:ascii="georgia" w:hAnsi="georgia"/>
          <w:b/>
          <w:color w:val="000000"/>
          <w:sz w:val="21"/>
        </w:rPr>
        <w:t xml:space="preserve">Taxonomy/Specialty Mismatches</w:t>
      </w:r>
      <w:r>
        <w:rPr>
          <w:rFonts w:eastAsia="georgia" w:cs="georgia" w:ascii="georgia" w:hAnsi="georgia"/>
          <w:color w:val="000000"/>
          <w:sz w:val="21"/>
        </w:rPr>
        <w:t xml:space="preserve">: 101YP2500X (professional counselor), 103TC0700X (clinical social worker), 106H00000X (marriage and family therapist) mismatches with claim submission</w:t>
      </w:r>
    </w:p>
    <w:p>
      <w:pPr>
        <w:numPr>
          <w:ilvl w:val="0"/>
          <w:numId w:val="8"/>
        </w:numPr>
        <w:spacing w:line="360" w:before="105" w:after="105" w:lineRule="auto"/>
      </w:pPr>
      <w:r>
        <w:rPr>
          <w:rFonts w:eastAsia="georgia" w:cs="georgia" w:ascii="georgia" w:hAnsi="georgia"/>
          <w:b/>
          <w:color w:val="000000"/>
          <w:sz w:val="21"/>
        </w:rPr>
        <w:t xml:space="preserve">Timely Filing Windows</w:t>
      </w:r>
      <w:r>
        <w:rPr>
          <w:rFonts w:eastAsia="georgia" w:cs="georgia" w:ascii="georgia" w:hAnsi="georgia"/>
          <w:color w:val="000000"/>
          <w:sz w:val="21"/>
        </w:rPr>
        <w:t xml:space="preserve">: Payer-specific filing deadlines (90 days for most commercial, 365 days for Medicare, variable for Medicaid)</w:t>
      </w:r>
    </w:p>
    <w:p>
      <w:pPr>
        <w:numPr>
          <w:ilvl w:val="0"/>
          <w:numId w:val="8"/>
        </w:numPr>
        <w:spacing w:line="360" w:before="105" w:after="105" w:lineRule="auto"/>
      </w:pPr>
      <w:r>
        <w:rPr>
          <w:rFonts w:eastAsia="georgia" w:cs="georgia" w:ascii="georgia" w:hAnsi="georgia"/>
          <w:b/>
          <w:color w:val="000000"/>
          <w:sz w:val="21"/>
        </w:rPr>
        <w:t xml:space="preserve">Medical Necessity Language</w:t>
      </w:r>
      <w:r>
        <w:rPr>
          <w:rFonts w:eastAsia="georgia" w:cs="georgia" w:ascii="georgia" w:hAnsi="georgia"/>
          <w:color w:val="000000"/>
          <w:sz w:val="21"/>
        </w:rPr>
        <w:t xml:space="preserve">: Ongoing therapy justification templates, progress note sufficiency standards, diagnostic criteria alignment</w:t>
      </w:r>
    </w:p>
    <w:p>
      <w:pPr>
        <w:numPr>
          <w:ilvl w:val="0"/>
          <w:numId w:val="8"/>
        </w:numPr>
        <w:spacing w:line="360" w:before="105" w:after="105" w:lineRule="auto"/>
      </w:pPr>
      <w:r>
        <w:rPr>
          <w:rFonts w:eastAsia="georgia" w:cs="georgia" w:ascii="georgia" w:hAnsi="georgia"/>
          <w:b/>
          <w:color w:val="000000"/>
          <w:sz w:val="21"/>
        </w:rPr>
        <w:t xml:space="preserve">Clawback/Audit Readiness</w:t>
      </w:r>
      <w:r>
        <w:rPr>
          <w:rFonts w:eastAsia="georgia" w:cs="georgia" w:ascii="georgia" w:hAnsi="georgia"/>
          <w:color w:val="000000"/>
          <w:sz w:val="21"/>
        </w:rPr>
        <w:t xml:space="preserve">: Documentation standards to survive retrospective utilization reviews</w:t>
      </w:r>
    </w:p>
    <w:p>
      <w:pPr>
        <w:spacing w:line="360" w:after="210" w:lineRule="auto"/>
      </w:pPr>
      <w:r>
        <w:rPr>
          <w:rFonts w:eastAsia="georgia" w:cs="georgia" w:ascii="georgia" w:hAnsi="georgia"/>
          <w:color w:val="000000"/>
        </w:rPr>
        <w:t xml:space="preserve">These playbooks are implemented as reference data in PostgreSQL with pgvector semantic search, enabling LLM prompt caching on payer-specific context (5-15K tokens per payer/CPT family) for cost-efficient retrieval. The playbook quality determines triage accuracy — which is why MVP allocates budget for a part-time behavioral health billing advisor to review founder-curated + LLM-drafted playbook content before launch.</w:t>
      </w:r>
    </w:p>
    <w:p>
      <w:pPr>
        <w:spacing w:line="360" w:before="315" w:after="105" w:lineRule="auto"/>
        <w:ind w:left="-30"/>
        <w:jc w:val="left"/>
      </w:pPr>
      <w:bookmarkStart w:id="15" w:name="credentialing_health_monitor_from_e3a107"/>
      <w:r>
        <w:rPr>
          <w:rFonts w:eastAsia="georgia" w:cs="georgia" w:ascii="georgia" w:hAnsi="georgia"/>
          <w:b/>
          <w:color w:val="000000"/>
          <w:sz w:val="24"/>
        </w:rPr>
        <w:t xml:space="preserve">Credentialing Health Monitor: From Reactive to Proactive</w:t>
      </w:r>
      <w:bookmarkEnd w:id="15"/>
    </w:p>
    <w:p>
      <w:pPr>
        <w:spacing w:line="360" w:after="210" w:lineRule="auto"/>
      </w:pPr>
      <w:r>
        <w:rPr>
          <w:rFonts w:eastAsia="georgia" w:cs="georgia" w:ascii="georgia" w:hAnsi="georgia"/>
          <w:color w:val="000000"/>
        </w:rPr>
        <w:t xml:space="preserve">ClaimCompass's Credentialing Health Monitor differentiates by surfacing revenue-blocking credentialing issues before they cascade into claim denials. Nightly jobs check:</w:t>
      </w:r>
    </w:p>
    <w:p>
      <w:pPr>
        <w:numPr>
          <w:ilvl w:val="0"/>
          <w:numId w:val="9"/>
        </w:numPr>
        <w:spacing w:line="360" w:before="105" w:after="105" w:lineRule="auto"/>
      </w:pPr>
      <w:r>
        <w:rPr>
          <w:rFonts w:eastAsia="georgia" w:cs="georgia" w:ascii="georgia" w:hAnsi="georgia"/>
          <w:b/>
          <w:color w:val="000000"/>
          <w:sz w:val="21"/>
        </w:rPr>
        <w:t xml:space="preserve">NPPES Lookup Diff</w:t>
      </w:r>
      <w:r>
        <w:rPr>
          <w:rFonts w:eastAsia="georgia" w:cs="georgia" w:ascii="georgia" w:hAnsi="georgia"/>
          <w:color w:val="000000"/>
          <w:sz w:val="21"/>
        </w:rPr>
        <w:t xml:space="preserve">: Compare stored provider data (taxonomy, state, active status) against NPPES live API to detect changes</w:t>
      </w:r>
    </w:p>
    <w:p>
      <w:pPr>
        <w:numPr>
          <w:ilvl w:val="0"/>
          <w:numId w:val="9"/>
        </w:numPr>
        <w:spacing w:line="360" w:before="105" w:after="105" w:lineRule="auto"/>
      </w:pPr>
      <w:r>
        <w:rPr>
          <w:rFonts w:eastAsia="georgia" w:cs="georgia" w:ascii="georgia" w:hAnsi="georgia"/>
          <w:b/>
          <w:color w:val="000000"/>
          <w:sz w:val="21"/>
        </w:rPr>
        <w:t xml:space="preserve">License Expiration</w:t>
      </w:r>
      <w:r>
        <w:rPr>
          <w:rFonts w:eastAsia="georgia" w:cs="georgia" w:ascii="georgia" w:hAnsi="georgia"/>
          <w:color w:val="000000"/>
          <w:sz w:val="21"/>
        </w:rPr>
        <w:t xml:space="preserve">: Flag providers within 60 days of state license expiration</w:t>
      </w:r>
    </w:p>
    <w:p>
      <w:pPr>
        <w:numPr>
          <w:ilvl w:val="0"/>
          <w:numId w:val="9"/>
        </w:numPr>
        <w:spacing w:line="360" w:before="105" w:after="105" w:lineRule="auto"/>
      </w:pPr>
      <w:r>
        <w:rPr>
          <w:rFonts w:eastAsia="georgia" w:cs="georgia" w:ascii="georgia" w:hAnsi="georgia"/>
          <w:b/>
          <w:color w:val="000000"/>
          <w:sz w:val="21"/>
        </w:rPr>
        <w:t xml:space="preserve">CAQH Attestation Freshness</w:t>
      </w:r>
      <w:r>
        <w:rPr>
          <w:rFonts w:eastAsia="georgia" w:cs="georgia" w:ascii="georgia" w:hAnsi="georgia"/>
          <w:color w:val="000000"/>
          <w:sz w:val="21"/>
        </w:rPr>
        <w:t xml:space="preserve">: Flag providers at 100+ days since last re-attestation (120-day requirement)[^16]</w:t>
      </w:r>
    </w:p>
    <w:p>
      <w:pPr>
        <w:numPr>
          <w:ilvl w:val="0"/>
          <w:numId w:val="9"/>
        </w:numPr>
        <w:spacing w:line="360" w:before="105" w:after="105" w:lineRule="auto"/>
      </w:pPr>
      <w:r>
        <w:rPr>
          <w:rFonts w:eastAsia="georgia" w:cs="georgia" w:ascii="georgia" w:hAnsi="georgia"/>
          <w:b/>
          <w:color w:val="000000"/>
          <w:sz w:val="21"/>
        </w:rPr>
        <w:t xml:space="preserve">Sanctions Sweep</w:t>
      </w:r>
      <w:r>
        <w:rPr>
          <w:rFonts w:eastAsia="georgia" w:cs="georgia" w:ascii="georgia" w:hAnsi="georgia"/>
          <w:color w:val="000000"/>
          <w:sz w:val="21"/>
        </w:rPr>
        <w:t xml:space="preserve">: Fuzzy match provider names and NPIs against OIG LEIE, </w:t>
      </w:r>
      <w:hyperlink r:id="rId6">
        <w:r>
          <w:rPr>
            <w:rFonts w:eastAsia="helvetica neue" w:cs="helvetica neue" w:ascii="helvetica neue" w:hAnsi="helvetica neue"/>
            <w:color w:val="#000"/>
            <w:sz w:val="21"/>
            <w:u w:val="single"/>
          </w:rPr>
          <w:t xml:space="preserve">SAM.gov</w:t>
        </w:r>
      </w:hyperlink>
      <w:r>
        <w:rPr>
          <w:rFonts w:eastAsia="georgia" w:cs="georgia" w:ascii="georgia" w:hAnsi="georgia"/>
          <w:color w:val="000000"/>
          <w:sz w:val="21"/>
        </w:rPr>
        <w:t xml:space="preserve"> exclusions, and Medicare Opt-Out lists</w:t>
      </w:r>
    </w:p>
    <w:p>
      <w:pPr>
        <w:numPr>
          <w:ilvl w:val="0"/>
          <w:numId w:val="9"/>
        </w:numPr>
        <w:spacing w:line="360" w:before="105" w:after="105" w:lineRule="auto"/>
      </w:pPr>
      <w:r>
        <w:rPr>
          <w:rFonts w:eastAsia="georgia" w:cs="georgia" w:ascii="georgia" w:hAnsi="georgia"/>
          <w:b/>
          <w:color w:val="000000"/>
          <w:sz w:val="21"/>
        </w:rPr>
        <w:t xml:space="preserve">Payer FHIR Directory Check</w:t>
      </w:r>
      <w:r>
        <w:rPr>
          <w:rFonts w:eastAsia="georgia" w:cs="georgia" w:ascii="georgia" w:hAnsi="georgia"/>
          <w:color w:val="000000"/>
          <w:sz w:val="21"/>
        </w:rPr>
        <w:t xml:space="preserve">: Query top 10 payer Provider Access endpoints to verify listing status (with explicit disclaimer that directory presence ≠ enrollment confirmation)</w:t>
      </w:r>
    </w:p>
    <w:p>
      <w:pPr>
        <w:spacing w:line="360" w:after="210" w:lineRule="auto"/>
      </w:pPr>
      <w:r>
        <w:rPr>
          <w:rFonts w:eastAsia="georgia" w:cs="georgia" w:ascii="georgia" w:hAnsi="georgia"/>
          <w:color w:val="000000"/>
        </w:rPr>
        <w:t xml:space="preserve">All signals are positioned as "risk signals from public datasets" with UI language like "Last CAQH re-attestation: 105 days ago. Verify directly with payers that your panel status is active". This framing avoids liability for credentialing claims while providing actionable early warnings that prevent $1,000-$5,000 in denied claims per incident.</w:t>
      </w:r>
    </w:p>
    <w:p>
      <w:pPr>
        <w:spacing w:line="360" w:after="210" w:lineRule="auto"/>
      </w:pPr>
      <w:r>
        <w:rPr>
          <w:rFonts w:eastAsia="georgia" w:cs="georgia" w:ascii="georgia" w:hAnsi="georgia"/>
          <w:color w:val="000000"/>
        </w:rPr>
        <w:t xml:space="preserve">The technical implementation uses free public data sources (NPPES bulk download, OIG LEIE CSV, </w:t>
      </w:r>
      <w:hyperlink r:id="rId7">
        <w:r>
          <w:rPr>
            <w:rFonts w:eastAsia="helvetica neue" w:cs="helvetica neue" w:ascii="helvetica neue" w:hAnsi="helvetica neue"/>
            <w:color w:val="#000"/>
            <w:u w:val="single"/>
          </w:rPr>
          <w:t xml:space="preserve">SAM.gov</w:t>
        </w:r>
      </w:hyperlink>
      <w:r>
        <w:rPr>
          <w:rFonts w:eastAsia="georgia" w:cs="georgia" w:ascii="georgia" w:hAnsi="georgia"/>
          <w:color w:val="000000"/>
        </w:rPr>
        <w:t xml:space="preserve"> v3 API, Medicare Opt-Out CSV) with nightly rebuild of match index. Total cost: $0 for data, minimal compute for nightly cron. This represents a zero-marginal-cost moat: once built, credentialing health monitoring scales across all users without incremental expense.</w:t>
      </w:r>
    </w:p>
    <w:p>
      <w:pPr>
        <w:spacing w:line="360" w:before="315" w:after="105" w:lineRule="auto"/>
        <w:ind w:left="-30"/>
        <w:jc w:val="left"/>
      </w:pPr>
      <w:bookmarkStart w:id="16" w:name="prevention_loop_turn_denials_into_b61645"/>
      <w:r>
        <w:rPr>
          <w:rFonts w:eastAsia="georgia" w:cs="georgia" w:ascii="georgia" w:hAnsi="georgia"/>
          <w:b/>
          <w:color w:val="000000"/>
          <w:sz w:val="24"/>
        </w:rPr>
        <w:t xml:space="preserve">Prevention Loop: Turn Denials into Billing Rules</w:t>
      </w:r>
      <w:bookmarkEnd w:id="16"/>
    </w:p>
    <w:p>
      <w:pPr>
        <w:spacing w:line="360" w:after="210" w:lineRule="auto"/>
      </w:pPr>
      <w:r>
        <w:rPr>
          <w:rFonts w:eastAsia="georgia" w:cs="georgia" w:ascii="georgia" w:hAnsi="georgia"/>
          <w:color w:val="000000"/>
        </w:rPr>
        <w:t xml:space="preserve">ClaimCompass's repeat-denial prevention feature transforms resolved denials into billing rules that surface as pre-submission checklists. When a denial is resolved, the user is prompted: "Save this fix as a billing rule?"</w:t>
      </w:r>
    </w:p>
    <w:p>
      <w:pPr>
        <w:spacing w:line="360" w:after="210" w:lineRule="auto"/>
      </w:pPr>
      <w:r>
        <w:rPr>
          <w:rFonts w:eastAsia="georgia" w:cs="georgia" w:ascii="georgia" w:hAnsi="georgia"/>
          <w:color w:val="000000"/>
        </w:rPr>
        <w:t xml:space="preserve">If yes, the system serializes the trigger pattern (e.g., CPT 90837 + POS 10 + payer BCBS-TX + missing modifier 95) and surfaces it as a checklist on every new claim matching the same shape. In MVP, this appears in the dashboard as "Billing Rules Library" with manual toggle on/off. In V1, the product will lint claims pre-submission via 837P to catch common errors before they leave the practice.</w:t>
      </w:r>
    </w:p>
    <w:p>
      <w:pPr>
        <w:spacing w:line="360" w:after="210" w:lineRule="auto"/>
      </w:pPr>
      <w:r>
        <w:rPr>
          <w:rFonts w:eastAsia="georgia" w:cs="georgia" w:ascii="georgia" w:hAnsi="georgia"/>
          <w:color w:val="000000"/>
        </w:rPr>
        <w:t xml:space="preserve">This prevention loop differentiates ClaimCompass from competitors who optimize only the back-end appeal workflow. By capturing institutional knowledge from each resolved denial and preventing future occurrences, the product compounds value over time: the more denials a practice processes through ClaimCompass, the smarter its pre-submission guardrails become.</w:t>
      </w:r>
    </w:p>
    <w:p>
      <w:pPr>
        <w:spacing w:line="360" w:after="210" w:lineRule="auto"/>
      </w:pPr>
      <w:r>
        <w:rPr>
          <w:rFonts w:eastAsia="georgia" w:cs="georgia" w:ascii="georgia" w:hAnsi="georgia"/>
          <w:color w:val="000000"/>
        </w:rPr>
        <w:t xml:space="preserve">Competitors like Authsnap mention identifying upstream fixes after appeal work, but ClaimCompass makes prevention the core product loop for therapists: "Every denial becomes a rule so it doesn't happen again."</w:t>
      </w:r>
    </w:p>
    <w:p>
      <w:pPr>
        <w:spacing w:line="360" w:before="315" w:after="105" w:lineRule="auto"/>
        <w:ind w:left="-30"/>
        <w:jc w:val="left"/>
      </w:pPr>
      <w:bookmarkStart w:id="17" w:name="therapist_native_language_and_workflow"/>
      <w:r>
        <w:rPr>
          <w:rFonts w:eastAsia="georgia" w:cs="georgia" w:ascii="georgia" w:hAnsi="georgia"/>
          <w:b/>
          <w:color w:val="000000"/>
          <w:sz w:val="24"/>
        </w:rPr>
        <w:t xml:space="preserve">Therapist-Native Language and Workflow</w:t>
      </w:r>
      <w:bookmarkEnd w:id="17"/>
    </w:p>
    <w:p>
      <w:pPr>
        <w:spacing w:line="360" w:after="210" w:lineRule="auto"/>
      </w:pPr>
      <w:r>
        <w:rPr>
          <w:rFonts w:eastAsia="georgia" w:cs="georgia" w:ascii="georgia" w:hAnsi="georgia"/>
          <w:color w:val="000000"/>
        </w:rPr>
        <w:t xml:space="preserve">The Reddit pain expressed by therapists was not "optimize payer yield" or "maximize prior authorization throughput." It was:</w:t>
      </w:r>
    </w:p>
    <w:p>
      <w:pPr>
        <w:numPr>
          <w:ilvl w:val="0"/>
          <w:numId w:val="10"/>
        </w:numPr>
        <w:spacing w:line="360" w:before="105" w:after="105" w:lineRule="auto"/>
      </w:pPr>
      <w:r>
        <w:rPr>
          <w:rFonts w:eastAsia="georgia" w:cs="georgia" w:ascii="georgia" w:hAnsi="georgia"/>
          <w:color w:val="000000"/>
          <w:sz w:val="21"/>
        </w:rPr>
        <w:t xml:space="preserve">"I don't know why this was denied."</w:t>
      </w:r>
    </w:p>
    <w:p>
      <w:pPr>
        <w:numPr>
          <w:ilvl w:val="0"/>
          <w:numId w:val="10"/>
        </w:numPr>
        <w:spacing w:line="360" w:before="105" w:after="105" w:lineRule="auto"/>
      </w:pPr>
      <w:r>
        <w:rPr>
          <w:rFonts w:eastAsia="georgia" w:cs="georgia" w:ascii="georgia" w:hAnsi="georgia"/>
          <w:color w:val="000000"/>
          <w:sz w:val="21"/>
        </w:rPr>
        <w:t xml:space="preserve">"I don't have time to sit on hold."</w:t>
      </w:r>
    </w:p>
    <w:p>
      <w:pPr>
        <w:numPr>
          <w:ilvl w:val="0"/>
          <w:numId w:val="10"/>
        </w:numPr>
        <w:spacing w:line="360" w:before="105" w:after="105" w:lineRule="auto"/>
      </w:pPr>
      <w:r>
        <w:rPr>
          <w:rFonts w:eastAsia="georgia" w:cs="georgia" w:ascii="georgia" w:hAnsi="georgia"/>
          <w:color w:val="000000"/>
          <w:sz w:val="21"/>
        </w:rPr>
        <w:t xml:space="preserve">"I'm scared I won't get paid."</w:t>
      </w:r>
    </w:p>
    <w:p>
      <w:pPr>
        <w:numPr>
          <w:ilvl w:val="0"/>
          <w:numId w:val="10"/>
        </w:numPr>
        <w:spacing w:line="360" w:before="105" w:after="105" w:lineRule="auto"/>
      </w:pPr>
      <w:r>
        <w:rPr>
          <w:rFonts w:eastAsia="georgia" w:cs="georgia" w:ascii="georgia" w:hAnsi="georgia"/>
          <w:color w:val="000000"/>
          <w:sz w:val="21"/>
        </w:rPr>
        <w:t xml:space="preserve">"I wish I hadn't learned this the hard way."</w:t>
      </w:r>
    </w:p>
    <w:p>
      <w:pPr>
        <w:spacing w:line="360" w:after="210" w:lineRule="auto"/>
      </w:pPr>
      <w:r>
        <w:rPr>
          <w:rFonts w:eastAsia="georgia" w:cs="georgia" w:ascii="georgia" w:hAnsi="georgia"/>
          <w:color w:val="000000"/>
        </w:rPr>
        <w:t xml:space="preserve">ClaimCompass differentiates by speaking therapist language, not RCM enterprise language. The product positions as a "calm billing expert" rather than an "enterprise RCM dashboard". Feature naming reflects this:</w:t>
      </w:r>
    </w:p>
    <w:p>
      <w:pPr>
        <w:numPr>
          <w:ilvl w:val="0"/>
          <w:numId w:val="11"/>
        </w:numPr>
        <w:spacing w:line="360" w:before="105" w:after="105" w:lineRule="auto"/>
      </w:pPr>
      <w:r>
        <w:rPr>
          <w:rFonts w:eastAsia="georgia" w:cs="georgia" w:ascii="georgia" w:hAnsi="georgia"/>
          <w:b/>
          <w:color w:val="000000"/>
          <w:sz w:val="21"/>
        </w:rPr>
        <w:t xml:space="preserve">Denial Decoder</w:t>
      </w:r>
      <w:r>
        <w:rPr>
          <w:rFonts w:eastAsia="georgia" w:cs="georgia" w:ascii="georgia" w:hAnsi="georgia"/>
          <w:color w:val="000000"/>
          <w:sz w:val="21"/>
        </w:rPr>
        <w:t xml:space="preserve">: Not "denial analytics" or "remittance intelligence" — plain language for "explain this denial in words I understand"</w:t>
      </w:r>
    </w:p>
    <w:p>
      <w:pPr>
        <w:numPr>
          <w:ilvl w:val="0"/>
          <w:numId w:val="11"/>
        </w:numPr>
        <w:spacing w:line="360" w:before="105" w:after="105" w:lineRule="auto"/>
      </w:pPr>
      <w:r>
        <w:rPr>
          <w:rFonts w:eastAsia="georgia" w:cs="georgia" w:ascii="georgia" w:hAnsi="georgia"/>
          <w:b/>
          <w:color w:val="000000"/>
          <w:sz w:val="21"/>
        </w:rPr>
        <w:t xml:space="preserve">Next-Best-Action Triage</w:t>
      </w:r>
      <w:r>
        <w:rPr>
          <w:rFonts w:eastAsia="georgia" w:cs="georgia" w:ascii="georgia" w:hAnsi="georgia"/>
          <w:color w:val="000000"/>
          <w:sz w:val="21"/>
        </w:rPr>
        <w:t xml:space="preserve">: Not "workflow routing" — tells therapists exactly what to do next</w:t>
      </w:r>
    </w:p>
    <w:p>
      <w:pPr>
        <w:numPr>
          <w:ilvl w:val="0"/>
          <w:numId w:val="11"/>
        </w:numPr>
        <w:spacing w:line="360" w:before="105" w:after="105" w:lineRule="auto"/>
      </w:pPr>
      <w:r>
        <w:rPr>
          <w:rFonts w:eastAsia="georgia" w:cs="georgia" w:ascii="georgia" w:hAnsi="georgia"/>
          <w:b/>
          <w:color w:val="000000"/>
          <w:sz w:val="21"/>
        </w:rPr>
        <w:t xml:space="preserve">Payer Call Script</w:t>
      </w:r>
      <w:r>
        <w:rPr>
          <w:rFonts w:eastAsia="georgia" w:cs="georgia" w:ascii="georgia" w:hAnsi="georgia"/>
          <w:color w:val="000000"/>
          <w:sz w:val="21"/>
        </w:rPr>
        <w:t xml:space="preserve">: Not "telephonic inquiry template" — gives exact questions to ask and reference numbers to collect</w:t>
      </w:r>
    </w:p>
    <w:p>
      <w:pPr>
        <w:numPr>
          <w:ilvl w:val="0"/>
          <w:numId w:val="11"/>
        </w:numPr>
        <w:spacing w:line="360" w:before="105" w:after="105" w:lineRule="auto"/>
      </w:pPr>
      <w:r>
        <w:rPr>
          <w:rFonts w:eastAsia="georgia" w:cs="georgia" w:ascii="georgia" w:hAnsi="georgia"/>
          <w:b/>
          <w:color w:val="000000"/>
          <w:sz w:val="21"/>
        </w:rPr>
        <w:t xml:space="preserve">Credentialing Health Monitor</w:t>
      </w:r>
      <w:r>
        <w:rPr>
          <w:rFonts w:eastAsia="georgia" w:cs="georgia" w:ascii="georgia" w:hAnsi="georgia"/>
          <w:color w:val="000000"/>
          <w:sz w:val="21"/>
        </w:rPr>
        <w:t xml:space="preserve">: Not "provider enrollment status tracker" — frames credentialing as revenue health, not compliance checkbox</w:t>
      </w:r>
    </w:p>
    <w:p>
      <w:pPr>
        <w:spacing w:line="360" w:after="210" w:lineRule="auto"/>
      </w:pPr>
      <w:r>
        <w:rPr>
          <w:rFonts w:eastAsia="georgia" w:cs="georgia" w:ascii="georgia" w:hAnsi="georgia"/>
          <w:color w:val="000000"/>
        </w:rPr>
        <w:t xml:space="preserve">UX details reinforce this positioning: denial confidence scores displayed as color-coded traffic lights (green/yellow/red), jargon-free language in output ("Your claim was denied because the insurance company says you used the wrong Place of Service code" vs. "POS/CPT mismatch per X12 837P validation"), and prominent "What happens if I do nothing?" warnings to quantify revenue at risk.</w:t>
      </w:r>
    </w:p>
    <w:p>
      <w:pPr>
        <w:spacing w:line="360" w:after="210" w:lineRule="auto"/>
      </w:pPr>
      <w:r>
        <w:rPr>
          <w:rFonts w:eastAsia="georgia" w:cs="georgia" w:ascii="georgia" w:hAnsi="georgia"/>
          <w:color w:val="000000"/>
        </w:rPr>
        <w:t xml:space="preserve">This therapist-native design stands in contrast to Blueprint's clinical-first EHR approach, Anomaly's enterprise payer intelligence positioning, and AppealGenius's agency-priced professional service model.</w:t>
      </w:r>
    </w:p>
    <w:p>
      <w:pPr>
        <w:spacing w:line="360" w:before="315" w:after="105" w:lineRule="auto"/>
        <w:ind w:left="-30"/>
        <w:jc w:val="left"/>
      </w:pPr>
      <w:bookmarkStart w:id="18" w:name="go_to_market_strategy"/>
      <w:r>
        <w:rPr>
          <w:rFonts w:eastAsia="georgia" w:cs="georgia" w:ascii="georgia" w:hAnsi="georgia"/>
          <w:b/>
          <w:color w:val="000000"/>
          <w:sz w:val="24"/>
        </w:rPr>
        <w:t xml:space="preserve">Go-to-Market Strategy</w:t>
      </w:r>
      <w:bookmarkEnd w:id="18"/>
    </w:p>
    <w:p>
      <w:pPr>
        <w:spacing w:line="360" w:before="315" w:after="105" w:lineRule="auto"/>
        <w:ind w:left="-30"/>
        <w:jc w:val="left"/>
      </w:pPr>
      <w:bookmarkStart w:id="19" w:name="pricing_architecture_usage_gated_77afc0"/>
      <w:r>
        <w:rPr>
          <w:rFonts w:eastAsia="georgia" w:cs="georgia" w:ascii="georgia" w:hAnsi="georgia"/>
          <w:b/>
          <w:color w:val="000000"/>
          <w:sz w:val="24"/>
        </w:rPr>
        <w:t xml:space="preserve">Pricing Architecture: Usage-Gated Plans for Unit Economics</w:t>
      </w:r>
      <w:bookmarkEnd w:id="19"/>
    </w:p>
    <w:p>
      <w:pPr>
        <w:spacing w:line="360" w:after="210" w:lineRule="auto"/>
      </w:pPr>
      <w:r>
        <w:rPr>
          <w:rFonts w:eastAsia="georgia" w:cs="georgia" w:ascii="georgia" w:hAnsi="georgia"/>
          <w:color w:val="000000"/>
        </w:rPr>
        <w:t xml:space="preserve">ClaimCompass's pricing strategy balances accessibility for solo therapists with sustainable unit economics:</w:t>
      </w:r>
    </w:p>
    <w:p>
      <w:pPr>
        <w:spacing w:line="360" w:after="210" w:lineRule="auto"/>
      </w:pPr>
      <w:r>
        <w:rPr>
          <w:rFonts w:eastAsia="georgia" w:cs="georgia" w:ascii="georgia" w:hAnsi="georgia"/>
          <w:b/>
          <w:color w:val="000000"/>
        </w:rPr>
        <w:t xml:space="preserve">Solo Decoder Plan: $79/month</w:t>
      </w:r>
    </w:p>
    <w:p>
      <w:pPr>
        <w:numPr>
          <w:ilvl w:val="0"/>
          <w:numId w:val="12"/>
        </w:numPr>
        <w:spacing w:line="360" w:before="105" w:after="105" w:lineRule="auto"/>
      </w:pPr>
      <w:r>
        <w:rPr>
          <w:rFonts w:eastAsia="georgia" w:cs="georgia" w:ascii="georgia" w:hAnsi="georgia"/>
          <w:color w:val="000000"/>
          <w:sz w:val="21"/>
        </w:rPr>
        <w:t xml:space="preserve">25-50 denials per month</w:t>
      </w:r>
    </w:p>
    <w:p>
      <w:pPr>
        <w:numPr>
          <w:ilvl w:val="0"/>
          <w:numId w:val="12"/>
        </w:numPr>
        <w:spacing w:line="360" w:before="105" w:after="105" w:lineRule="auto"/>
      </w:pPr>
      <w:r>
        <w:rPr>
          <w:rFonts w:eastAsia="georgia" w:cs="georgia" w:ascii="georgia" w:hAnsi="georgia"/>
          <w:color w:val="000000"/>
          <w:sz w:val="21"/>
        </w:rPr>
        <w:t xml:space="preserve">1 provider profile</w:t>
      </w:r>
    </w:p>
    <w:p>
      <w:pPr>
        <w:numPr>
          <w:ilvl w:val="0"/>
          <w:numId w:val="12"/>
        </w:numPr>
        <w:spacing w:line="360" w:before="105" w:after="105" w:lineRule="auto"/>
      </w:pPr>
      <w:r>
        <w:rPr>
          <w:rFonts w:eastAsia="georgia" w:cs="georgia" w:ascii="georgia" w:hAnsi="georgia"/>
          <w:color w:val="000000"/>
          <w:sz w:val="21"/>
        </w:rPr>
        <w:t xml:space="preserve">Denial decoder + 6-bucket triage + appeal/script/corrected-claim drafts</w:t>
      </w:r>
    </w:p>
    <w:p>
      <w:pPr>
        <w:numPr>
          <w:ilvl w:val="0"/>
          <w:numId w:val="12"/>
        </w:numPr>
        <w:spacing w:line="360" w:before="105" w:after="105" w:lineRule="auto"/>
      </w:pPr>
      <w:r>
        <w:rPr>
          <w:rFonts w:eastAsia="georgia" w:cs="georgia" w:ascii="georgia" w:hAnsi="georgia"/>
          <w:color w:val="000000"/>
          <w:sz w:val="21"/>
        </w:rPr>
        <w:t xml:space="preserve">Credentialing Risk Monitor (public-dataset signals only)</w:t>
      </w:r>
    </w:p>
    <w:p>
      <w:pPr>
        <w:numPr>
          <w:ilvl w:val="0"/>
          <w:numId w:val="12"/>
        </w:numPr>
        <w:spacing w:line="360" w:before="105" w:after="105" w:lineRule="auto"/>
      </w:pPr>
      <w:r>
        <w:rPr>
          <w:rFonts w:eastAsia="georgia" w:cs="georgia" w:ascii="georgia" w:hAnsi="georgia"/>
          <w:color w:val="000000"/>
          <w:sz w:val="21"/>
        </w:rPr>
        <w:t xml:space="preserve">Lean OCR (DetectDocumentText default, Tables/Forms opt-in fallback)</w:t>
      </w:r>
    </w:p>
    <w:p>
      <w:pPr>
        <w:numPr>
          <w:ilvl w:val="0"/>
          <w:numId w:val="12"/>
        </w:numPr>
        <w:spacing w:line="360" w:before="105" w:after="105" w:lineRule="auto"/>
      </w:pPr>
      <w:r>
        <w:rPr>
          <w:rFonts w:eastAsia="georgia" w:cs="georgia" w:ascii="georgia" w:hAnsi="georgia"/>
          <w:color w:val="000000"/>
          <w:sz w:val="21"/>
        </w:rPr>
        <w:t xml:space="preserve">Email support</w:t>
      </w:r>
    </w:p>
    <w:p>
      <w:pPr>
        <w:spacing w:line="360" w:after="210" w:lineRule="auto"/>
      </w:pPr>
      <w:r>
        <w:rPr>
          <w:rFonts w:eastAsia="georgia" w:cs="georgia" w:ascii="georgia" w:hAnsi="georgia"/>
          <w:b/>
          <w:color w:val="000000"/>
        </w:rPr>
        <w:t xml:space="preserve">Practice Copilot Plan: $149-$249/month</w:t>
      </w:r>
    </w:p>
    <w:p>
      <w:pPr>
        <w:numPr>
          <w:ilvl w:val="0"/>
          <w:numId w:val="13"/>
        </w:numPr>
        <w:spacing w:line="360" w:before="105" w:after="105" w:lineRule="auto"/>
      </w:pPr>
      <w:r>
        <w:rPr>
          <w:rFonts w:eastAsia="georgia" w:cs="georgia" w:ascii="georgia" w:hAnsi="georgia"/>
          <w:color w:val="000000"/>
          <w:sz w:val="21"/>
        </w:rPr>
        <w:t xml:space="preserve">200 denials per month</w:t>
      </w:r>
    </w:p>
    <w:p>
      <w:pPr>
        <w:numPr>
          <w:ilvl w:val="0"/>
          <w:numId w:val="13"/>
        </w:numPr>
        <w:spacing w:line="360" w:before="105" w:after="105" w:lineRule="auto"/>
      </w:pPr>
      <w:r>
        <w:rPr>
          <w:rFonts w:eastAsia="georgia" w:cs="georgia" w:ascii="georgia" w:hAnsi="georgia"/>
          <w:color w:val="000000"/>
          <w:sz w:val="21"/>
        </w:rPr>
        <w:t xml:space="preserve">Multiple provider profiles</w:t>
      </w:r>
    </w:p>
    <w:p>
      <w:pPr>
        <w:numPr>
          <w:ilvl w:val="0"/>
          <w:numId w:val="13"/>
        </w:numPr>
        <w:spacing w:line="360" w:before="105" w:after="105" w:lineRule="auto"/>
      </w:pPr>
      <w:r>
        <w:rPr>
          <w:rFonts w:eastAsia="georgia" w:cs="georgia" w:ascii="georgia" w:hAnsi="georgia"/>
          <w:color w:val="000000"/>
          <w:sz w:val="21"/>
        </w:rPr>
        <w:t xml:space="preserve">Team seats with supervisor/biller roles</w:t>
      </w:r>
    </w:p>
    <w:p>
      <w:pPr>
        <w:numPr>
          <w:ilvl w:val="0"/>
          <w:numId w:val="13"/>
        </w:numPr>
        <w:spacing w:line="360" w:before="105" w:after="105" w:lineRule="auto"/>
      </w:pPr>
      <w:r>
        <w:rPr>
          <w:rFonts w:eastAsia="georgia" w:cs="georgia" w:ascii="georgia" w:hAnsi="georgia"/>
          <w:color w:val="000000"/>
          <w:sz w:val="21"/>
        </w:rPr>
        <w:t xml:space="preserve">Billing Rules Library with pattern auto-suggest</w:t>
      </w:r>
    </w:p>
    <w:p>
      <w:pPr>
        <w:numPr>
          <w:ilvl w:val="0"/>
          <w:numId w:val="13"/>
        </w:numPr>
        <w:spacing w:line="360" w:before="105" w:after="105" w:lineRule="auto"/>
      </w:pPr>
      <w:r>
        <w:rPr>
          <w:rFonts w:eastAsia="georgia" w:cs="georgia" w:ascii="georgia" w:hAnsi="georgia"/>
          <w:color w:val="000000"/>
          <w:sz w:val="21"/>
        </w:rPr>
        <w:t xml:space="preserve">Audit log export</w:t>
      </w:r>
    </w:p>
    <w:p>
      <w:pPr>
        <w:numPr>
          <w:ilvl w:val="0"/>
          <w:numId w:val="13"/>
        </w:numPr>
        <w:spacing w:line="360" w:before="105" w:after="105" w:lineRule="auto"/>
      </w:pPr>
      <w:r>
        <w:rPr>
          <w:rFonts w:eastAsia="georgia" w:cs="georgia" w:ascii="georgia" w:hAnsi="georgia"/>
          <w:color w:val="000000"/>
          <w:sz w:val="21"/>
        </w:rPr>
        <w:t xml:space="preserve">Priority support</w:t>
      </w:r>
    </w:p>
    <w:p>
      <w:pPr>
        <w:spacing w:line="360" w:after="210" w:lineRule="auto"/>
      </w:pPr>
      <w:r>
        <w:rPr>
          <w:rFonts w:eastAsia="georgia" w:cs="georgia" w:ascii="georgia" w:hAnsi="georgia"/>
          <w:b/>
          <w:color w:val="000000"/>
        </w:rPr>
        <w:t xml:space="preserve">V1 EDI Add-On: Usage-priced, not bundled</w:t>
      </w:r>
    </w:p>
    <w:p>
      <w:pPr>
        <w:numPr>
          <w:ilvl w:val="0"/>
          <w:numId w:val="14"/>
        </w:numPr>
        <w:spacing w:line="360" w:before="105" w:after="105" w:lineRule="auto"/>
      </w:pPr>
      <w:r>
        <w:rPr>
          <w:rFonts w:eastAsia="georgia" w:cs="georgia" w:ascii="georgia" w:hAnsi="georgia"/>
          <w:color w:val="000000"/>
          <w:sz w:val="21"/>
        </w:rPr>
        <w:t xml:space="preserve">Eligibility checks (270/271): $0.15/check</w:t>
      </w:r>
    </w:p>
    <w:p>
      <w:pPr>
        <w:numPr>
          <w:ilvl w:val="0"/>
          <w:numId w:val="14"/>
        </w:numPr>
        <w:spacing w:line="360" w:before="105" w:after="105" w:lineRule="auto"/>
      </w:pPr>
      <w:r>
        <w:rPr>
          <w:rFonts w:eastAsia="georgia" w:cs="georgia" w:ascii="georgia" w:hAnsi="georgia"/>
          <w:color w:val="000000"/>
          <w:sz w:val="21"/>
        </w:rPr>
        <w:t xml:space="preserve">Claim status (276/277): $0.15/check</w:t>
      </w:r>
    </w:p>
    <w:p>
      <w:pPr>
        <w:numPr>
          <w:ilvl w:val="0"/>
          <w:numId w:val="14"/>
        </w:numPr>
        <w:spacing w:line="360" w:before="105" w:after="105" w:lineRule="auto"/>
      </w:pPr>
      <w:r>
        <w:rPr>
          <w:rFonts w:eastAsia="georgia" w:cs="georgia" w:ascii="georgia" w:hAnsi="georgia"/>
          <w:color w:val="000000"/>
          <w:sz w:val="21"/>
        </w:rPr>
        <w:t xml:space="preserve">Corrected claim submission (837P): $0.20/claim</w:t>
      </w:r>
    </w:p>
    <w:p>
      <w:pPr>
        <w:numPr>
          <w:ilvl w:val="0"/>
          <w:numId w:val="14"/>
        </w:numPr>
        <w:spacing w:line="360" w:before="105" w:after="105" w:lineRule="auto"/>
      </w:pPr>
      <w:r>
        <w:rPr>
          <w:rFonts w:eastAsia="georgia" w:cs="georgia" w:ascii="georgia" w:hAnsi="georgia"/>
          <w:color w:val="000000"/>
          <w:sz w:val="21"/>
        </w:rPr>
        <w:t xml:space="preserve">ERA auto-ingest (835): $0.15/remittance</w:t>
      </w:r>
    </w:p>
    <w:p>
      <w:pPr>
        <w:numPr>
          <w:ilvl w:val="0"/>
          <w:numId w:val="14"/>
        </w:numPr>
        <w:spacing w:line="360" w:before="105" w:after="105" w:lineRule="auto"/>
      </w:pPr>
      <w:r>
        <w:rPr>
          <w:rFonts w:eastAsia="georgia" w:cs="georgia" w:ascii="georgia" w:hAnsi="georgia"/>
          <w:color w:val="000000"/>
          <w:sz w:val="21"/>
        </w:rPr>
        <w:t xml:space="preserve">Never bundled as "unlimited" due to Stedi cost structure ($3,000-$4,100/month at 5,000 claims)</w:t>
      </w:r>
    </w:p>
    <w:p>
      <w:pPr>
        <w:spacing w:line="360" w:after="210" w:lineRule="auto"/>
      </w:pPr>
      <w:r>
        <w:rPr>
          <w:rFonts w:eastAsia="georgia" w:cs="georgia" w:ascii="georgia" w:hAnsi="georgia"/>
          <w:b/>
          <w:color w:val="000000"/>
        </w:rPr>
        <w:t xml:space="preserve">Overage Pricing: Per-denial and per-page</w:t>
      </w:r>
    </w:p>
    <w:p>
      <w:pPr>
        <w:numPr>
          <w:ilvl w:val="0"/>
          <w:numId w:val="15"/>
        </w:numPr>
        <w:spacing w:line="360" w:before="105" w:after="105" w:lineRule="auto"/>
      </w:pPr>
      <w:r>
        <w:rPr>
          <w:rFonts w:eastAsia="georgia" w:cs="georgia" w:ascii="georgia" w:hAnsi="georgia"/>
          <w:color w:val="000000"/>
          <w:sz w:val="21"/>
        </w:rPr>
        <w:t xml:space="preserve">Caps usage spikes and surfaces real cost when complex EOBs trigger expensive OCR (FormsTables at $0.065/page vs. DetectDocumentText at $0.0015/page)</w:t>
      </w:r>
    </w:p>
    <w:p>
      <w:pPr>
        <w:numPr>
          <w:ilvl w:val="0"/>
          <w:numId w:val="15"/>
        </w:numPr>
        <w:spacing w:line="360" w:before="105" w:after="105" w:lineRule="auto"/>
      </w:pPr>
      <w:r>
        <w:rPr>
          <w:rFonts w:eastAsia="georgia" w:cs="georgia" w:ascii="georgia" w:hAnsi="georgia"/>
          <w:color w:val="000000"/>
          <w:sz w:val="21"/>
        </w:rPr>
        <w:t xml:space="preserve">Pre-purchase packs: $X per 50 denials for customers near cap</w:t>
      </w:r>
    </w:p>
    <w:p>
      <w:pPr>
        <w:numPr>
          <w:ilvl w:val="0"/>
          <w:numId w:val="15"/>
        </w:numPr>
        <w:spacing w:line="360" w:before="105" w:after="105" w:lineRule="auto"/>
      </w:pPr>
      <w:r>
        <w:rPr>
          <w:rFonts w:eastAsia="georgia" w:cs="georgia" w:ascii="georgia" w:hAnsi="georgia"/>
          <w:color w:val="000000"/>
          <w:sz w:val="21"/>
        </w:rPr>
        <w:t xml:space="preserve">Transparent "denials remaining" counter in dashboard</w:t>
      </w:r>
    </w:p>
    <w:p>
      <w:pPr>
        <w:spacing w:line="360" w:after="210" w:lineRule="auto"/>
      </w:pPr>
      <w:r>
        <w:rPr>
          <w:rFonts w:eastAsia="georgia" w:cs="georgia" w:ascii="georgia" w:hAnsi="georgia"/>
          <w:b/>
          <w:color w:val="000000"/>
        </w:rPr>
        <w:t xml:space="preserve">Cost Model Validation</w:t>
      </w:r>
      <w:r>
        <w:rPr>
          <w:rFonts w:eastAsia="georgia" w:cs="georgia" w:ascii="georgia" w:hAnsi="georgia"/>
          <w:color w:val="000000"/>
        </w:rPr>
        <w:t xml:space="preserve">: At 100 users generating 5,000 denials/month (15,000 pages), lean OCR path yields $1,400-$2,000 COGS vs. $7,900 MRR (75-82% gross margin). FormsTables-heavy path yields $2,100-$2,800 COGS (65-73% margin). This validates $79 Solo pricing as sustainable with usage caps and per-page overages as safety valve.</w:t>
      </w:r>
    </w:p>
    <w:p>
      <w:pPr>
        <w:spacing w:line="360" w:after="210" w:lineRule="auto"/>
      </w:pPr>
      <w:r>
        <w:rPr>
          <w:rFonts w:eastAsia="georgia" w:cs="georgia" w:ascii="georgia" w:hAnsi="georgia"/>
          <w:color w:val="000000"/>
        </w:rPr>
        <w:t xml:space="preserve">The deliberate exclusion of unlimited EDI from base pricing differentiates ClaimCompass from competitors who bundle features but require $1,000+/month contracts. Solo therapists pay for what they need (triage + appeals) without subsidizing enterprise features (claim submission, eligibility verification) they may not want.</w:t>
      </w:r>
    </w:p>
    <w:p>
      <w:pPr>
        <w:spacing w:line="360" w:before="315" w:after="105" w:lineRule="auto"/>
        <w:ind w:left="-30"/>
        <w:jc w:val="left"/>
      </w:pPr>
      <w:bookmarkStart w:id="20" w:name="customer_acquisition_owning_the_i_844c1d"/>
      <w:r>
        <w:rPr>
          <w:rFonts w:eastAsia="georgia" w:cs="georgia" w:ascii="georgia" w:hAnsi="georgia"/>
          <w:b/>
          <w:color w:val="000000"/>
          <w:sz w:val="24"/>
        </w:rPr>
        <w:t xml:space="preserve">Customer Acquisition: Owning the "I Don't Know What This Denial Means" Moment</w:t>
      </w:r>
      <w:bookmarkEnd w:id="20"/>
    </w:p>
    <w:p>
      <w:pPr>
        <w:spacing w:line="360" w:after="210" w:lineRule="auto"/>
      </w:pPr>
      <w:r>
        <w:rPr>
          <w:rFonts w:eastAsia="georgia" w:cs="georgia" w:ascii="georgia" w:hAnsi="georgia"/>
          <w:color w:val="000000"/>
        </w:rPr>
        <w:t xml:space="preserve">ClaimCompass's GTM strategy targets the moment of maximum pain: a therapist receives a denial, doesn't understand it, and searches for help. Acquisition channels:</w:t>
      </w:r>
    </w:p>
    <w:p>
      <w:pPr>
        <w:spacing w:line="360" w:after="210" w:lineRule="auto"/>
      </w:pPr>
      <w:r>
        <w:rPr>
          <w:rFonts w:eastAsia="georgia" w:cs="georgia" w:ascii="georgia" w:hAnsi="georgia"/>
          <w:b/>
          <w:color w:val="000000"/>
        </w:rPr>
        <w:t xml:space="preserve">1. SEO Content Hub: Behavioral Health Denial Decoder</w:t>
      </w:r>
    </w:p>
    <w:p>
      <w:pPr>
        <w:spacing w:line="360" w:after="210" w:lineRule="auto"/>
      </w:pPr>
      <w:r>
        <w:rPr>
          <w:rFonts w:eastAsia="georgia" w:cs="georgia" w:ascii="georgia" w:hAnsi="georgia"/>
          <w:color w:val="000000"/>
        </w:rPr>
        <w:t xml:space="preserve">Long-tail SEO targeting therapist-specific denial scenarios:</w:t>
      </w:r>
    </w:p>
    <w:p>
      <w:pPr>
        <w:numPr>
          <w:ilvl w:val="0"/>
          <w:numId w:val="16"/>
        </w:numPr>
        <w:spacing w:line="360" w:before="105" w:after="105" w:lineRule="auto"/>
      </w:pPr>
      <w:r>
        <w:rPr>
          <w:rFonts w:eastAsia="georgia" w:cs="georgia" w:ascii="georgia" w:hAnsi="georgia"/>
          <w:color w:val="000000"/>
          <w:sz w:val="21"/>
        </w:rPr>
        <w:t xml:space="preserve">"BCBS Texas denied 90837 telehealth modifier"</w:t>
      </w:r>
    </w:p>
    <w:p>
      <w:pPr>
        <w:numPr>
          <w:ilvl w:val="0"/>
          <w:numId w:val="16"/>
        </w:numPr>
        <w:spacing w:line="360" w:before="105" w:after="105" w:lineRule="auto"/>
      </w:pPr>
      <w:r>
        <w:rPr>
          <w:rFonts w:eastAsia="georgia" w:cs="georgia" w:ascii="georgia" w:hAnsi="georgia"/>
          <w:color w:val="000000"/>
          <w:sz w:val="21"/>
        </w:rPr>
        <w:t xml:space="preserve">"CAQH re-attestation how often"</w:t>
      </w:r>
    </w:p>
    <w:p>
      <w:pPr>
        <w:numPr>
          <w:ilvl w:val="0"/>
          <w:numId w:val="16"/>
        </w:numPr>
        <w:spacing w:line="360" w:before="105" w:after="105" w:lineRule="auto"/>
      </w:pPr>
      <w:r>
        <w:rPr>
          <w:rFonts w:eastAsia="georgia" w:cs="georgia" w:ascii="georgia" w:hAnsi="georgia"/>
          <w:color w:val="000000"/>
          <w:sz w:val="21"/>
        </w:rPr>
        <w:t xml:space="preserve">"What does CARC CO-45 mean therapy"</w:t>
      </w:r>
    </w:p>
    <w:p>
      <w:pPr>
        <w:numPr>
          <w:ilvl w:val="0"/>
          <w:numId w:val="16"/>
        </w:numPr>
        <w:spacing w:line="360" w:before="105" w:after="105" w:lineRule="auto"/>
      </w:pPr>
      <w:r>
        <w:rPr>
          <w:rFonts w:eastAsia="georgia" w:cs="georgia" w:ascii="georgia" w:hAnsi="georgia"/>
          <w:color w:val="000000"/>
          <w:sz w:val="21"/>
        </w:rPr>
        <w:t xml:space="preserve">"SimplePractice claim rejected provider not found"</w:t>
      </w:r>
    </w:p>
    <w:p>
      <w:pPr>
        <w:numPr>
          <w:ilvl w:val="0"/>
          <w:numId w:val="16"/>
        </w:numPr>
        <w:spacing w:line="360" w:before="105" w:after="105" w:lineRule="auto"/>
      </w:pPr>
      <w:r>
        <w:rPr>
          <w:rFonts w:eastAsia="georgia" w:cs="georgia" w:ascii="georgia" w:hAnsi="georgia"/>
          <w:color w:val="000000"/>
          <w:sz w:val="21"/>
        </w:rPr>
        <w:t xml:space="preserve">"How to appeal Aetna medical necessity denial LCSW"</w:t>
      </w:r>
    </w:p>
    <w:p>
      <w:pPr>
        <w:spacing w:line="360" w:after="210" w:lineRule="auto"/>
      </w:pPr>
      <w:r>
        <w:rPr>
          <w:rFonts w:eastAsia="georgia" w:cs="georgia" w:ascii="georgia" w:hAnsi="georgia"/>
          <w:color w:val="000000"/>
        </w:rPr>
        <w:t xml:space="preserve">Content format: 800-1,200 word articles explaining the specific denial type, why it happens in behavioral health, payer-specific rules, exact next steps (corrected claim vs. appeal vs. CAQH update), and CTA: "Upload your denial to decode it in 30 seconds." Each article becomes a top-of-funnel landing page with minimal content marketing cost.</w:t>
      </w:r>
    </w:p>
    <w:p>
      <w:pPr>
        <w:spacing w:line="360" w:after="210" w:lineRule="auto"/>
      </w:pPr>
      <w:r>
        <w:rPr>
          <w:rFonts w:eastAsia="georgia" w:cs="georgia" w:ascii="georgia" w:hAnsi="georgia"/>
          <w:b/>
          <w:color w:val="000000"/>
        </w:rPr>
        <w:t xml:space="preserve">2. Reddit/Facebook Group Outbound: "I Built This After..."</w:t>
      </w:r>
    </w:p>
    <w:p>
      <w:pPr>
        <w:spacing w:line="360" w:after="210" w:lineRule="auto"/>
      </w:pPr>
      <w:r>
        <w:rPr>
          <w:rFonts w:eastAsia="georgia" w:cs="georgia" w:ascii="georgia" w:hAnsi="georgia"/>
          <w:color w:val="000000"/>
        </w:rPr>
        <w:t xml:space="preserve">Active participation in r/therapists (341K+ members), r/psychotherapy, Facebook groups like "Private Practice Therapists," and "Mental Health Billing &amp; Credentialing" with founder-led posts:</w:t>
      </w:r>
    </w:p>
    <w:p>
      <w:pPr>
        <w:spacing w:line="360" w:after="210" w:lineRule="auto"/>
        <w:ind w:left="630"/>
      </w:pPr>
      <w:r>
        <w:rPr>
          <w:rFonts w:eastAsia="georgia" w:cs="georgia" w:ascii="georgia" w:hAnsi="georgia"/>
          <w:color w:val="000000"/>
        </w:rPr>
        <w:t xml:space="preserve">"I'm a therapist who spent 8 hours last month on hold with BCBS trying to figure out why my 90837 claims kept getting denied. Turns out it was a modifier issue. I built a tool that decodes denials in plain English and tells you whether to resubmit, appeal, or fix your CAQH. If anyone wants to try it (free during beta), here's the link. I'd love feedback."</w:t>
      </w:r>
    </w:p>
    <w:p>
      <w:pPr>
        <w:spacing w:line="360" w:after="210" w:lineRule="auto"/>
      </w:pPr>
      <w:r>
        <w:rPr>
          <w:rFonts w:eastAsia="georgia" w:cs="georgia" w:ascii="georgia" w:hAnsi="georgia"/>
          <w:color w:val="000000"/>
        </w:rPr>
        <w:t xml:space="preserve">This positions the founder as peer, not vendor, and targets the exact pain point. Reddit therapist community is highly engaged: salary megathreads draw hundreds of comments, insurance complaint threads get 10-20+ detailed responses, and therapists actively share billing horror stories.[</w:t>
      </w:r>
      <w:r>
        <w:rPr>
          <w:rFonts w:eastAsia="georgia" w:cs="georgia" w:ascii="georgia" w:hAnsi="georgia"/>
          <w:color w:val="000000"/>
          <w:vertAlign w:val="superscript"/>
        </w:rPr>
        <w:t xml:space="preserve">31][</w:t>
      </w:r>
      <w:r>
        <w:rPr>
          <w:rFonts w:eastAsia="georgia" w:cs="georgia" w:ascii="georgia" w:hAnsi="georgia"/>
          <w:color w:val="000000"/>
        </w:rPr>
        <w:t xml:space="preserve">32][</w:t>
      </w:r>
      <w:r>
        <w:rPr>
          <w:rFonts w:eastAsia="georgia" w:cs="georgia" w:ascii="georgia" w:hAnsi="georgia"/>
          <w:color w:val="000000"/>
          <w:vertAlign w:val="superscript"/>
        </w:rPr>
        <w:t xml:space="preserve">33][</w:t>
      </w:r>
      <w:r>
        <w:rPr>
          <w:rFonts w:eastAsia="georgia" w:cs="georgia" w:ascii="georgia" w:hAnsi="georgia"/>
          <w:color w:val="000000"/>
        </w:rPr>
        <w:t xml:space="preserve">11][^34]</w:t>
      </w:r>
    </w:p>
    <w:p>
      <w:pPr>
        <w:spacing w:line="360" w:after="210" w:lineRule="auto"/>
      </w:pPr>
      <w:r>
        <w:rPr>
          <w:rFonts w:eastAsia="georgia" w:cs="georgia" w:ascii="georgia" w:hAnsi="georgia"/>
          <w:b/>
          <w:color w:val="000000"/>
        </w:rPr>
        <w:t xml:space="preserve">3. Freemium "Decode This Denial" Landing Page</w:t>
      </w:r>
    </w:p>
    <w:p>
      <w:pPr>
        <w:spacing w:line="360" w:after="210" w:lineRule="auto"/>
      </w:pPr>
      <w:r>
        <w:rPr>
          <w:rFonts w:eastAsia="georgia" w:cs="georgia" w:ascii="georgia" w:hAnsi="georgia"/>
          <w:color w:val="000000"/>
        </w:rPr>
        <w:t xml:space="preserve">Public tool (synthetic data only, no PHI) that decodes CARC/RARC codes and provides next-step guidance without signup. User pastes denial text, sees plain-English explanation + next-step recommendation, then gates full features (appeal letter draft, payer call script, CAQH health check) behind account creation. This builds trust ("they solved my immediate problem before asking for my credit card") and captures demand at moment of pain.</w:t>
      </w:r>
    </w:p>
    <w:p>
      <w:pPr>
        <w:spacing w:line="360" w:after="210" w:lineRule="auto"/>
      </w:pPr>
      <w:r>
        <w:rPr>
          <w:rFonts w:eastAsia="georgia" w:cs="georgia" w:ascii="georgia" w:hAnsi="georgia"/>
          <w:b/>
          <w:color w:val="000000"/>
        </w:rPr>
        <w:t xml:space="preserve">4. SimplePractice/TherapyNotes User Group Sponsorships</w:t>
      </w:r>
    </w:p>
    <w:p>
      <w:pPr>
        <w:spacing w:line="360" w:after="210" w:lineRule="auto"/>
      </w:pPr>
      <w:r>
        <w:rPr>
          <w:rFonts w:eastAsia="georgia" w:cs="georgia" w:ascii="georgia" w:hAnsi="georgia"/>
          <w:color w:val="000000"/>
        </w:rPr>
        <w:t xml:space="preserve">SimplePractice and TherapyNotes host webinars, user groups, and annual conferences. Sponsor user education webinars on "Common Billing Mistakes That Cost Therapists Thousands" or "How to Read Your EOB and Know What to Do Next." Position ClaimCompass as the recommended tool for participants to use post-webinar. Since 77% of therapists use SimplePractice, targeting this user base yields highly qualified leads.[^6]</w:t>
      </w:r>
    </w:p>
    <w:p>
      <w:pPr>
        <w:spacing w:line="360" w:after="210" w:lineRule="auto"/>
      </w:pPr>
      <w:r>
        <w:rPr>
          <w:rFonts w:eastAsia="georgia" w:cs="georgia" w:ascii="georgia" w:hAnsi="georgia"/>
          <w:b/>
          <w:color w:val="000000"/>
        </w:rPr>
        <w:t xml:space="preserve">5. Therapist Billing Consultant Partnerships</w:t>
      </w:r>
    </w:p>
    <w:p>
      <w:pPr>
        <w:spacing w:line="360" w:after="210" w:lineRule="auto"/>
      </w:pPr>
      <w:r>
        <w:rPr>
          <w:rFonts w:eastAsia="georgia" w:cs="georgia" w:ascii="georgia" w:hAnsi="georgia"/>
          <w:color w:val="000000"/>
        </w:rPr>
        <w:t xml:space="preserve">Many therapists hire fractional billing consultants for credentialing setup and first-90-days claim management. Partner with these consultants to white-label or recommend ClaimCompass for ongoing denial triage once the consultant's engagement ends. Revenue share: 20% recurring for referred customers. This creates a self-perpetuating referral channel as consultants see clients succeed with the tool.</w:t>
      </w:r>
    </w:p>
    <w:p>
      <w:pPr>
        <w:spacing w:line="360" w:after="210" w:lineRule="auto"/>
      </w:pPr>
      <w:r>
        <w:rPr>
          <w:rFonts w:eastAsia="georgia" w:cs="georgia" w:ascii="georgia" w:hAnsi="georgia"/>
          <w:b/>
          <w:color w:val="000000"/>
        </w:rPr>
        <w:t xml:space="preserve">6. Headway/Alma Exit Pipeline</w:t>
      </w:r>
    </w:p>
    <w:p>
      <w:pPr>
        <w:spacing w:line="360" w:after="210" w:lineRule="auto"/>
      </w:pPr>
      <w:r>
        <w:rPr>
          <w:rFonts w:eastAsia="georgia" w:cs="georgia" w:ascii="georgia" w:hAnsi="georgia"/>
          <w:color w:val="000000"/>
        </w:rPr>
        <w:t xml:space="preserve">Target therapists exiting Headway/Alma due to billing errors or client dissatisfaction. When BBB complaints trend on therapist Reddit threads, respond with positioning: "If you're leaving Headway and need to manage your own billing, here's how ClaimCompass helps you avoid the claim mistakes that frustrated your clients."[</w:t>
      </w:r>
      <w:r>
        <w:rPr>
          <w:rFonts w:eastAsia="georgia" w:cs="georgia" w:ascii="georgia" w:hAnsi="georgia"/>
          <w:color w:val="000000"/>
          <w:vertAlign w:val="superscript"/>
        </w:rPr>
        <w:t xml:space="preserve">27][</w:t>
      </w:r>
      <w:r>
        <w:rPr>
          <w:rFonts w:eastAsia="georgia" w:cs="georgia" w:ascii="georgia" w:hAnsi="georgia"/>
          <w:color w:val="000000"/>
        </w:rPr>
        <w:t xml:space="preserve">28][</w:t>
      </w:r>
      <w:r>
        <w:rPr>
          <w:rFonts w:eastAsia="georgia" w:cs="georgia" w:ascii="georgia" w:hAnsi="georgia"/>
          <w:color w:val="000000"/>
          <w:vertAlign w:val="superscript"/>
        </w:rPr>
        <w:t xml:space="preserve">29][</w:t>
      </w:r>
      <w:r>
        <w:rPr>
          <w:rFonts w:eastAsia="georgia" w:cs="georgia" w:ascii="georgia" w:hAnsi="georgia"/>
          <w:color w:val="000000"/>
        </w:rPr>
        <w:t xml:space="preserve">30]</w:t>
      </w:r>
    </w:p>
    <w:p>
      <w:pPr>
        <w:spacing w:line="360" w:after="210" w:lineRule="auto"/>
      </w:pPr>
      <w:r>
        <w:rPr>
          <w:rFonts w:eastAsia="georgia" w:cs="georgia" w:ascii="georgia" w:hAnsi="georgia"/>
          <w:color w:val="000000"/>
        </w:rPr>
        <w:t xml:space="preserve">Retargeting ads on LinkedIn and Facebook targeting therapists who follow Headway/Alma but engage with complaint threads: "Leaving Headway? Get your insurance billing under control without hiring a full billing team."</w:t>
      </w:r>
    </w:p>
    <w:p>
      <w:pPr>
        <w:spacing w:line="360" w:before="315" w:after="105" w:lineRule="auto"/>
        <w:ind w:left="-30"/>
        <w:jc w:val="left"/>
      </w:pPr>
      <w:bookmarkStart w:id="21" w:name="distribution_leverage_ehr_agnosti_54ab75"/>
      <w:r>
        <w:rPr>
          <w:rFonts w:eastAsia="georgia" w:cs="georgia" w:ascii="georgia" w:hAnsi="georgia"/>
          <w:b/>
          <w:color w:val="000000"/>
          <w:sz w:val="24"/>
        </w:rPr>
        <w:t xml:space="preserve">Distribution Leverage: EHR-Agnostic as Wedge</w:t>
      </w:r>
      <w:bookmarkEnd w:id="21"/>
    </w:p>
    <w:p>
      <w:pPr>
        <w:spacing w:line="360" w:after="210" w:lineRule="auto"/>
      </w:pPr>
      <w:r>
        <w:rPr>
          <w:rFonts w:eastAsia="georgia" w:cs="georgia" w:ascii="georgia" w:hAnsi="georgia"/>
          <w:color w:val="000000"/>
        </w:rPr>
        <w:t xml:space="preserve">ClaimCompass's EHR-agnostic positioning enables rapid user acquisition without partnership negotiations. SimplePractice and TherapyNotes integration requires vendor approval, API documentation review, and multi-month build cycles. By contrast, ClaimCompass's upload/paste workflow works day one:</w:t>
      </w:r>
    </w:p>
    <w:p>
      <w:pPr>
        <w:numPr>
          <w:ilvl w:val="0"/>
          <w:numId w:val="17"/>
        </w:numPr>
        <w:spacing w:line="360" w:before="105" w:after="105" w:lineRule="auto"/>
      </w:pPr>
      <w:r>
        <w:rPr>
          <w:rFonts w:eastAsia="georgia" w:cs="georgia" w:ascii="georgia" w:hAnsi="georgia"/>
          <w:color w:val="000000"/>
          <w:sz w:val="21"/>
        </w:rPr>
        <w:t xml:space="preserve">Upload EOB PDF from SimplePractice or TherapyNotes export</w:t>
      </w:r>
    </w:p>
    <w:p>
      <w:pPr>
        <w:numPr>
          <w:ilvl w:val="0"/>
          <w:numId w:val="17"/>
        </w:numPr>
        <w:spacing w:line="360" w:before="105" w:after="105" w:lineRule="auto"/>
      </w:pPr>
      <w:r>
        <w:rPr>
          <w:rFonts w:eastAsia="georgia" w:cs="georgia" w:ascii="georgia" w:hAnsi="georgia"/>
          <w:color w:val="000000"/>
          <w:sz w:val="21"/>
        </w:rPr>
        <w:t xml:space="preserve">Paste denial text from clearinghouse rejection email</w:t>
      </w:r>
    </w:p>
    <w:p>
      <w:pPr>
        <w:numPr>
          <w:ilvl w:val="0"/>
          <w:numId w:val="17"/>
        </w:numPr>
        <w:spacing w:line="360" w:before="105" w:after="105" w:lineRule="auto"/>
      </w:pPr>
      <w:r>
        <w:rPr>
          <w:rFonts w:eastAsia="georgia" w:cs="georgia" w:ascii="georgia" w:hAnsi="georgia"/>
          <w:color w:val="000000"/>
          <w:sz w:val="21"/>
        </w:rPr>
        <w:t xml:space="preserve">Forward denial email to </w:t>
      </w:r>
      <w:hyperlink r:id="rId8">
        <w:r>
          <w:rPr>
            <w:rFonts w:eastAsia="helvetica neue" w:cs="helvetica neue" w:ascii="helvetica neue" w:hAnsi="helvetica neue"/>
            <w:color w:val="#000"/>
            <w:sz w:val="21"/>
            <w:u w:val="single"/>
          </w:rPr>
          <w:t xml:space="preserve">denial-intake@claimcompass.com</w:t>
        </w:r>
      </w:hyperlink>
      <w:r>
        <w:rPr>
          <w:rFonts w:eastAsia="georgia" w:cs="georgia" w:ascii="georgia" w:hAnsi="georgia"/>
          <w:color w:val="000000"/>
          <w:sz w:val="21"/>
        </w:rPr>
        <w:t xml:space="preserve"> (V1 feature)</w:t>
      </w:r>
    </w:p>
    <w:p>
      <w:pPr>
        <w:numPr>
          <w:ilvl w:val="0"/>
          <w:numId w:val="17"/>
        </w:numPr>
        <w:spacing w:line="360" w:before="105" w:after="105" w:lineRule="auto"/>
      </w:pPr>
      <w:r>
        <w:rPr>
          <w:rFonts w:eastAsia="georgia" w:cs="georgia" w:ascii="georgia" w:hAnsi="georgia"/>
          <w:color w:val="000000"/>
          <w:sz w:val="21"/>
        </w:rPr>
        <w:t xml:space="preserve">Screenshot denial from payer portal, upload via drag-and-drop</w:t>
      </w:r>
    </w:p>
    <w:p>
      <w:pPr>
        <w:spacing w:line="360" w:after="210" w:lineRule="auto"/>
      </w:pPr>
      <w:r>
        <w:rPr>
          <w:rFonts w:eastAsia="georgia" w:cs="georgia" w:ascii="georgia" w:hAnsi="georgia"/>
          <w:color w:val="000000"/>
        </w:rPr>
        <w:t xml:space="preserve">This removes gating dependencies on EHR vendor partnerships while maintaining compatibility with the 90%+ of therapists using SimplePractice or TherapyNotes. Once ClaimCompass has 500-1,000 paying users, it can approach EHR vendors from a position of strength: "Our mutual customers are already using us. Let's build a native integration to make their lives easier."[^6]</w:t>
      </w:r>
    </w:p>
    <w:p>
      <w:pPr>
        <w:spacing w:line="360" w:before="315" w:after="105" w:lineRule="auto"/>
        <w:ind w:left="-30"/>
        <w:jc w:val="left"/>
      </w:pPr>
      <w:bookmarkStart w:id="22" w:name="competitive_positioning_matrix"/>
      <w:r>
        <w:rPr>
          <w:rFonts w:eastAsia="georgia" w:cs="georgia" w:ascii="georgia" w:hAnsi="georgia"/>
          <w:b/>
          <w:color w:val="000000"/>
          <w:sz w:val="24"/>
        </w:rPr>
        <w:t xml:space="preserve">Competitive Positioning Matrix</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ClaimCompass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AppealGenius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Blueprint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Anomaly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Authsnap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Target User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Solo/small-group therapists (1-5 clinicians)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Clinics and agencies (5+ clinicians)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Solo therapists replacing EHR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provider groups and health systems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Hospitals and medical practices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Job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Denial triage + credentialing health + action recommendation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Appeal letter generation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practice management EHR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Denial prediction + payer intelligence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appeal automation with RN/MD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Pricing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$79-$249/month, usage-gated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$1,000/month + $2,500 setup ($12,500 annual)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$39-$79/month EHR subscription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Enterprise custom pricing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Enterprise custom pricing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EHR Strategy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EHR-agnostic, works with existing SimplePractice/TherapyNotes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Unknown, likely EHR-agnostic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EHR replacement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Integrates with existing EHR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Integrates with existing EHR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Specialization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Behavioral health therapy (90791, 90834, 90837, telehealth)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Multi-specialty with behavioral health support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Behavioral health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Multi-specialty, hospital-focused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Medical/surgical specialties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Credentialing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Credentialing Health Monitor (CAQH, license, NPI, sanctions)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emphasized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emphasized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emphasized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emphasized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Prevention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Repeat-denial rules library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emphasized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emphasized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Predictive denial scoring pre-submission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Pattern identification post-appeal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Best For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Therapists who need decision support on denials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Clinics needing volume appeal generation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Therapists willing to switch EHR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billing teams managing complex payer contracts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Hospitals fighting high-dollar clinical denials</w:t>
            </w:r>
          </w:p>
        </w:tc>
      </w:tr>
    </w:tbl>
    <w:p>
      <w:pPr>
        <w:spacing w:lineRule="auto"/>
      </w:pPr>
    </w:p>
    <w:p>
      <w:pPr>
        <w:spacing w:line="360" w:after="210" w:lineRule="auto"/>
      </w:pPr>
      <w:r>
        <w:rPr>
          <w:rFonts w:eastAsia="georgia" w:cs="georgia" w:ascii="georgia" w:hAnsi="georgia"/>
          <w:color w:val="000000"/>
        </w:rPr>
        <w:t xml:space="preserve">This positioning matrix clarifies that ClaimCompass competes on a different axis: not "better appeals" but "better triage and credentialing health for behavioral health solo/small practices at accessible pricing."</w:t>
      </w:r>
    </w:p>
    <w:p>
      <w:pPr>
        <w:spacing w:line="360" w:before="315" w:after="105" w:lineRule="auto"/>
        <w:ind w:left="-30"/>
        <w:jc w:val="left"/>
      </w:pPr>
      <w:bookmarkStart w:id="23" w:name="risk_analysis_and_mitigation"/>
      <w:r>
        <w:rPr>
          <w:rFonts w:eastAsia="georgia" w:cs="georgia" w:ascii="georgia" w:hAnsi="georgia"/>
          <w:b/>
          <w:color w:val="000000"/>
          <w:sz w:val="24"/>
        </w:rPr>
        <w:t xml:space="preserve">Risk Analysis and Mitigation</w:t>
      </w:r>
      <w:bookmarkEnd w:id="23"/>
    </w:p>
    <w:p>
      <w:pPr>
        <w:spacing w:line="360" w:before="315" w:after="105" w:lineRule="auto"/>
        <w:ind w:left="-30"/>
        <w:jc w:val="left"/>
      </w:pPr>
      <w:bookmarkStart w:id="24" w:name="risk_1_payer_playbook_quality_is_e7c0ae"/>
      <w:r>
        <w:rPr>
          <w:rFonts w:eastAsia="georgia" w:cs="georgia" w:ascii="georgia" w:hAnsi="georgia"/>
          <w:b/>
          <w:color w:val="000000"/>
          <w:sz w:val="24"/>
        </w:rPr>
        <w:t xml:space="preserve">Risk 1: Payer Playbook Quality is the Real Moat — Building It is Slow and Expensive</w:t>
      </w:r>
      <w:bookmarkEnd w:id="24"/>
    </w:p>
    <w:p>
      <w:pPr>
        <w:spacing w:line="360" w:after="210" w:lineRule="auto"/>
      </w:pPr>
      <w:r>
        <w:rPr>
          <w:rFonts w:eastAsia="georgia" w:cs="georgia" w:ascii="georgia" w:hAnsi="georgia"/>
          <w:b/>
          <w:color w:val="000000"/>
        </w:rPr>
        <w:t xml:space="preserve">Risk</w:t>
      </w:r>
      <w:r>
        <w:rPr>
          <w:rFonts w:eastAsia="georgia" w:cs="georgia" w:ascii="georgia" w:hAnsi="georgia"/>
          <w:color w:val="000000"/>
        </w:rPr>
        <w:t xml:space="preserve">: The triage accuracy and action recommendations are only as good as the behavioral-health-specific payer playbooks. Building and maintaining these playbooks requires deep domain expertise and constant updates as payer policies change. If playbook quality is poor, the product becomes a liability (wrong recommendations → lost revenue) rather than an asset.</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w:t>
      </w:r>
    </w:p>
    <w:p>
      <w:pPr>
        <w:numPr>
          <w:ilvl w:val="0"/>
          <w:numId w:val="18"/>
        </w:numPr>
        <w:spacing w:line="360" w:before="105" w:after="105" w:lineRule="auto"/>
      </w:pPr>
      <w:r>
        <w:rPr>
          <w:rFonts w:eastAsia="georgia" w:cs="georgia" w:ascii="georgia" w:hAnsi="georgia"/>
          <w:color w:val="000000"/>
          <w:sz w:val="21"/>
        </w:rPr>
        <w:t xml:space="preserve">Hire part-time behavioral health billing advisor from day 1</w:t>
      </w:r>
    </w:p>
    <w:p>
      <w:pPr>
        <w:numPr>
          <w:ilvl w:val="0"/>
          <w:numId w:val="18"/>
        </w:numPr>
        <w:spacing w:line="360" w:before="105" w:after="105" w:lineRule="auto"/>
      </w:pPr>
      <w:r>
        <w:rPr>
          <w:rFonts w:eastAsia="georgia" w:cs="georgia" w:ascii="georgia" w:hAnsi="georgia"/>
          <w:color w:val="000000"/>
          <w:sz w:val="21"/>
        </w:rPr>
        <w:t xml:space="preserve">Founder-led playbook curation for top 10 payers (BCBS, Aetna, UHC, Cigna, Humana, Anthem, Optum, Centene, Molina, Medicaid state-specific) covering top 8 BH CPTs (90791, 90832, 90834, 90837, 90846, 90847, 989X1, 989X2)</w:t>
      </w:r>
    </w:p>
    <w:p>
      <w:pPr>
        <w:numPr>
          <w:ilvl w:val="0"/>
          <w:numId w:val="18"/>
        </w:numPr>
        <w:spacing w:line="360" w:before="105" w:after="105" w:lineRule="auto"/>
      </w:pPr>
      <w:r>
        <w:rPr>
          <w:rFonts w:eastAsia="georgia" w:cs="georgia" w:ascii="georgia" w:hAnsi="georgia"/>
          <w:color w:val="000000"/>
          <w:sz w:val="21"/>
        </w:rPr>
        <w:t xml:space="preserve">LLM-assisted drafting with mandatory advisor review before publishing to production</w:t>
      </w:r>
    </w:p>
    <w:p>
      <w:pPr>
        <w:numPr>
          <w:ilvl w:val="0"/>
          <w:numId w:val="18"/>
        </w:numPr>
        <w:spacing w:line="360" w:before="105" w:after="105" w:lineRule="auto"/>
      </w:pPr>
      <w:r>
        <w:rPr>
          <w:rFonts w:eastAsia="georgia" w:cs="georgia" w:ascii="georgia" w:hAnsi="georgia"/>
          <w:color w:val="000000"/>
          <w:sz w:val="21"/>
        </w:rPr>
        <w:t xml:space="preserve">Ship narrow (10 payers, 8 CPTs) before broadening — depth over breadth</w:t>
      </w:r>
    </w:p>
    <w:p>
      <w:pPr>
        <w:numPr>
          <w:ilvl w:val="0"/>
          <w:numId w:val="18"/>
        </w:numPr>
        <w:spacing w:line="360" w:before="105" w:after="105" w:lineRule="auto"/>
      </w:pPr>
      <w:r>
        <w:rPr>
          <w:rFonts w:eastAsia="georgia" w:cs="georgia" w:ascii="georgia" w:hAnsi="georgia"/>
          <w:color w:val="000000"/>
          <w:sz w:val="21"/>
        </w:rPr>
        <w:t xml:space="preserve">Eval harness with 200 gold-standard denials (synthesized + de-identified real cases) must achieve 90%+ pass rate before launch</w:t>
      </w:r>
    </w:p>
    <w:p>
      <w:pPr>
        <w:numPr>
          <w:ilvl w:val="0"/>
          <w:numId w:val="18"/>
        </w:numPr>
        <w:spacing w:line="360" w:before="105" w:after="105" w:lineRule="auto"/>
      </w:pPr>
      <w:r>
        <w:rPr>
          <w:rFonts w:eastAsia="georgia" w:cs="georgia" w:ascii="georgia" w:hAnsi="georgia"/>
          <w:color w:val="000000"/>
          <w:sz w:val="21"/>
        </w:rPr>
        <w:t xml:space="preserve">Per-denial cost telemetry from day 1 to monitor LLM accuracy and prompt cache effectiveness</w:t>
      </w:r>
    </w:p>
    <w:p>
      <w:pPr>
        <w:spacing w:line="360" w:after="210" w:lineRule="auto"/>
      </w:pPr>
      <w:r>
        <w:rPr>
          <w:rFonts w:eastAsia="georgia" w:cs="georgia" w:ascii="georgia" w:hAnsi="georgia"/>
          <w:b/>
          <w:color w:val="000000"/>
        </w:rPr>
        <w:t xml:space="preserve">Success Metric</w:t>
      </w:r>
      <w:r>
        <w:rPr>
          <w:rFonts w:eastAsia="georgia" w:cs="georgia" w:ascii="georgia" w:hAnsi="georgia"/>
          <w:color w:val="000000"/>
        </w:rPr>
        <w:t xml:space="preserve">: 90%+ user rating on "Was this recommendation helpful?" in-product feedback after triage.</w:t>
      </w:r>
    </w:p>
    <w:p>
      <w:pPr>
        <w:spacing w:line="360" w:before="315" w:after="105" w:lineRule="auto"/>
        <w:ind w:left="-30"/>
        <w:jc w:val="left"/>
      </w:pPr>
      <w:bookmarkStart w:id="25" w:name="risk_2_ocr_failure_on_payer_porta_db8db4"/>
      <w:r>
        <w:rPr>
          <w:rFonts w:eastAsia="georgia" w:cs="georgia" w:ascii="georgia" w:hAnsi="georgia"/>
          <w:b/>
          <w:color w:val="000000"/>
          <w:sz w:val="24"/>
        </w:rPr>
        <w:t xml:space="preserve">Risk 2: OCR Failure on Payer Portal Screenshots and Unusual EOB Layouts</w:t>
      </w:r>
      <w:bookmarkEnd w:id="25"/>
    </w:p>
    <w:p>
      <w:pPr>
        <w:spacing w:line="360" w:after="210" w:lineRule="auto"/>
      </w:pPr>
      <w:r>
        <w:rPr>
          <w:rFonts w:eastAsia="georgia" w:cs="georgia" w:ascii="georgia" w:hAnsi="georgia"/>
          <w:b/>
          <w:color w:val="000000"/>
        </w:rPr>
        <w:t xml:space="preserve">Risk</w:t>
      </w:r>
      <w:r>
        <w:rPr>
          <w:rFonts w:eastAsia="georgia" w:cs="georgia" w:ascii="georgia" w:hAnsi="georgia"/>
          <w:color w:val="000000"/>
        </w:rPr>
        <w:t xml:space="preserve">: Behavioral health EOBs come in hundreds of formats (payer-specific layouts, clearinghouse variations, portal screenshots with low resolution). If OCR fails to extract structured data reliably, users abandon the product in frustration after upload.</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w:t>
      </w:r>
    </w:p>
    <w:p>
      <w:pPr>
        <w:numPr>
          <w:ilvl w:val="0"/>
          <w:numId w:val="19"/>
        </w:numPr>
        <w:spacing w:line="360" w:before="105" w:after="105" w:lineRule="auto"/>
      </w:pPr>
      <w:r>
        <w:rPr>
          <w:rFonts w:eastAsia="georgia" w:cs="georgia" w:ascii="georgia" w:hAnsi="georgia"/>
          <w:color w:val="000000"/>
          <w:sz w:val="21"/>
        </w:rPr>
        <w:t xml:space="preserve">Tiered Textract strategy: DetectDocumentText ($0.0015/page) as default, escalate to AnalyzeDocument TABLES ($0.015/page) or FORMS_TABLES ($0.065/page) on confidence failure</w:t>
      </w:r>
    </w:p>
    <w:p>
      <w:pPr>
        <w:numPr>
          <w:ilvl w:val="0"/>
          <w:numId w:val="19"/>
        </w:numPr>
        <w:spacing w:line="360" w:before="105" w:after="105" w:lineRule="auto"/>
      </w:pPr>
      <w:r>
        <w:rPr>
          <w:rFonts w:eastAsia="georgia" w:cs="georgia" w:ascii="georgia" w:hAnsi="georgia"/>
          <w:color w:val="000000"/>
          <w:sz w:val="21"/>
        </w:rPr>
        <w:t xml:space="preserve">Per-denial cost telemetry tracks OCR cost per page to identify expensive documents early</w:t>
      </w:r>
    </w:p>
    <w:p>
      <w:pPr>
        <w:numPr>
          <w:ilvl w:val="0"/>
          <w:numId w:val="19"/>
        </w:numPr>
        <w:spacing w:line="360" w:before="105" w:after="105" w:lineRule="auto"/>
      </w:pPr>
      <w:r>
        <w:rPr>
          <w:rFonts w:eastAsia="georgia" w:cs="georgia" w:ascii="georgia" w:hAnsi="georgia"/>
          <w:color w:val="000000"/>
          <w:sz w:val="21"/>
        </w:rPr>
        <w:t xml:space="preserve">Manual paste fallback always available: "OCR struggled with this document. Copy/paste the denial text instead."</w:t>
      </w:r>
    </w:p>
    <w:p>
      <w:pPr>
        <w:numPr>
          <w:ilvl w:val="0"/>
          <w:numId w:val="19"/>
        </w:numPr>
        <w:spacing w:line="360" w:before="105" w:after="105" w:lineRule="auto"/>
      </w:pPr>
      <w:r>
        <w:rPr>
          <w:rFonts w:eastAsia="georgia" w:cs="georgia" w:ascii="georgia" w:hAnsi="georgia"/>
          <w:color w:val="000000"/>
          <w:sz w:val="21"/>
        </w:rPr>
        <w:t xml:space="preserve">Route low-confidence OCR results to "Needs human review" bucket with side-by-side payer text and best-guess interpretation</w:t>
      </w:r>
    </w:p>
    <w:p>
      <w:pPr>
        <w:numPr>
          <w:ilvl w:val="0"/>
          <w:numId w:val="19"/>
        </w:numPr>
        <w:spacing w:line="360" w:before="105" w:after="105" w:lineRule="auto"/>
      </w:pPr>
      <w:r>
        <w:rPr>
          <w:rFonts w:eastAsia="georgia" w:cs="georgia" w:ascii="georgia" w:hAnsi="georgia"/>
          <w:color w:val="000000"/>
          <w:sz w:val="21"/>
        </w:rPr>
        <w:t xml:space="preserve">User feedback loop: "Was this denial decoded correctly?" flags OCR failures for training data improvement</w:t>
      </w:r>
    </w:p>
    <w:p>
      <w:pPr>
        <w:spacing w:line="360" w:after="210" w:lineRule="auto"/>
      </w:pPr>
      <w:r>
        <w:rPr>
          <w:rFonts w:eastAsia="georgia" w:cs="georgia" w:ascii="georgia" w:hAnsi="georgia"/>
          <w:b/>
          <w:color w:val="000000"/>
        </w:rPr>
        <w:t xml:space="preserve">Success Metric</w:t>
      </w:r>
      <w:r>
        <w:rPr>
          <w:rFonts w:eastAsia="georgia" w:cs="georgia" w:ascii="georgia" w:hAnsi="georgia"/>
          <w:color w:val="000000"/>
        </w:rPr>
        <w:t xml:space="preserve">: OCR confidence &gt; 0.8 on 80%+ of EOB uploads within first 90 days.</w:t>
      </w:r>
    </w:p>
    <w:p>
      <w:pPr>
        <w:spacing w:line="360" w:before="315" w:after="105" w:lineRule="auto"/>
        <w:ind w:left="-30"/>
        <w:jc w:val="left"/>
      </w:pPr>
      <w:bookmarkStart w:id="26" w:name="risk_3_therapists_won_t_upload_ph_6c07a6"/>
      <w:r>
        <w:rPr>
          <w:rFonts w:eastAsia="georgia" w:cs="georgia" w:ascii="georgia" w:hAnsi="georgia"/>
          <w:b/>
          <w:color w:val="000000"/>
          <w:sz w:val="24"/>
        </w:rPr>
        <w:t xml:space="preserve">Risk 3: Therapists Won't Upload PHI to a New SaaS Without Trust Signals</w:t>
      </w:r>
      <w:bookmarkEnd w:id="26"/>
    </w:p>
    <w:p>
      <w:pPr>
        <w:spacing w:line="360" w:after="210" w:lineRule="auto"/>
      </w:pPr>
      <w:r>
        <w:rPr>
          <w:rFonts w:eastAsia="georgia" w:cs="georgia" w:ascii="georgia" w:hAnsi="georgia"/>
          <w:b/>
          <w:color w:val="000000"/>
        </w:rPr>
        <w:t xml:space="preserve">Risk</w:t>
      </w:r>
      <w:r>
        <w:rPr>
          <w:rFonts w:eastAsia="georgia" w:cs="georgia" w:ascii="georgia" w:hAnsi="georgia"/>
          <w:color w:val="000000"/>
        </w:rPr>
        <w:t xml:space="preserve">: Behavioral health practices handle sensitive patient mental health data. Uploading EOBs (which contain patient names, diagnoses, dates of service) to a new SaaS requires significant trust that ClaimCompass won't mishandle or breach PHI.</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w:t>
      </w:r>
    </w:p>
    <w:p>
      <w:pPr>
        <w:numPr>
          <w:ilvl w:val="0"/>
          <w:numId w:val="20"/>
        </w:numPr>
        <w:spacing w:line="360" w:before="105" w:after="105" w:lineRule="auto"/>
      </w:pPr>
      <w:r>
        <w:rPr>
          <w:rFonts w:eastAsia="georgia" w:cs="georgia" w:ascii="georgia" w:hAnsi="georgia"/>
          <w:color w:val="000000"/>
          <w:sz w:val="21"/>
        </w:rPr>
        <w:t xml:space="preserve">Day-1 BAA with AWS covering all services (Bedrock, Textract, RDS, S3, SQS, Cognito, SES, CloudWatch)</w:t>
      </w:r>
    </w:p>
    <w:p>
      <w:pPr>
        <w:numPr>
          <w:ilvl w:val="0"/>
          <w:numId w:val="20"/>
        </w:numPr>
        <w:spacing w:line="360" w:before="105" w:after="105" w:lineRule="auto"/>
      </w:pPr>
      <w:r>
        <w:rPr>
          <w:rFonts w:eastAsia="georgia" w:cs="georgia" w:ascii="georgia" w:hAnsi="georgia"/>
          <w:color w:val="000000"/>
          <w:sz w:val="21"/>
        </w:rPr>
        <w:t xml:space="preserve">Plain-language privacy page explaining HIPAA safeguards, data encryption, retention policies</w:t>
      </w:r>
    </w:p>
    <w:p>
      <w:pPr>
        <w:numPr>
          <w:ilvl w:val="0"/>
          <w:numId w:val="20"/>
        </w:numPr>
        <w:spacing w:line="360" w:before="105" w:after="105" w:lineRule="auto"/>
      </w:pPr>
      <w:r>
        <w:rPr>
          <w:rFonts w:eastAsia="georgia" w:cs="georgia" w:ascii="georgia" w:hAnsi="georgia"/>
          <w:color w:val="000000"/>
          <w:sz w:val="21"/>
        </w:rPr>
        <w:t xml:space="preserve">SOC 2 readiness by Q1 2027, full Type I audit when customer demand justifies cost</w:t>
      </w:r>
    </w:p>
    <w:p>
      <w:pPr>
        <w:numPr>
          <w:ilvl w:val="0"/>
          <w:numId w:val="20"/>
        </w:numPr>
        <w:spacing w:line="360" w:before="105" w:after="105" w:lineRule="auto"/>
      </w:pPr>
      <w:r>
        <w:rPr>
          <w:rFonts w:eastAsia="georgia" w:cs="georgia" w:ascii="georgia" w:hAnsi="georgia"/>
          <w:color w:val="000000"/>
          <w:sz w:val="21"/>
        </w:rPr>
        <w:t xml:space="preserve">"Decode without signup" demo on landing page using synthetic denial data (no PHI required)</w:t>
      </w:r>
    </w:p>
    <w:p>
      <w:pPr>
        <w:numPr>
          <w:ilvl w:val="0"/>
          <w:numId w:val="20"/>
        </w:numPr>
        <w:spacing w:line="360" w:before="105" w:after="105" w:lineRule="auto"/>
      </w:pPr>
      <w:r>
        <w:rPr>
          <w:rFonts w:eastAsia="georgia" w:cs="georgia" w:ascii="georgia" w:hAnsi="georgia"/>
          <w:color w:val="000000"/>
          <w:sz w:val="21"/>
        </w:rPr>
        <w:t xml:space="preserve">Vercel-PHI boundary visibly enforced: marketing site explains "Your PHI never touches Vercel servers — all PHI stays in AWS with HIPAA compliance"</w:t>
      </w:r>
    </w:p>
    <w:p>
      <w:pPr>
        <w:numPr>
          <w:ilvl w:val="0"/>
          <w:numId w:val="20"/>
        </w:numPr>
        <w:spacing w:line="360" w:before="105" w:after="105" w:lineRule="auto"/>
      </w:pPr>
      <w:r>
        <w:rPr>
          <w:rFonts w:eastAsia="georgia" w:cs="georgia" w:ascii="georgia" w:hAnsi="georgia"/>
          <w:color w:val="000000"/>
          <w:sz w:val="21"/>
        </w:rPr>
        <w:t xml:space="preserve">Founder-led transparency: publish architecture diagram showing PHI data flow, open-source compliance checklist, public incident response plan</w:t>
      </w:r>
    </w:p>
    <w:p>
      <w:pPr>
        <w:spacing w:line="360" w:after="210" w:lineRule="auto"/>
      </w:pPr>
      <w:r>
        <w:rPr>
          <w:rFonts w:eastAsia="georgia" w:cs="georgia" w:ascii="georgia" w:hAnsi="georgia"/>
          <w:b/>
          <w:color w:val="000000"/>
        </w:rPr>
        <w:t xml:space="preserve">Success Metric</w:t>
      </w:r>
      <w:r>
        <w:rPr>
          <w:rFonts w:eastAsia="georgia" w:cs="georgia" w:ascii="georgia" w:hAnsi="georgia"/>
          <w:color w:val="000000"/>
        </w:rPr>
        <w:t xml:space="preserve">: Trial-to-paid conversion &gt; 40% (industry benchmark for healthcare SaaS).</w:t>
      </w:r>
    </w:p>
    <w:p>
      <w:pPr>
        <w:spacing w:line="360" w:before="315" w:after="105" w:lineRule="auto"/>
        <w:ind w:left="-30"/>
        <w:jc w:val="left"/>
      </w:pPr>
      <w:bookmarkStart w:id="27" w:name="risk_4_credentialed_with_payer_x_44b539"/>
      <w:r>
        <w:rPr>
          <w:rFonts w:eastAsia="georgia" w:cs="georgia" w:ascii="georgia" w:hAnsi="georgia"/>
          <w:b/>
          <w:color w:val="000000"/>
          <w:sz w:val="24"/>
        </w:rPr>
        <w:t xml:space="preserve">Risk 4: "Credentialed with Payer X" Overclaim Risk in Marketing or UI</w:t>
      </w:r>
      <w:bookmarkEnd w:id="27"/>
    </w:p>
    <w:p>
      <w:pPr>
        <w:spacing w:line="360" w:after="210" w:lineRule="auto"/>
      </w:pPr>
      <w:r>
        <w:rPr>
          <w:rFonts w:eastAsia="georgia" w:cs="georgia" w:ascii="georgia" w:hAnsi="georgia"/>
          <w:b/>
          <w:color w:val="000000"/>
        </w:rPr>
        <w:t xml:space="preserve">Risk</w:t>
      </w:r>
      <w:r>
        <w:rPr>
          <w:rFonts w:eastAsia="georgia" w:cs="georgia" w:ascii="georgia" w:hAnsi="georgia"/>
          <w:color w:val="000000"/>
        </w:rPr>
        <w:t xml:space="preserve">: ClaimCompass surfaces credentialing risk signals from public datasets (NPPES, OIG LEIE, </w:t>
      </w:r>
      <w:hyperlink r:id="rId9">
        <w:r>
          <w:rPr>
            <w:rFonts w:eastAsia="helvetica neue" w:cs="helvetica neue" w:ascii="helvetica neue" w:hAnsi="helvetica neue"/>
            <w:color w:val="#000"/>
            <w:u w:val="single"/>
          </w:rPr>
          <w:t xml:space="preserve">SAM.gov</w:t>
        </w:r>
      </w:hyperlink>
      <w:r>
        <w:rPr>
          <w:rFonts w:eastAsia="georgia" w:cs="georgia" w:ascii="georgia" w:hAnsi="georgia"/>
          <w:color w:val="000000"/>
        </w:rPr>
        <w:t xml:space="preserve">, CAQH, payer FHIR directories) but cannot authoritatively verify payer enrollment. If marketing or UI language overstates this, ClaimCompass faces liability when therapist bills insurance based on product's "you're credentialed" message but payer rejects claims.</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w:t>
      </w:r>
    </w:p>
    <w:p>
      <w:pPr>
        <w:numPr>
          <w:ilvl w:val="0"/>
          <w:numId w:val="21"/>
        </w:numPr>
        <w:spacing w:line="360" w:before="105" w:after="105" w:lineRule="auto"/>
      </w:pPr>
      <w:r>
        <w:rPr>
          <w:rFonts w:eastAsia="georgia" w:cs="georgia" w:ascii="georgia" w:hAnsi="georgia"/>
          <w:color w:val="000000"/>
          <w:sz w:val="21"/>
        </w:rPr>
        <w:t xml:space="preserve">Strict "risk signals" language in UI: "Last CAQH re-attestation: 105 days ago. Verify directly with payers that your panel status is active."</w:t>
      </w:r>
    </w:p>
    <w:p>
      <w:pPr>
        <w:numPr>
          <w:ilvl w:val="0"/>
          <w:numId w:val="21"/>
        </w:numPr>
        <w:spacing w:line="360" w:before="105" w:after="105" w:lineRule="auto"/>
      </w:pPr>
      <w:r>
        <w:rPr>
          <w:rFonts w:eastAsia="georgia" w:cs="georgia" w:ascii="georgia" w:hAnsi="georgia"/>
          <w:color w:val="000000"/>
          <w:sz w:val="21"/>
        </w:rPr>
        <w:t xml:space="preserve">Generated artifacts (appeal letters, call scripts, corrected claim guidance) framed as "drafts for review — never auto-filed"</w:t>
      </w:r>
    </w:p>
    <w:p>
      <w:pPr>
        <w:numPr>
          <w:ilvl w:val="0"/>
          <w:numId w:val="21"/>
        </w:numPr>
        <w:spacing w:line="360" w:before="105" w:after="105" w:lineRule="auto"/>
      </w:pPr>
      <w:r>
        <w:rPr>
          <w:rFonts w:eastAsia="georgia" w:cs="georgia" w:ascii="georgia" w:hAnsi="georgia"/>
          <w:color w:val="000000"/>
          <w:sz w:val="21"/>
        </w:rPr>
        <w:t xml:space="preserve">Legal review of all marketing copy to ensure no "you are credentialed" or "we verify enrollment" claims</w:t>
      </w:r>
    </w:p>
    <w:p>
      <w:pPr>
        <w:numPr>
          <w:ilvl w:val="0"/>
          <w:numId w:val="21"/>
        </w:numPr>
        <w:spacing w:line="360" w:before="105" w:after="105" w:lineRule="auto"/>
      </w:pPr>
      <w:r>
        <w:rPr>
          <w:rFonts w:eastAsia="georgia" w:cs="georgia" w:ascii="georgia" w:hAnsi="georgia"/>
          <w:color w:val="000000"/>
          <w:sz w:val="21"/>
        </w:rPr>
        <w:t xml:space="preserve">Prominent disclaimers: "ClaimCompass provides risk signals from public datasets. We do not assert payer enrollment. Verify directly with payers before billing."</w:t>
      </w:r>
    </w:p>
    <w:p>
      <w:pPr>
        <w:numPr>
          <w:ilvl w:val="0"/>
          <w:numId w:val="21"/>
        </w:numPr>
        <w:spacing w:line="360" w:before="105" w:after="105" w:lineRule="auto"/>
      </w:pPr>
      <w:r>
        <w:rPr>
          <w:rFonts w:eastAsia="georgia" w:cs="georgia" w:ascii="georgia" w:hAnsi="georgia"/>
          <w:color w:val="000000"/>
          <w:sz w:val="21"/>
        </w:rPr>
        <w:t xml:space="preserve">User onboarding includes explicit acknowledgment: "I understand ClaimCompass surfaces signals only, not enrollment verification."</w:t>
      </w:r>
    </w:p>
    <w:p>
      <w:pPr>
        <w:spacing w:line="360" w:after="210" w:lineRule="auto"/>
      </w:pPr>
      <w:r>
        <w:rPr>
          <w:rFonts w:eastAsia="georgia" w:cs="georgia" w:ascii="georgia" w:hAnsi="georgia"/>
          <w:b/>
          <w:color w:val="000000"/>
        </w:rPr>
        <w:t xml:space="preserve">Success Metric</w:t>
      </w:r>
      <w:r>
        <w:rPr>
          <w:rFonts w:eastAsia="georgia" w:cs="georgia" w:ascii="georgia" w:hAnsi="georgia"/>
          <w:color w:val="000000"/>
        </w:rPr>
        <w:t xml:space="preserve">: Zero user complaints or liability incidents related to "credentialed with X" miscommunication in first 12 months.</w:t>
      </w:r>
    </w:p>
    <w:p>
      <w:pPr>
        <w:spacing w:line="360" w:before="315" w:after="105" w:lineRule="auto"/>
        <w:ind w:left="-30"/>
        <w:jc w:val="left"/>
      </w:pPr>
      <w:bookmarkStart w:id="28" w:name="risk_5_llm_cost_explodes_with_usa_b33b7c"/>
      <w:r>
        <w:rPr>
          <w:rFonts w:eastAsia="georgia" w:cs="georgia" w:ascii="georgia" w:hAnsi="georgia"/>
          <w:b/>
          <w:color w:val="000000"/>
          <w:sz w:val="24"/>
        </w:rPr>
        <w:t xml:space="preserve">Risk 5: LLM Cost Explodes with Usage Due to Low Prompt Cache Hit Rate</w:t>
      </w:r>
      <w:bookmarkEnd w:id="28"/>
    </w:p>
    <w:p>
      <w:pPr>
        <w:spacing w:line="360" w:after="210" w:lineRule="auto"/>
      </w:pPr>
      <w:r>
        <w:rPr>
          <w:rFonts w:eastAsia="georgia" w:cs="georgia" w:ascii="georgia" w:hAnsi="georgia"/>
          <w:b/>
          <w:color w:val="000000"/>
        </w:rPr>
        <w:t xml:space="preserve">Risk</w:t>
      </w:r>
      <w:r>
        <w:rPr>
          <w:rFonts w:eastAsia="georgia" w:cs="georgia" w:ascii="georgia" w:hAnsi="georgia"/>
          <w:color w:val="000000"/>
        </w:rPr>
        <w:t xml:space="preserve">: Bedrock prompt caching offers up to 90% cost reduction on cache hits, but cache TTL is 5 minutes. At low concurrency (solo therapist processing 3 denials over 2 hours), effective cache hit rate may be below 50%, making per-denial LLM cost prohibitively expensive ($0.10-$0.30 instead of $0.02-$0.05).</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w:t>
      </w:r>
    </w:p>
    <w:p>
      <w:pPr>
        <w:numPr>
          <w:ilvl w:val="0"/>
          <w:numId w:val="22"/>
        </w:numPr>
        <w:spacing w:line="360" w:before="105" w:after="105" w:lineRule="auto"/>
      </w:pPr>
      <w:r>
        <w:rPr>
          <w:rFonts w:eastAsia="georgia" w:cs="georgia" w:ascii="georgia" w:hAnsi="georgia"/>
          <w:color w:val="000000"/>
          <w:sz w:val="21"/>
        </w:rPr>
        <w:t xml:space="preserve">Treat prompt caching as upside, not guaranteed savings — cost model assumes conservative 40-60% cache hit rate, with separate "stretch scenario" showing 80%+ upside</w:t>
      </w:r>
    </w:p>
    <w:p>
      <w:pPr>
        <w:numPr>
          <w:ilvl w:val="0"/>
          <w:numId w:val="22"/>
        </w:numPr>
        <w:spacing w:line="360" w:before="105" w:after="105" w:lineRule="auto"/>
      </w:pPr>
      <w:r>
        <w:rPr>
          <w:rFonts w:eastAsia="georgia" w:cs="georgia" w:ascii="georgia" w:hAnsi="georgia"/>
          <w:color w:val="000000"/>
          <w:sz w:val="21"/>
        </w:rPr>
        <w:t xml:space="preserve">Instrument LLM cost per denial from day 1: Sonnet input/output/cache-read/cache-write tokens labeled by payer + CPT shape</w:t>
      </w:r>
    </w:p>
    <w:p>
      <w:pPr>
        <w:numPr>
          <w:ilvl w:val="0"/>
          <w:numId w:val="22"/>
        </w:numPr>
        <w:spacing w:line="360" w:before="105" w:after="105" w:lineRule="auto"/>
      </w:pPr>
      <w:r>
        <w:rPr>
          <w:rFonts w:eastAsia="georgia" w:cs="georgia" w:ascii="georgia" w:hAnsi="georgia"/>
          <w:color w:val="000000"/>
          <w:sz w:val="21"/>
        </w:rPr>
        <w:t xml:space="preserve">Batch denials by payer/CPT when more than one is queued to increase cache hit likelihood</w:t>
      </w:r>
    </w:p>
    <w:p>
      <w:pPr>
        <w:numPr>
          <w:ilvl w:val="0"/>
          <w:numId w:val="22"/>
        </w:numPr>
        <w:spacing w:line="360" w:before="105" w:after="105" w:lineRule="auto"/>
      </w:pPr>
      <w:r>
        <w:rPr>
          <w:rFonts w:eastAsia="georgia" w:cs="georgia" w:ascii="georgia" w:hAnsi="georgia"/>
          <w:color w:val="000000"/>
          <w:sz w:val="21"/>
        </w:rPr>
        <w:t xml:space="preserve">Warm-up call for active payers at start of user session: pre-load payer playbook context into cache</w:t>
      </w:r>
    </w:p>
    <w:p>
      <w:pPr>
        <w:numPr>
          <w:ilvl w:val="0"/>
          <w:numId w:val="22"/>
        </w:numPr>
        <w:spacing w:line="360" w:before="105" w:after="105" w:lineRule="auto"/>
      </w:pPr>
      <w:r>
        <w:rPr>
          <w:rFonts w:eastAsia="georgia" w:cs="georgia" w:ascii="georgia" w:hAnsi="georgia"/>
          <w:color w:val="000000"/>
          <w:sz w:val="21"/>
        </w:rPr>
        <w:t xml:space="preserve">Aggressive Haiku-first routing: use Haiku ($0.25 per 1M input tokens) for cheap classification/extraction, reserve Sonnet ($3 per 1M input tokens) for quality-critical decoder/appeal steps</w:t>
      </w:r>
    </w:p>
    <w:p>
      <w:pPr>
        <w:numPr>
          <w:ilvl w:val="0"/>
          <w:numId w:val="22"/>
        </w:numPr>
        <w:spacing w:line="360" w:before="105" w:after="105" w:lineRule="auto"/>
      </w:pPr>
      <w:r>
        <w:rPr>
          <w:rFonts w:eastAsia="georgia" w:cs="georgia" w:ascii="georgia" w:hAnsi="georgia"/>
          <w:color w:val="000000"/>
          <w:sz w:val="21"/>
        </w:rPr>
        <w:t xml:space="preserve">Fallback to lower-cost models (Haiku instead of Sonnet) if per-denial cost exceeds $0.15 threshold</w:t>
      </w:r>
    </w:p>
    <w:p>
      <w:pPr>
        <w:spacing w:line="360" w:after="210" w:lineRule="auto"/>
      </w:pPr>
      <w:r>
        <w:rPr>
          <w:rFonts w:eastAsia="georgia" w:cs="georgia" w:ascii="georgia" w:hAnsi="georgia"/>
          <w:b/>
          <w:color w:val="000000"/>
        </w:rPr>
        <w:t xml:space="preserve">Success Metric</w:t>
      </w:r>
      <w:r>
        <w:rPr>
          <w:rFonts w:eastAsia="georgia" w:cs="georgia" w:ascii="georgia" w:hAnsi="georgia"/>
          <w:color w:val="000000"/>
        </w:rPr>
        <w:t xml:space="preserve">: Average per-denial LLM cost &lt; $0.08 at 1,000+ denials/month.</w:t>
      </w:r>
    </w:p>
    <w:p>
      <w:pPr>
        <w:spacing w:line="360" w:before="315" w:after="105" w:lineRule="auto"/>
        <w:ind w:left="-30"/>
        <w:jc w:val="left"/>
      </w:pPr>
      <w:bookmarkStart w:id="29" w:name="risk_6_competitive_response_from_ffe6b3"/>
      <w:r>
        <w:rPr>
          <w:rFonts w:eastAsia="georgia" w:cs="georgia" w:ascii="georgia" w:hAnsi="georgia"/>
          <w:b/>
          <w:color w:val="000000"/>
          <w:sz w:val="24"/>
        </w:rPr>
        <w:t xml:space="preserve">Risk 6: Competitive Response from Incumbents</w:t>
      </w:r>
      <w:bookmarkEnd w:id="29"/>
    </w:p>
    <w:p>
      <w:pPr>
        <w:spacing w:line="360" w:after="210" w:lineRule="auto"/>
      </w:pPr>
      <w:r>
        <w:rPr>
          <w:rFonts w:eastAsia="georgia" w:cs="georgia" w:ascii="georgia" w:hAnsi="georgia"/>
          <w:b/>
          <w:color w:val="000000"/>
        </w:rPr>
        <w:t xml:space="preserve">Risk</w:t>
      </w:r>
      <w:r>
        <w:rPr>
          <w:rFonts w:eastAsia="georgia" w:cs="georgia" w:ascii="georgia" w:hAnsi="georgia"/>
          <w:color w:val="000000"/>
        </w:rPr>
        <w:t xml:space="preserve">: SimplePractice, TherapyNotes, or AppealGenius add denial triage or credentialing health features, neutralizing ClaimCompass's differentiation.</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w:t>
      </w:r>
    </w:p>
    <w:p>
      <w:pPr>
        <w:numPr>
          <w:ilvl w:val="0"/>
          <w:numId w:val="23"/>
        </w:numPr>
        <w:spacing w:line="360" w:before="105" w:after="105" w:lineRule="auto"/>
      </w:pPr>
      <w:r>
        <w:rPr>
          <w:rFonts w:eastAsia="georgia" w:cs="georgia" w:ascii="georgia" w:hAnsi="georgia"/>
          <w:color w:val="000000"/>
          <w:sz w:val="21"/>
        </w:rPr>
        <w:t xml:space="preserve">Speed to market: 8-12 week MVP timeline allows first-mover advantage before incumbents recognize threat</w:t>
      </w:r>
    </w:p>
    <w:p>
      <w:pPr>
        <w:numPr>
          <w:ilvl w:val="0"/>
          <w:numId w:val="23"/>
        </w:numPr>
        <w:spacing w:line="360" w:before="105" w:after="105" w:lineRule="auto"/>
      </w:pPr>
      <w:r>
        <w:rPr>
          <w:rFonts w:eastAsia="georgia" w:cs="georgia" w:ascii="georgia" w:hAnsi="georgia"/>
          <w:color w:val="000000"/>
          <w:sz w:val="21"/>
        </w:rPr>
        <w:t xml:space="preserve">Payer playbook depth as moat: curated behavioral-health-specific knowledge base is hard to replicate without domain expertise</w:t>
      </w:r>
    </w:p>
    <w:p>
      <w:pPr>
        <w:numPr>
          <w:ilvl w:val="0"/>
          <w:numId w:val="23"/>
        </w:numPr>
        <w:spacing w:line="360" w:before="105" w:after="105" w:lineRule="auto"/>
      </w:pPr>
      <w:r>
        <w:rPr>
          <w:rFonts w:eastAsia="georgia" w:cs="georgia" w:ascii="georgia" w:hAnsi="georgia"/>
          <w:color w:val="000000"/>
          <w:sz w:val="21"/>
        </w:rPr>
        <w:t xml:space="preserve">EHR-agnostic positioning: SimplePractice adding triage only helps SimplePractice users; ClaimCompass works across all EHRs</w:t>
      </w:r>
    </w:p>
    <w:p>
      <w:pPr>
        <w:numPr>
          <w:ilvl w:val="0"/>
          <w:numId w:val="23"/>
        </w:numPr>
        <w:spacing w:line="360" w:before="105" w:after="105" w:lineRule="auto"/>
      </w:pPr>
      <w:r>
        <w:rPr>
          <w:rFonts w:eastAsia="georgia" w:cs="georgia" w:ascii="georgia" w:hAnsi="georgia"/>
          <w:color w:val="000000"/>
          <w:sz w:val="21"/>
        </w:rPr>
        <w:t xml:space="preserve">Network effects via billing rules library: as users resolve denials, the prevention loop improves for all users — new entrants start with zero institutional knowledge</w:t>
      </w:r>
    </w:p>
    <w:p>
      <w:pPr>
        <w:numPr>
          <w:ilvl w:val="0"/>
          <w:numId w:val="23"/>
        </w:numPr>
        <w:spacing w:line="360" w:before="105" w:after="105" w:lineRule="auto"/>
      </w:pPr>
      <w:r>
        <w:rPr>
          <w:rFonts w:eastAsia="georgia" w:cs="georgia" w:ascii="georgia" w:hAnsi="georgia"/>
          <w:color w:val="000000"/>
          <w:sz w:val="21"/>
        </w:rPr>
        <w:t xml:space="preserve">Brand positioning as "therapist revenue copilot" rather than "EHR feature" creates category separation</w:t>
      </w:r>
    </w:p>
    <w:p>
      <w:pPr>
        <w:spacing w:line="360" w:after="210" w:lineRule="auto"/>
      </w:pPr>
      <w:r>
        <w:rPr>
          <w:rFonts w:eastAsia="georgia" w:cs="georgia" w:ascii="georgia" w:hAnsi="georgia"/>
          <w:b/>
          <w:color w:val="000000"/>
        </w:rPr>
        <w:t xml:space="preserve">Success Metric</w:t>
      </w:r>
      <w:r>
        <w:rPr>
          <w:rFonts w:eastAsia="georgia" w:cs="georgia" w:ascii="georgia" w:hAnsi="georgia"/>
          <w:color w:val="000000"/>
        </w:rPr>
        <w:t xml:space="preserve">: Retain 70%+ of paying users at 12 months (healthcare SaaS benchmark).</w:t>
      </w:r>
    </w:p>
    <w:p>
      <w:pPr>
        <w:spacing w:line="360" w:before="315" w:after="105" w:lineRule="auto"/>
        <w:ind w:left="-30"/>
        <w:jc w:val="left"/>
      </w:pPr>
      <w:bookmarkStart w:id="30" w:name="recommended_gtm_execution_plan"/>
      <w:r>
        <w:rPr>
          <w:rFonts w:eastAsia="georgia" w:cs="georgia" w:ascii="georgia" w:hAnsi="georgia"/>
          <w:b/>
          <w:color w:val="000000"/>
          <w:sz w:val="24"/>
        </w:rPr>
        <w:t xml:space="preserve">Recommended GTM Execution Plan</w:t>
      </w:r>
      <w:bookmarkEnd w:id="30"/>
    </w:p>
    <w:p>
      <w:pPr>
        <w:spacing w:line="360" w:before="315" w:after="105" w:lineRule="auto"/>
        <w:ind w:left="-30"/>
        <w:jc w:val="left"/>
      </w:pPr>
      <w:bookmarkStart w:id="31" w:name="phase_1_mvp_launch_weeks_0_12"/>
      <w:r>
        <w:rPr>
          <w:rFonts w:eastAsia="georgia" w:cs="georgia" w:ascii="georgia" w:hAnsi="georgia"/>
          <w:b/>
          <w:color w:val="000000"/>
          <w:sz w:val="24"/>
        </w:rPr>
        <w:t xml:space="preserve">Phase 1: MVP Launch (Weeks 0-12)</w:t>
      </w:r>
      <w:bookmarkEnd w:id="31"/>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t xml:space="preserve">: Ship narrow, trustworthy MVP to 5-10 design-partner therapists who pay $79/month.</w:t>
      </w:r>
    </w:p>
    <w:p>
      <w:pPr>
        <w:spacing w:line="360" w:after="210" w:lineRule="auto"/>
      </w:pPr>
      <w:r>
        <w:rPr>
          <w:rFonts w:eastAsia="georgia" w:cs="georgia" w:ascii="georgia" w:hAnsi="georgia"/>
          <w:b/>
          <w:color w:val="000000"/>
        </w:rPr>
        <w:t xml:space="preserve">Key Activities</w:t>
      </w:r>
      <w:r>
        <w:rPr>
          <w:rFonts w:eastAsia="georgia" w:cs="georgia" w:ascii="georgia" w:hAnsi="georgia"/>
          <w:color w:val="000000"/>
        </w:rPr>
        <w:t xml:space="preserve">:</w:t>
      </w:r>
    </w:p>
    <w:p>
      <w:pPr>
        <w:numPr>
          <w:ilvl w:val="0"/>
          <w:numId w:val="24"/>
        </w:numPr>
        <w:spacing w:line="360" w:before="105" w:after="105" w:lineRule="auto"/>
      </w:pPr>
      <w:r>
        <w:rPr>
          <w:rFonts w:eastAsia="georgia" w:cs="georgia" w:ascii="georgia" w:hAnsi="georgia"/>
          <w:b/>
          <w:color w:val="000000"/>
          <w:sz w:val="21"/>
        </w:rPr>
        <w:t xml:space="preserve">Week 0-1</w:t>
      </w:r>
      <w:r>
        <w:rPr>
          <w:rFonts w:eastAsia="georgia" w:cs="georgia" w:ascii="georgia" w:hAnsi="georgia"/>
          <w:color w:val="000000"/>
          <w:sz w:val="21"/>
        </w:rPr>
        <w:t xml:space="preserve">: AWS account setup, BAA execution, Vercel project, Terraform skeleton, Cognito user pool, base RDS/S3/KMS, PHI-lint CI rule</w:t>
      </w:r>
    </w:p>
    <w:p>
      <w:pPr>
        <w:numPr>
          <w:ilvl w:val="0"/>
          <w:numId w:val="24"/>
        </w:numPr>
        <w:spacing w:line="360" w:before="105" w:after="105" w:lineRule="auto"/>
      </w:pPr>
      <w:r>
        <w:rPr>
          <w:rFonts w:eastAsia="georgia" w:cs="georgia" w:ascii="georgia" w:hAnsi="georgia"/>
          <w:b/>
          <w:color w:val="000000"/>
          <w:sz w:val="21"/>
        </w:rPr>
        <w:t xml:space="preserve">Week 2-3</w:t>
      </w:r>
      <w:r>
        <w:rPr>
          <w:rFonts w:eastAsia="georgia" w:cs="georgia" w:ascii="georgia" w:hAnsi="georgia"/>
          <w:color w:val="000000"/>
          <w:sz w:val="21"/>
        </w:rPr>
        <w:t xml:space="preserve">: Upload flow (presigned S3, Textract worker, lean OCR routing), denial create/list views, cost-per-denial telemetry</w:t>
      </w:r>
    </w:p>
    <w:p>
      <w:pPr>
        <w:numPr>
          <w:ilvl w:val="0"/>
          <w:numId w:val="24"/>
        </w:numPr>
        <w:spacing w:line="360" w:before="105" w:after="105" w:lineRule="auto"/>
      </w:pPr>
      <w:r>
        <w:rPr>
          <w:rFonts w:eastAsia="georgia" w:cs="georgia" w:ascii="georgia" w:hAnsi="georgia"/>
          <w:b/>
          <w:color w:val="000000"/>
          <w:sz w:val="21"/>
        </w:rPr>
        <w:t xml:space="preserve">Week 4-5</w:t>
      </w:r>
      <w:r>
        <w:rPr>
          <w:rFonts w:eastAsia="georgia" w:cs="georgia" w:ascii="georgia" w:hAnsi="georgia"/>
          <w:color w:val="000000"/>
          <w:sz w:val="21"/>
        </w:rPr>
        <w:t xml:space="preserve">: LLM pipeline (Haiku extraction, Sonnet decoder with hardcoded top-3 payer context), bucket classification, eval harness with 50 seed denials</w:t>
      </w:r>
    </w:p>
    <w:p>
      <w:pPr>
        <w:numPr>
          <w:ilvl w:val="0"/>
          <w:numId w:val="24"/>
        </w:numPr>
        <w:spacing w:line="360" w:before="105" w:after="105" w:lineRule="auto"/>
      </w:pPr>
      <w:r>
        <w:rPr>
          <w:rFonts w:eastAsia="georgia" w:cs="georgia" w:ascii="georgia" w:hAnsi="georgia"/>
          <w:b/>
          <w:color w:val="000000"/>
          <w:sz w:val="21"/>
        </w:rPr>
        <w:t xml:space="preserve">Week 6-7</w:t>
      </w:r>
      <w:r>
        <w:rPr>
          <w:rFonts w:eastAsia="georgia" w:cs="georgia" w:ascii="georgia" w:hAnsi="georgia"/>
          <w:color w:val="000000"/>
          <w:sz w:val="21"/>
        </w:rPr>
        <w:t xml:space="preserve">: Payer playbook chunks for top 10 BH payers (founder-curated, advisor-reviewed), pgvector retrieval, prompt caching with measured hit rate</w:t>
      </w:r>
    </w:p>
    <w:p>
      <w:pPr>
        <w:numPr>
          <w:ilvl w:val="0"/>
          <w:numId w:val="24"/>
        </w:numPr>
        <w:spacing w:line="360" w:before="105" w:after="105" w:lineRule="auto"/>
      </w:pPr>
      <w:r>
        <w:rPr>
          <w:rFonts w:eastAsia="georgia" w:cs="georgia" w:ascii="georgia" w:hAnsi="georgia"/>
          <w:b/>
          <w:color w:val="000000"/>
          <w:sz w:val="21"/>
        </w:rPr>
        <w:t xml:space="preserve">Week 8-9</w:t>
      </w:r>
      <w:r>
        <w:rPr>
          <w:rFonts w:eastAsia="georgia" w:cs="georgia" w:ascii="georgia" w:hAnsi="georgia"/>
          <w:color w:val="000000"/>
          <w:sz w:val="21"/>
        </w:rPr>
        <w:t xml:space="preserve">: Draft generators (appeal letter, call script, corrected claim guidance, client-bill note) all labeled as "drafts for review," save-as-rule feature</w:t>
      </w:r>
    </w:p>
    <w:p>
      <w:pPr>
        <w:numPr>
          <w:ilvl w:val="0"/>
          <w:numId w:val="24"/>
        </w:numPr>
        <w:spacing w:line="360" w:before="105" w:after="105" w:lineRule="auto"/>
      </w:pPr>
      <w:r>
        <w:rPr>
          <w:rFonts w:eastAsia="georgia" w:cs="georgia" w:ascii="georgia" w:hAnsi="georgia"/>
          <w:b/>
          <w:color w:val="000000"/>
          <w:sz w:val="21"/>
        </w:rPr>
        <w:t xml:space="preserve">Week 10-11</w:t>
      </w:r>
      <w:r>
        <w:rPr>
          <w:rFonts w:eastAsia="georgia" w:cs="georgia" w:ascii="georgia" w:hAnsi="georgia"/>
          <w:color w:val="000000"/>
          <w:sz w:val="21"/>
        </w:rPr>
        <w:t xml:space="preserve">: Credentialing Health Monitor (NPPES diff, OIG/SAM/Medicare Opt-Out sweeps, license expiration tracking, payer FHIR directory top-10 check) with "risk signals only" framing</w:t>
      </w:r>
    </w:p>
    <w:p>
      <w:pPr>
        <w:numPr>
          <w:ilvl w:val="0"/>
          <w:numId w:val="24"/>
        </w:numPr>
        <w:spacing w:line="360" w:before="105" w:after="105" w:lineRule="auto"/>
      </w:pPr>
      <w:r>
        <w:rPr>
          <w:rFonts w:eastAsia="georgia" w:cs="georgia" w:ascii="georgia" w:hAnsi="georgia"/>
          <w:b/>
          <w:color w:val="000000"/>
          <w:sz w:val="21"/>
        </w:rPr>
        <w:t xml:space="preserve">Week 12</w:t>
      </w:r>
      <w:r>
        <w:rPr>
          <w:rFonts w:eastAsia="georgia" w:cs="georgia" w:ascii="georgia" w:hAnsi="georgia"/>
          <w:color w:val="000000"/>
          <w:sz w:val="21"/>
        </w:rPr>
        <w:t xml:space="preserve">: Stripe billing (Solo $79, Practice $149), usage counter UI, audit log, email magic-links, production deploy, first 5 design-partner therapists</w:t>
      </w:r>
    </w:p>
    <w:p>
      <w:pPr>
        <w:spacing w:line="360" w:after="210" w:lineRule="auto"/>
      </w:pPr>
      <w:r>
        <w:rPr>
          <w:rFonts w:eastAsia="georgia" w:cs="georgia" w:ascii="georgia" w:hAnsi="georgia"/>
          <w:b/>
          <w:color w:val="000000"/>
        </w:rPr>
        <w:t xml:space="preserve">Success Criteria</w:t>
      </w:r>
      <w:r>
        <w:rPr>
          <w:rFonts w:eastAsia="georgia" w:cs="georgia" w:ascii="georgia" w:hAnsi="georgia"/>
          <w:color w:val="000000"/>
        </w:rPr>
        <w:t xml:space="preserve">:</w:t>
      </w:r>
    </w:p>
    <w:p>
      <w:pPr>
        <w:numPr>
          <w:ilvl w:val="0"/>
          <w:numId w:val="25"/>
        </w:numPr>
        <w:spacing w:line="360" w:before="105" w:after="105" w:lineRule="auto"/>
      </w:pPr>
      <w:r>
        <w:rPr>
          <w:rFonts w:eastAsia="georgia" w:cs="georgia" w:ascii="georgia" w:hAnsi="georgia"/>
          <w:color w:val="000000"/>
          <w:sz w:val="21"/>
        </w:rPr>
        <w:t xml:space="preserve">5+ therapists paying $79/month by week 12</w:t>
      </w:r>
    </w:p>
    <w:p>
      <w:pPr>
        <w:numPr>
          <w:ilvl w:val="0"/>
          <w:numId w:val="25"/>
        </w:numPr>
        <w:spacing w:line="360" w:before="105" w:after="105" w:lineRule="auto"/>
      </w:pPr>
      <w:r>
        <w:rPr>
          <w:rFonts w:eastAsia="georgia" w:cs="georgia" w:ascii="georgia" w:hAnsi="georgia"/>
          <w:color w:val="000000"/>
          <w:sz w:val="21"/>
        </w:rPr>
        <w:t xml:space="preserve">Eval pass rate &gt; 90% on 200-denial golden set</w:t>
      </w:r>
    </w:p>
    <w:p>
      <w:pPr>
        <w:numPr>
          <w:ilvl w:val="0"/>
          <w:numId w:val="25"/>
        </w:numPr>
        <w:spacing w:line="360" w:before="105" w:after="105" w:lineRule="auto"/>
      </w:pPr>
      <w:r>
        <w:rPr>
          <w:rFonts w:eastAsia="georgia" w:cs="georgia" w:ascii="georgia" w:hAnsi="georgia"/>
          <w:color w:val="000000"/>
          <w:sz w:val="21"/>
        </w:rPr>
        <w:t xml:space="preserve">P95 latency &lt; 60 seconds from upload to triage ready</w:t>
      </w:r>
    </w:p>
    <w:p>
      <w:pPr>
        <w:numPr>
          <w:ilvl w:val="0"/>
          <w:numId w:val="25"/>
        </w:numPr>
        <w:spacing w:line="360" w:before="105" w:after="105" w:lineRule="auto"/>
      </w:pPr>
      <w:r>
        <w:rPr>
          <w:rFonts w:eastAsia="georgia" w:cs="georgia" w:ascii="georgia" w:hAnsi="georgia"/>
          <w:color w:val="000000"/>
          <w:sz w:val="21"/>
        </w:rPr>
        <w:t xml:space="preserve">SOC 2/HIPAA evidence collection started</w:t>
      </w:r>
    </w:p>
    <w:p>
      <w:pPr>
        <w:spacing w:line="360" w:before="315" w:after="105" w:lineRule="auto"/>
        <w:ind w:left="-30"/>
        <w:jc w:val="left"/>
      </w:pPr>
      <w:bookmarkStart w:id="32" w:name="phase_2_product_market_fit_hunt_m_7fa7a5"/>
      <w:r>
        <w:rPr>
          <w:rFonts w:eastAsia="georgia" w:cs="georgia" w:ascii="georgia" w:hAnsi="georgia"/>
          <w:b/>
          <w:color w:val="000000"/>
          <w:sz w:val="24"/>
        </w:rPr>
        <w:t xml:space="preserve">Phase 2: Product-Market Fit Hunt (Months 3-6)</w:t>
      </w:r>
      <w:bookmarkEnd w:id="32"/>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t xml:space="preserve">: Reach 50 paying users, validate retention &gt; 70%, refine payer playbooks based on real-world denials.</w:t>
      </w:r>
    </w:p>
    <w:p>
      <w:pPr>
        <w:spacing w:line="360" w:after="210" w:lineRule="auto"/>
      </w:pPr>
      <w:r>
        <w:rPr>
          <w:rFonts w:eastAsia="georgia" w:cs="georgia" w:ascii="georgia" w:hAnsi="georgia"/>
          <w:b/>
          <w:color w:val="000000"/>
        </w:rPr>
        <w:t xml:space="preserve">Key Activities</w:t>
      </w:r>
      <w:r>
        <w:rPr>
          <w:rFonts w:eastAsia="georgia" w:cs="georgia" w:ascii="georgia" w:hAnsi="georgia"/>
          <w:color w:val="000000"/>
        </w:rPr>
        <w:t xml:space="preserve">:</w:t>
      </w:r>
    </w:p>
    <w:p>
      <w:pPr>
        <w:numPr>
          <w:ilvl w:val="0"/>
          <w:numId w:val="26"/>
        </w:numPr>
        <w:spacing w:line="360" w:before="105" w:after="105" w:lineRule="auto"/>
      </w:pPr>
      <w:r>
        <w:rPr>
          <w:rFonts w:eastAsia="georgia" w:cs="georgia" w:ascii="georgia" w:hAnsi="georgia"/>
          <w:b/>
          <w:color w:val="000000"/>
          <w:sz w:val="21"/>
        </w:rPr>
        <w:t xml:space="preserve">Launch SEO content hub</w:t>
      </w:r>
      <w:r>
        <w:rPr>
          <w:rFonts w:eastAsia="georgia" w:cs="georgia" w:ascii="georgia" w:hAnsi="georgia"/>
          <w:color w:val="000000"/>
          <w:sz w:val="21"/>
        </w:rPr>
        <w:t xml:space="preserve">: 30 articles targeting long-tail denial scenarios ("BCBS Texas 90837 telehealth modifier denied," "CAQH re-attestation overdue what happens")</w:t>
      </w:r>
    </w:p>
    <w:p>
      <w:pPr>
        <w:numPr>
          <w:ilvl w:val="0"/>
          <w:numId w:val="26"/>
        </w:numPr>
        <w:spacing w:line="360" w:before="105" w:after="105" w:lineRule="auto"/>
      </w:pPr>
      <w:r>
        <w:rPr>
          <w:rFonts w:eastAsia="georgia" w:cs="georgia" w:ascii="georgia" w:hAnsi="georgia"/>
          <w:b/>
          <w:color w:val="000000"/>
          <w:sz w:val="21"/>
        </w:rPr>
        <w:t xml:space="preserve">Reddit outbound</w:t>
      </w:r>
      <w:r>
        <w:rPr>
          <w:rFonts w:eastAsia="georgia" w:cs="georgia" w:ascii="georgia" w:hAnsi="georgia"/>
          <w:color w:val="000000"/>
          <w:sz w:val="21"/>
        </w:rPr>
        <w:t xml:space="preserve">: 2-3 posts per month in r/therapists with "I built this after..." positioning, respond to billing complaint threads with product link</w:t>
      </w:r>
    </w:p>
    <w:p>
      <w:pPr>
        <w:numPr>
          <w:ilvl w:val="0"/>
          <w:numId w:val="26"/>
        </w:numPr>
        <w:spacing w:line="360" w:before="105" w:after="105" w:lineRule="auto"/>
      </w:pPr>
      <w:r>
        <w:rPr>
          <w:rFonts w:eastAsia="georgia" w:cs="georgia" w:ascii="georgia" w:hAnsi="georgia"/>
          <w:b/>
          <w:color w:val="000000"/>
          <w:sz w:val="21"/>
        </w:rPr>
        <w:t xml:space="preserve">Freemium landing page</w:t>
      </w:r>
      <w:r>
        <w:rPr>
          <w:rFonts w:eastAsia="georgia" w:cs="georgia" w:ascii="georgia" w:hAnsi="georgia"/>
          <w:color w:val="000000"/>
          <w:sz w:val="21"/>
        </w:rPr>
        <w:t xml:space="preserve">: Public "Decode This Denial" tool (synthetic data only) that gates full features behind signup</w:t>
      </w:r>
    </w:p>
    <w:p>
      <w:pPr>
        <w:numPr>
          <w:ilvl w:val="0"/>
          <w:numId w:val="26"/>
        </w:numPr>
        <w:spacing w:line="360" w:before="105" w:after="105" w:lineRule="auto"/>
      </w:pPr>
      <w:r>
        <w:rPr>
          <w:rFonts w:eastAsia="georgia" w:cs="georgia" w:ascii="georgia" w:hAnsi="georgia"/>
          <w:b/>
          <w:color w:val="000000"/>
          <w:sz w:val="21"/>
        </w:rPr>
        <w:t xml:space="preserve">Therapist billing consultant partnerships</w:t>
      </w:r>
      <w:r>
        <w:rPr>
          <w:rFonts w:eastAsia="georgia" w:cs="georgia" w:ascii="georgia" w:hAnsi="georgia"/>
          <w:color w:val="000000"/>
          <w:sz w:val="21"/>
        </w:rPr>
        <w:t xml:space="preserve">: Recruit 3-5 fractional consultants for 20% revenue share on referrals</w:t>
      </w:r>
    </w:p>
    <w:p>
      <w:pPr>
        <w:numPr>
          <w:ilvl w:val="0"/>
          <w:numId w:val="26"/>
        </w:numPr>
        <w:spacing w:line="360" w:before="105" w:after="105" w:lineRule="auto"/>
      </w:pPr>
      <w:r>
        <w:rPr>
          <w:rFonts w:eastAsia="georgia" w:cs="georgia" w:ascii="georgia" w:hAnsi="georgia"/>
          <w:b/>
          <w:color w:val="000000"/>
          <w:sz w:val="21"/>
        </w:rPr>
        <w:t xml:space="preserve">Payer playbook expansion</w:t>
      </w:r>
      <w:r>
        <w:rPr>
          <w:rFonts w:eastAsia="georgia" w:cs="georgia" w:ascii="georgia" w:hAnsi="georgia"/>
          <w:color w:val="000000"/>
          <w:sz w:val="21"/>
        </w:rPr>
        <w:t xml:space="preserve">: Add next 10 payers based on user demand, continue advisor review for quality assurance</w:t>
      </w:r>
    </w:p>
    <w:p>
      <w:pPr>
        <w:numPr>
          <w:ilvl w:val="0"/>
          <w:numId w:val="26"/>
        </w:numPr>
        <w:spacing w:line="360" w:before="105" w:after="105" w:lineRule="auto"/>
      </w:pPr>
      <w:r>
        <w:rPr>
          <w:rFonts w:eastAsia="georgia" w:cs="georgia" w:ascii="georgia" w:hAnsi="georgia"/>
          <w:b/>
          <w:color w:val="000000"/>
          <w:sz w:val="21"/>
        </w:rPr>
        <w:t xml:space="preserve">User interviews</w:t>
      </w:r>
      <w:r>
        <w:rPr>
          <w:rFonts w:eastAsia="georgia" w:cs="georgia" w:ascii="georgia" w:hAnsi="georgia"/>
          <w:color w:val="000000"/>
          <w:sz w:val="21"/>
        </w:rPr>
        <w:t xml:space="preserve">: Weekly calls with 5 users to understand workflow, capture pain points not addressed by MVP</w:t>
      </w:r>
    </w:p>
    <w:p>
      <w:pPr>
        <w:numPr>
          <w:ilvl w:val="0"/>
          <w:numId w:val="26"/>
        </w:numPr>
        <w:spacing w:line="360" w:before="105" w:after="105" w:lineRule="auto"/>
      </w:pPr>
      <w:r>
        <w:rPr>
          <w:rFonts w:eastAsia="georgia" w:cs="georgia" w:ascii="georgia" w:hAnsi="georgia"/>
          <w:b/>
          <w:color w:val="000000"/>
          <w:sz w:val="21"/>
        </w:rPr>
        <w:t xml:space="preserve">Churn analysis</w:t>
      </w:r>
      <w:r>
        <w:rPr>
          <w:rFonts w:eastAsia="georgia" w:cs="georgia" w:ascii="georgia" w:hAnsi="georgia"/>
          <w:color w:val="000000"/>
          <w:sz w:val="21"/>
        </w:rPr>
        <w:t xml:space="preserve">: For every churned user, conduct exit interview to diagnose failure mode (product complexity, insufficient value, cost sensitivity)</w:t>
      </w:r>
    </w:p>
    <w:p>
      <w:pPr>
        <w:spacing w:line="360" w:after="210" w:lineRule="auto"/>
      </w:pPr>
      <w:r>
        <w:rPr>
          <w:rFonts w:eastAsia="georgia" w:cs="georgia" w:ascii="georgia" w:hAnsi="georgia"/>
          <w:b/>
          <w:color w:val="000000"/>
        </w:rPr>
        <w:t xml:space="preserve">Success Criteria</w:t>
      </w:r>
      <w:r>
        <w:rPr>
          <w:rFonts w:eastAsia="georgia" w:cs="georgia" w:ascii="georgia" w:hAnsi="georgia"/>
          <w:color w:val="000000"/>
        </w:rPr>
        <w:t xml:space="preserve">:</w:t>
      </w:r>
    </w:p>
    <w:p>
      <w:pPr>
        <w:numPr>
          <w:ilvl w:val="0"/>
          <w:numId w:val="27"/>
        </w:numPr>
        <w:spacing w:line="360" w:before="105" w:after="105" w:lineRule="auto"/>
      </w:pPr>
      <w:r>
        <w:rPr>
          <w:rFonts w:eastAsia="georgia" w:cs="georgia" w:ascii="georgia" w:hAnsi="georgia"/>
          <w:color w:val="000000"/>
          <w:sz w:val="21"/>
        </w:rPr>
        <w:t xml:space="preserve">50 paying users by month 6</w:t>
      </w:r>
    </w:p>
    <w:p>
      <w:pPr>
        <w:numPr>
          <w:ilvl w:val="0"/>
          <w:numId w:val="27"/>
        </w:numPr>
        <w:spacing w:line="360" w:before="105" w:after="105" w:lineRule="auto"/>
      </w:pPr>
      <w:r>
        <w:rPr>
          <w:rFonts w:eastAsia="georgia" w:cs="georgia" w:ascii="georgia" w:hAnsi="georgia"/>
          <w:color w:val="000000"/>
          <w:sz w:val="21"/>
        </w:rPr>
        <w:t xml:space="preserve">Monthly churn &lt; 10% (retention &gt; 70% annualized)</w:t>
      </w:r>
    </w:p>
    <w:p>
      <w:pPr>
        <w:numPr>
          <w:ilvl w:val="0"/>
          <w:numId w:val="27"/>
        </w:numPr>
        <w:spacing w:line="360" w:before="105" w:after="105" w:lineRule="auto"/>
      </w:pPr>
      <w:r>
        <w:rPr>
          <w:rFonts w:eastAsia="georgia" w:cs="georgia" w:ascii="georgia" w:hAnsi="georgia"/>
          <w:color w:val="000000"/>
          <w:sz w:val="21"/>
        </w:rPr>
        <w:t xml:space="preserve">NPS &gt; 40 (product-market fit indicator)</w:t>
      </w:r>
    </w:p>
    <w:p>
      <w:pPr>
        <w:numPr>
          <w:ilvl w:val="0"/>
          <w:numId w:val="27"/>
        </w:numPr>
        <w:spacing w:line="360" w:before="105" w:after="105" w:lineRule="auto"/>
      </w:pPr>
      <w:r>
        <w:rPr>
          <w:rFonts w:eastAsia="georgia" w:cs="georgia" w:ascii="georgia" w:hAnsi="georgia"/>
          <w:color w:val="000000"/>
          <w:sz w:val="21"/>
        </w:rPr>
        <w:t xml:space="preserve">80%+ of users rate triage recommendations as "helpful" or "very helpful"</w:t>
      </w:r>
    </w:p>
    <w:p>
      <w:pPr>
        <w:spacing w:line="360" w:before="315" w:after="105" w:lineRule="auto"/>
        <w:ind w:left="-30"/>
        <w:jc w:val="left"/>
      </w:pPr>
      <w:bookmarkStart w:id="33" w:name="phase_3_scale_months_6_12"/>
      <w:r>
        <w:rPr>
          <w:rFonts w:eastAsia="georgia" w:cs="georgia" w:ascii="georgia" w:hAnsi="georgia"/>
          <w:b/>
          <w:color w:val="000000"/>
          <w:sz w:val="24"/>
        </w:rPr>
        <w:t xml:space="preserve">Phase 3: Scale (Months 6-12)</w:t>
      </w:r>
      <w:bookmarkEnd w:id="33"/>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t xml:space="preserve">: Reach 200 paying users, introduce Practice tier ($149-$249), launch V1 EDI add-on.</w:t>
      </w:r>
    </w:p>
    <w:p>
      <w:pPr>
        <w:spacing w:line="360" w:after="210" w:lineRule="auto"/>
      </w:pPr>
      <w:r>
        <w:rPr>
          <w:rFonts w:eastAsia="georgia" w:cs="georgia" w:ascii="georgia" w:hAnsi="georgia"/>
          <w:b/>
          <w:color w:val="000000"/>
        </w:rPr>
        <w:t xml:space="preserve">Key Activities</w:t>
      </w:r>
      <w:r>
        <w:rPr>
          <w:rFonts w:eastAsia="georgia" w:cs="georgia" w:ascii="georgia" w:hAnsi="georgia"/>
          <w:color w:val="000000"/>
        </w:rPr>
        <w:t xml:space="preserve">:</w:t>
      </w:r>
    </w:p>
    <w:p>
      <w:pPr>
        <w:numPr>
          <w:ilvl w:val="0"/>
          <w:numId w:val="28"/>
        </w:numPr>
        <w:spacing w:line="360" w:before="105" w:after="105" w:lineRule="auto"/>
      </w:pPr>
      <w:r>
        <w:rPr>
          <w:rFonts w:eastAsia="georgia" w:cs="georgia" w:ascii="georgia" w:hAnsi="georgia"/>
          <w:b/>
          <w:color w:val="000000"/>
          <w:sz w:val="21"/>
        </w:rPr>
        <w:t xml:space="preserve">SimplePractice/TherapyNotes user group sponsorships</w:t>
      </w:r>
      <w:r>
        <w:rPr>
          <w:rFonts w:eastAsia="georgia" w:cs="georgia" w:ascii="georgia" w:hAnsi="georgia"/>
          <w:color w:val="000000"/>
          <w:sz w:val="21"/>
        </w:rPr>
        <w:t xml:space="preserve">: Sponsor 4 webinars on billing best practices, position ClaimCompass as recommended tool</w:t>
      </w:r>
    </w:p>
    <w:p>
      <w:pPr>
        <w:numPr>
          <w:ilvl w:val="0"/>
          <w:numId w:val="28"/>
        </w:numPr>
        <w:spacing w:line="360" w:before="105" w:after="105" w:lineRule="auto"/>
      </w:pPr>
      <w:r>
        <w:rPr>
          <w:rFonts w:eastAsia="georgia" w:cs="georgia" w:ascii="georgia" w:hAnsi="georgia"/>
          <w:b/>
          <w:color w:val="000000"/>
          <w:sz w:val="21"/>
        </w:rPr>
        <w:t xml:space="preserve">Headway/Alma exit pipeline</w:t>
      </w:r>
      <w:r>
        <w:rPr>
          <w:rFonts w:eastAsia="georgia" w:cs="georgia" w:ascii="georgia" w:hAnsi="georgia"/>
          <w:color w:val="000000"/>
          <w:sz w:val="21"/>
        </w:rPr>
        <w:t xml:space="preserve">: Retargeting ads on LinkedIn/Facebook targeting therapists who follow but engage with complaint threads</w:t>
      </w:r>
    </w:p>
    <w:p>
      <w:pPr>
        <w:numPr>
          <w:ilvl w:val="0"/>
          <w:numId w:val="28"/>
        </w:numPr>
        <w:spacing w:line="360" w:before="105" w:after="105" w:lineRule="auto"/>
      </w:pPr>
      <w:r>
        <w:rPr>
          <w:rFonts w:eastAsia="georgia" w:cs="georgia" w:ascii="georgia" w:hAnsi="georgia"/>
          <w:b/>
          <w:color w:val="000000"/>
          <w:sz w:val="21"/>
        </w:rPr>
        <w:t xml:space="preserve">Email-forward ingestion (V1)</w:t>
      </w:r>
      <w:r>
        <w:rPr>
          <w:rFonts w:eastAsia="georgia" w:cs="georgia" w:ascii="georgia" w:hAnsi="georgia"/>
          <w:color w:val="000000"/>
          <w:sz w:val="21"/>
        </w:rPr>
        <w:t xml:space="preserve">: Allow users to forward denial emails to </w:t>
      </w:r>
      <w:hyperlink r:id="rId10">
        <w:r>
          <w:rPr>
            <w:rFonts w:eastAsia="helvetica neue" w:cs="helvetica neue" w:ascii="helvetica neue" w:hAnsi="helvetica neue"/>
            <w:color w:val="#000"/>
            <w:sz w:val="21"/>
            <w:u w:val="single"/>
          </w:rPr>
          <w:t xml:space="preserve">denial-intake@claimcompass.com</w:t>
        </w:r>
      </w:hyperlink>
      <w:r>
        <w:rPr>
          <w:rFonts w:eastAsia="georgia" w:cs="georgia" w:ascii="georgia" w:hAnsi="georgia"/>
          <w:color w:val="000000"/>
          <w:sz w:val="21"/>
        </w:rPr>
        <w:t xml:space="preserve"> for hands-free processing</w:t>
      </w:r>
    </w:p>
    <w:p>
      <w:pPr>
        <w:numPr>
          <w:ilvl w:val="0"/>
          <w:numId w:val="28"/>
        </w:numPr>
        <w:spacing w:line="360" w:before="105" w:after="105" w:lineRule="auto"/>
      </w:pPr>
      <w:r>
        <w:rPr>
          <w:rFonts w:eastAsia="georgia" w:cs="georgia" w:ascii="georgia" w:hAnsi="georgia"/>
          <w:b/>
          <w:color w:val="000000"/>
          <w:sz w:val="21"/>
        </w:rPr>
        <w:t xml:space="preserve">Stedi EDI integration (V1)</w:t>
      </w:r>
      <w:r>
        <w:rPr>
          <w:rFonts w:eastAsia="georgia" w:cs="georgia" w:ascii="georgia" w:hAnsi="georgia"/>
          <w:color w:val="000000"/>
          <w:sz w:val="21"/>
        </w:rPr>
        <w:t xml:space="preserve">: Launch eligibility checks (270/271), claim status (276/277), corrected claim submission (837P), ERA auto-ingest (835) as usage-priced add-on ($0.15-$0.20 per transaction)</w:t>
      </w:r>
    </w:p>
    <w:p>
      <w:pPr>
        <w:numPr>
          <w:ilvl w:val="0"/>
          <w:numId w:val="28"/>
        </w:numPr>
        <w:spacing w:line="360" w:before="105" w:after="105" w:lineRule="auto"/>
      </w:pPr>
      <w:r>
        <w:rPr>
          <w:rFonts w:eastAsia="georgia" w:cs="georgia" w:ascii="georgia" w:hAnsi="georgia"/>
          <w:b/>
          <w:color w:val="000000"/>
          <w:sz w:val="21"/>
        </w:rPr>
        <w:t xml:space="preserve">Multi-user roles</w:t>
      </w:r>
      <w:r>
        <w:rPr>
          <w:rFonts w:eastAsia="georgia" w:cs="georgia" w:ascii="georgia" w:hAnsi="georgia"/>
          <w:color w:val="000000"/>
          <w:sz w:val="21"/>
        </w:rPr>
        <w:t xml:space="preserve">: Supervisor/biller seat types for group practices, audit log export for compliance</w:t>
      </w:r>
    </w:p>
    <w:p>
      <w:pPr>
        <w:numPr>
          <w:ilvl w:val="0"/>
          <w:numId w:val="28"/>
        </w:numPr>
        <w:spacing w:line="360" w:before="105" w:after="105" w:lineRule="auto"/>
      </w:pPr>
      <w:r>
        <w:rPr>
          <w:rFonts w:eastAsia="georgia" w:cs="georgia" w:ascii="georgia" w:hAnsi="georgia"/>
          <w:b/>
          <w:color w:val="000000"/>
          <w:sz w:val="21"/>
        </w:rPr>
        <w:t xml:space="preserve">Aging AR dashboard</w:t>
      </w:r>
      <w:r>
        <w:rPr>
          <w:rFonts w:eastAsia="georgia" w:cs="georgia" w:ascii="georgia" w:hAnsi="georgia"/>
          <w:color w:val="000000"/>
          <w:sz w:val="21"/>
        </w:rPr>
        <w:t xml:space="preserve">: Surface claims pending &gt; 30/60/90 days with recommended actions</w:t>
      </w:r>
    </w:p>
    <w:p>
      <w:pPr>
        <w:numPr>
          <w:ilvl w:val="0"/>
          <w:numId w:val="28"/>
        </w:numPr>
        <w:spacing w:line="360" w:before="105" w:after="105" w:lineRule="auto"/>
      </w:pPr>
      <w:r>
        <w:rPr>
          <w:rFonts w:eastAsia="georgia" w:cs="georgia" w:ascii="georgia" w:hAnsi="georgia"/>
          <w:b/>
          <w:color w:val="000000"/>
          <w:sz w:val="21"/>
        </w:rPr>
        <w:t xml:space="preserve">Paid acquisition testing</w:t>
      </w:r>
      <w:r>
        <w:rPr>
          <w:rFonts w:eastAsia="georgia" w:cs="georgia" w:ascii="georgia" w:hAnsi="georgia"/>
          <w:color w:val="000000"/>
          <w:sz w:val="21"/>
        </w:rPr>
        <w:t xml:space="preserve">: Allocate $5K-$10K/month to Google Ads (search terms: "therapy insurance billing help," "CAQH re-attestation tracker") and Facebook Ads (therapist lookalike audiences)</w:t>
      </w:r>
    </w:p>
    <w:p>
      <w:pPr>
        <w:spacing w:line="360" w:after="210" w:lineRule="auto"/>
      </w:pPr>
      <w:r>
        <w:rPr>
          <w:rFonts w:eastAsia="georgia" w:cs="georgia" w:ascii="georgia" w:hAnsi="georgia"/>
          <w:b/>
          <w:color w:val="000000"/>
        </w:rPr>
        <w:t xml:space="preserve">Success Criteria</w:t>
      </w:r>
      <w:r>
        <w:rPr>
          <w:rFonts w:eastAsia="georgia" w:cs="georgia" w:ascii="georgia" w:hAnsi="georgia"/>
          <w:color w:val="000000"/>
        </w:rPr>
        <w:t xml:space="preserve">:</w:t>
      </w:r>
    </w:p>
    <w:p>
      <w:pPr>
        <w:numPr>
          <w:ilvl w:val="0"/>
          <w:numId w:val="29"/>
        </w:numPr>
        <w:spacing w:line="360" w:before="105" w:after="105" w:lineRule="auto"/>
      </w:pPr>
      <w:r>
        <w:rPr>
          <w:rFonts w:eastAsia="georgia" w:cs="georgia" w:ascii="georgia" w:hAnsi="georgia"/>
          <w:color w:val="000000"/>
          <w:sz w:val="21"/>
        </w:rPr>
        <w:t xml:space="preserve">200 paying users by month 12</w:t>
      </w:r>
    </w:p>
    <w:p>
      <w:pPr>
        <w:numPr>
          <w:ilvl w:val="0"/>
          <w:numId w:val="29"/>
        </w:numPr>
        <w:spacing w:line="360" w:before="105" w:after="105" w:lineRule="auto"/>
      </w:pPr>
      <w:r>
        <w:rPr>
          <w:rFonts w:eastAsia="georgia" w:cs="georgia" w:ascii="georgia" w:hAnsi="georgia"/>
          <w:color w:val="000000"/>
          <w:sz w:val="21"/>
        </w:rPr>
        <w:t xml:space="preserve">30%+ of users on Practice tier ($149-$249/month)</w:t>
      </w:r>
    </w:p>
    <w:p>
      <w:pPr>
        <w:numPr>
          <w:ilvl w:val="0"/>
          <w:numId w:val="29"/>
        </w:numPr>
        <w:spacing w:line="360" w:before="105" w:after="105" w:lineRule="auto"/>
      </w:pPr>
      <w:r>
        <w:rPr>
          <w:rFonts w:eastAsia="georgia" w:cs="georgia" w:ascii="georgia" w:hAnsi="georgia"/>
          <w:color w:val="000000"/>
          <w:sz w:val="21"/>
        </w:rPr>
        <w:t xml:space="preserve">20%+ of users adopt EDI add-on</w:t>
      </w:r>
    </w:p>
    <w:p>
      <w:pPr>
        <w:numPr>
          <w:ilvl w:val="0"/>
          <w:numId w:val="29"/>
        </w:numPr>
        <w:spacing w:line="360" w:before="105" w:after="105" w:lineRule="auto"/>
      </w:pPr>
      <w:r>
        <w:rPr>
          <w:rFonts w:eastAsia="georgia" w:cs="georgia" w:ascii="georgia" w:hAnsi="georgia"/>
          <w:color w:val="000000"/>
          <w:sz w:val="21"/>
        </w:rPr>
        <w:t xml:space="preserve">CAC payback &lt; 6 months (LTV:CAC ratio &gt; 3:1)</w:t>
      </w:r>
    </w:p>
    <w:p>
      <w:pPr>
        <w:spacing w:line="360" w:before="315" w:after="105" w:lineRule="auto"/>
        <w:ind w:left="-30"/>
        <w:jc w:val="left"/>
      </w:pPr>
      <w:bookmarkStart w:id="34" w:name="phase_4_category_leadership_months_12_24"/>
      <w:r>
        <w:rPr>
          <w:rFonts w:eastAsia="georgia" w:cs="georgia" w:ascii="georgia" w:hAnsi="georgia"/>
          <w:b/>
          <w:color w:val="000000"/>
          <w:sz w:val="24"/>
        </w:rPr>
        <w:t xml:space="preserve">Phase 4: Category Leadership (Months 12-24)</w:t>
      </w:r>
      <w:bookmarkEnd w:id="34"/>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t xml:space="preserve">: Reach 1,000 paying users, establish ClaimCompass as category leader in "therapist revenue operations."</w:t>
      </w:r>
    </w:p>
    <w:p>
      <w:pPr>
        <w:spacing w:line="360" w:after="210" w:lineRule="auto"/>
      </w:pPr>
      <w:r>
        <w:rPr>
          <w:rFonts w:eastAsia="georgia" w:cs="georgia" w:ascii="georgia" w:hAnsi="georgia"/>
          <w:b/>
          <w:color w:val="000000"/>
        </w:rPr>
        <w:t xml:space="preserve">Key Activities</w:t>
      </w:r>
      <w:r>
        <w:rPr>
          <w:rFonts w:eastAsia="georgia" w:cs="georgia" w:ascii="georgia" w:hAnsi="georgia"/>
          <w:color w:val="000000"/>
        </w:rPr>
        <w:t xml:space="preserve">:</w:t>
      </w:r>
    </w:p>
    <w:p>
      <w:pPr>
        <w:numPr>
          <w:ilvl w:val="0"/>
          <w:numId w:val="30"/>
        </w:numPr>
        <w:spacing w:line="360" w:before="105" w:after="105" w:lineRule="auto"/>
      </w:pPr>
      <w:r>
        <w:rPr>
          <w:rFonts w:eastAsia="georgia" w:cs="georgia" w:ascii="georgia" w:hAnsi="georgia"/>
          <w:b/>
          <w:color w:val="000000"/>
          <w:sz w:val="21"/>
        </w:rPr>
        <w:t xml:space="preserve">Annual "State of Behavioral Health Billing" report</w:t>
      </w:r>
      <w:r>
        <w:rPr>
          <w:rFonts w:eastAsia="georgia" w:cs="georgia" w:ascii="georgia" w:hAnsi="georgia"/>
          <w:color w:val="000000"/>
          <w:sz w:val="21"/>
        </w:rPr>
        <w:t xml:space="preserve">: Publish data-driven report analyzing denial trends, payer behavior, credentialing pitfalls — position ClaimCompass as thought leader</w:t>
      </w:r>
    </w:p>
    <w:p>
      <w:pPr>
        <w:numPr>
          <w:ilvl w:val="0"/>
          <w:numId w:val="30"/>
        </w:numPr>
        <w:spacing w:line="360" w:before="105" w:after="105" w:lineRule="auto"/>
      </w:pPr>
      <w:r>
        <w:rPr>
          <w:rFonts w:eastAsia="georgia" w:cs="georgia" w:ascii="georgia" w:hAnsi="georgia"/>
          <w:b/>
          <w:color w:val="000000"/>
          <w:sz w:val="21"/>
        </w:rPr>
        <w:t xml:space="preserve">EHR native integrations</w:t>
      </w:r>
      <w:r>
        <w:rPr>
          <w:rFonts w:eastAsia="georgia" w:cs="georgia" w:ascii="georgia" w:hAnsi="georgia"/>
          <w:color w:val="000000"/>
          <w:sz w:val="21"/>
        </w:rPr>
        <w:t xml:space="preserve">: Approach SimplePractice and TherapyNotes with 1,000-user proof point to negotiate native integration partnerships</w:t>
      </w:r>
    </w:p>
    <w:p>
      <w:pPr>
        <w:numPr>
          <w:ilvl w:val="0"/>
          <w:numId w:val="30"/>
        </w:numPr>
        <w:spacing w:line="360" w:before="105" w:after="105" w:lineRule="auto"/>
      </w:pPr>
      <w:r>
        <w:rPr>
          <w:rFonts w:eastAsia="georgia" w:cs="georgia" w:ascii="georgia" w:hAnsi="georgia"/>
          <w:b/>
          <w:color w:val="000000"/>
          <w:sz w:val="21"/>
        </w:rPr>
        <w:t xml:space="preserve">White-label partnerships</w:t>
      </w:r>
      <w:r>
        <w:rPr>
          <w:rFonts w:eastAsia="georgia" w:cs="georgia" w:ascii="georgia" w:hAnsi="georgia"/>
          <w:color w:val="000000"/>
          <w:sz w:val="21"/>
        </w:rPr>
        <w:t xml:space="preserve">: License ClaimCompass technology to larger behavioral health EHRs or billing services as embedded triage layer</w:t>
      </w:r>
    </w:p>
    <w:p>
      <w:pPr>
        <w:numPr>
          <w:ilvl w:val="0"/>
          <w:numId w:val="30"/>
        </w:numPr>
        <w:spacing w:line="360" w:before="105" w:after="105" w:lineRule="auto"/>
      </w:pPr>
      <w:r>
        <w:rPr>
          <w:rFonts w:eastAsia="georgia" w:cs="georgia" w:ascii="georgia" w:hAnsi="georgia"/>
          <w:b/>
          <w:color w:val="000000"/>
          <w:sz w:val="21"/>
        </w:rPr>
        <w:t xml:space="preserve">Conference sponsorships</w:t>
      </w:r>
      <w:r>
        <w:rPr>
          <w:rFonts w:eastAsia="georgia" w:cs="georgia" w:ascii="georgia" w:hAnsi="georgia"/>
          <w:color w:val="000000"/>
          <w:sz w:val="21"/>
        </w:rPr>
        <w:t xml:space="preserve">: Sponsor APA (American Psychological Association), NASW (National Association of Social Workers), AAMFT (American Association for Marriage and Family Therapy) conferences</w:t>
      </w:r>
    </w:p>
    <w:p>
      <w:pPr>
        <w:numPr>
          <w:ilvl w:val="0"/>
          <w:numId w:val="30"/>
        </w:numPr>
        <w:spacing w:line="360" w:before="105" w:after="105" w:lineRule="auto"/>
      </w:pPr>
      <w:r>
        <w:rPr>
          <w:rFonts w:eastAsia="georgia" w:cs="georgia" w:ascii="georgia" w:hAnsi="georgia"/>
          <w:b/>
          <w:color w:val="000000"/>
          <w:sz w:val="21"/>
        </w:rPr>
        <w:t xml:space="preserve">V1+ feature expansion</w:t>
      </w:r>
      <w:r>
        <w:rPr>
          <w:rFonts w:eastAsia="georgia" w:cs="georgia" w:ascii="georgia" w:hAnsi="georgia"/>
          <w:color w:val="000000"/>
          <w:sz w:val="21"/>
        </w:rPr>
        <w:t xml:space="preserve">: Pre-submission claim linting, predictive denial scoring, write-off tax export, API for boutique billing agencies</w:t>
      </w:r>
    </w:p>
    <w:p>
      <w:pPr>
        <w:numPr>
          <w:ilvl w:val="0"/>
          <w:numId w:val="30"/>
        </w:numPr>
        <w:spacing w:line="360" w:before="105" w:after="105" w:lineRule="auto"/>
      </w:pPr>
      <w:r>
        <w:rPr>
          <w:rFonts w:eastAsia="georgia" w:cs="georgia" w:ascii="georgia" w:hAnsi="georgia"/>
          <w:b/>
          <w:color w:val="000000"/>
          <w:sz w:val="21"/>
        </w:rPr>
        <w:t xml:space="preserve">SOC 2 Type I audit</w:t>
      </w:r>
      <w:r>
        <w:rPr>
          <w:rFonts w:eastAsia="georgia" w:cs="georgia" w:ascii="georgia" w:hAnsi="georgia"/>
          <w:color w:val="000000"/>
          <w:sz w:val="21"/>
        </w:rPr>
        <w:t xml:space="preserve">: Complete compliance certification to unlock enterprise/group practice sales</w:t>
      </w:r>
    </w:p>
    <w:p>
      <w:pPr>
        <w:spacing w:line="360" w:after="210" w:lineRule="auto"/>
      </w:pPr>
      <w:r>
        <w:rPr>
          <w:rFonts w:eastAsia="georgia" w:cs="georgia" w:ascii="georgia" w:hAnsi="georgia"/>
          <w:b/>
          <w:color w:val="000000"/>
        </w:rPr>
        <w:t xml:space="preserve">Success Criteria</w:t>
      </w:r>
      <w:r>
        <w:rPr>
          <w:rFonts w:eastAsia="georgia" w:cs="georgia" w:ascii="georgia" w:hAnsi="georgia"/>
          <w:color w:val="000000"/>
        </w:rPr>
        <w:t xml:space="preserve">:</w:t>
      </w:r>
    </w:p>
    <w:p>
      <w:pPr>
        <w:numPr>
          <w:ilvl w:val="0"/>
          <w:numId w:val="31"/>
        </w:numPr>
        <w:spacing w:line="360" w:before="105" w:after="105" w:lineRule="auto"/>
      </w:pPr>
      <w:r>
        <w:rPr>
          <w:rFonts w:eastAsia="georgia" w:cs="georgia" w:ascii="georgia" w:hAnsi="georgia"/>
          <w:color w:val="000000"/>
          <w:sz w:val="21"/>
        </w:rPr>
        <w:t xml:space="preserve">1,000 paying users by month 24</w:t>
      </w:r>
    </w:p>
    <w:p>
      <w:pPr>
        <w:numPr>
          <w:ilvl w:val="0"/>
          <w:numId w:val="31"/>
        </w:numPr>
        <w:spacing w:line="360" w:before="105" w:after="105" w:lineRule="auto"/>
      </w:pPr>
      <w:r>
        <w:rPr>
          <w:rFonts w:eastAsia="georgia" w:cs="georgia" w:ascii="georgia" w:hAnsi="georgia"/>
          <w:color w:val="000000"/>
          <w:sz w:val="21"/>
        </w:rPr>
        <w:t xml:space="preserve">$100K+ MRR ($1.2M ARR)</w:t>
      </w:r>
    </w:p>
    <w:p>
      <w:pPr>
        <w:numPr>
          <w:ilvl w:val="0"/>
          <w:numId w:val="31"/>
        </w:numPr>
        <w:spacing w:line="360" w:before="105" w:after="105" w:lineRule="auto"/>
      </w:pPr>
      <w:r>
        <w:rPr>
          <w:rFonts w:eastAsia="georgia" w:cs="georgia" w:ascii="georgia" w:hAnsi="georgia"/>
          <w:color w:val="000000"/>
          <w:sz w:val="21"/>
        </w:rPr>
        <w:t xml:space="preserve">Gross margin &gt; 70%</w:t>
      </w:r>
    </w:p>
    <w:p>
      <w:pPr>
        <w:numPr>
          <w:ilvl w:val="0"/>
          <w:numId w:val="31"/>
        </w:numPr>
        <w:spacing w:line="360" w:before="105" w:after="105" w:lineRule="auto"/>
      </w:pPr>
      <w:r>
        <w:rPr>
          <w:rFonts w:eastAsia="georgia" w:cs="georgia" w:ascii="georgia" w:hAnsi="georgia"/>
          <w:color w:val="000000"/>
          <w:sz w:val="21"/>
        </w:rPr>
        <w:t xml:space="preserve">Category recognition: "The therapist revenue copilot" becomes industry shorthand</w:t>
      </w:r>
    </w:p>
    <w:p>
      <w:pPr>
        <w:spacing w:line="360" w:before="315" w:after="105" w:lineRule="auto"/>
        <w:ind w:left="-30"/>
        <w:jc w:val="left"/>
      </w:pPr>
      <w:bookmarkStart w:id="35" w:name="conclusion"/>
      <w:r>
        <w:rPr>
          <w:rFonts w:eastAsia="georgia" w:cs="georgia" w:ascii="georgia" w:hAnsi="georgia"/>
          <w:b/>
          <w:color w:val="000000"/>
          <w:sz w:val="24"/>
        </w:rPr>
        <w:t xml:space="preserve">Conclusion</w:t>
      </w:r>
      <w:bookmarkEnd w:id="35"/>
    </w:p>
    <w:p>
      <w:pPr>
        <w:spacing w:line="360" w:after="210" w:lineRule="auto"/>
      </w:pPr>
      <w:r>
        <w:rPr>
          <w:rFonts w:eastAsia="georgia" w:cs="georgia" w:ascii="georgia" w:hAnsi="georgia"/>
          <w:color w:val="000000"/>
        </w:rPr>
        <w:t xml:space="preserve">ClaimCompass enters a $65+ billion RCM market with a differentiated thesis: behavioral health therapists don't need more appeal letters — they need triage, credentialing health, and decision support at accessible pricing. By positioning as a "therapist revenue guardrail" rather than an appeal generator, ClaimCompass owns white space competitors have missed: the full insurance ops arc (before, during, and after denial) for the 90%+ of therapists using SimplePractice or TherapyNotes who cannot afford $1,000+/month enterprise RCM.[</w:t>
      </w:r>
      <w:r>
        <w:rPr>
          <w:rFonts w:eastAsia="georgia" w:cs="georgia" w:ascii="georgia" w:hAnsi="georgia"/>
          <w:color w:val="000000"/>
          <w:vertAlign w:val="superscript"/>
        </w:rPr>
        <w:t xml:space="preserve">1][</w:t>
      </w:r>
      <w:r>
        <w:rPr>
          <w:rFonts w:eastAsia="georgia" w:cs="georgia" w:ascii="georgia" w:hAnsi="georgia"/>
          <w:color w:val="000000"/>
        </w:rPr>
        <w:t xml:space="preserve">6]</w:t>
      </w:r>
    </w:p>
    <w:p>
      <w:pPr>
        <w:spacing w:line="360" w:after="210" w:lineRule="auto"/>
      </w:pPr>
      <w:r>
        <w:rPr>
          <w:rFonts w:eastAsia="georgia" w:cs="georgia" w:ascii="georgia" w:hAnsi="georgia"/>
          <w:color w:val="000000"/>
        </w:rPr>
        <w:t xml:space="preserve">The market opportunity is validated by behavioral health's 30% denial rate (vs. 8-12% general medicine), 81.7% overturn rate on appeals (proving denials are unjustified), and solo therapists losing $35,000+ annually to revenue leakage at 82% collection rates. At $79-$249/month, ClaimCompass sits between self-managed billing's revenue leakage and enterprise RCM's cost burden — a defensible middle-market position.[</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after="210" w:lineRule="auto"/>
      </w:pPr>
      <w:r>
        <w:rPr>
          <w:rFonts w:eastAsia="georgia" w:cs="georgia" w:ascii="georgia" w:hAnsi="georgia"/>
          <w:color w:val="000000"/>
        </w:rPr>
        <w:t xml:space="preserve">The technical architecture (EHR-agnostic uploads, tiered OCR, LLM-powered triage, public-dataset credentialing signals, prompt-cached payer playbooks, prevention loop) is designed for 8-12 week MVP delivery, validated by 5 design-partner therapists before scaling. Risks — payer playbook quality, OCR accuracy, trust/HIPAA concerns, LLM cost, competitive response — all have mitigation strategies grounded in day-1 execution priorities.</w:t>
      </w:r>
    </w:p>
    <w:p>
      <w:pPr>
        <w:spacing w:line="360" w:after="210" w:lineRule="auto"/>
      </w:pPr>
      <w:r>
        <w:rPr>
          <w:rFonts w:eastAsia="georgia" w:cs="georgia" w:ascii="georgia" w:hAnsi="georgia"/>
          <w:color w:val="000000"/>
        </w:rPr>
        <w:t xml:space="preserve">The GTM strategy leverages SEO content, Reddit/Facebook therapist communities, freemium decode tools, therapist consultant partnerships, and Headway/Alma exit demand to reach 50 users by month 6 (product-market fit validation), 200 by month 12 (scaling phase), and 1,000 by month 24 (category leadership). Success metrics are user retention &gt; 70%, NPS &gt; 40, triage helpfulness &gt; 80%, and CAC payback &lt; 6 months.</w:t>
      </w:r>
    </w:p>
    <w:p>
      <w:pPr>
        <w:spacing w:line="360" w:after="210" w:lineRule="auto"/>
      </w:pPr>
      <w:r>
        <w:rPr>
          <w:rFonts w:eastAsia="georgia" w:cs="georgia" w:ascii="georgia" w:hAnsi="georgia"/>
          <w:color w:val="000000"/>
        </w:rPr>
        <w:t xml:space="preserve">ClaimCompass does not replace EHRs, compete with clearinghouses, or promise credentialing verification. It owns a specific, high-value job: "Tell me what this denial means and what to do next" — positioned as a calm billing expert for therapists who are scared, confused, and tired of losing $35,000 annually to preventable claim issues. That narrow focus, combined with behavioral-health-specific depth, is the moat.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references"/>
      <w:r>
        <w:rPr>
          <w:rFonts w:eastAsia="georgia" w:cs="georgia" w:ascii="georgia" w:hAnsi="georgia"/>
          <w:b/>
          <w:color w:val="000000"/>
          <w:sz w:val="24"/>
        </w:rPr>
        <w:t xml:space="preserve">References</w:t>
      </w:r>
      <w:bookmarkEnd w:id="36"/>
    </w:p>
    <w:p>
      <w:pPr>
        <w:numPr>
          <w:ilvl w:val="0"/>
          <w:numId w:val="32"/>
        </w:numPr>
        <w:spacing w:line="360" w:after="210" w:lineRule="auto"/>
      </w:pPr>
      <w:hyperlink r:id="rId11">
        <w:r>
          <w:rPr>
            <w:rFonts w:eastAsia="helvetica neue" w:cs="helvetica neue" w:ascii="helvetica neue" w:hAnsi="helvetica neue"/>
            <w:color w:val="#000"/>
            <w:sz w:val="21"/>
            <w:u w:val="single"/>
          </w:rPr>
          <w:t xml:space="preserve">U.S. Healthcare RCM Market Climbs to $195.92 Billion by 2035 as ...</w:t>
        </w:r>
      </w:hyperlink>
      <w:r>
        <w:rPr>
          <w:rFonts w:eastAsia="georgia" w:cs="georgia" w:ascii="georgia" w:hAnsi="georgia"/>
          <w:color w:val="000000"/>
          <w:sz w:val="21"/>
        </w:rPr>
        <w:t xml:space="preserve"> - Ottawa, Nov. 24, 2025 (GLOBE NEWSWIRE) -- The U.S. healthcare revenue cycle management market size w...</w:t>
      </w:r>
    </w:p>
    <w:p>
      <w:pPr>
        <w:numPr>
          <w:ilvl w:val="0"/>
          <w:numId w:val="32"/>
        </w:numPr>
        <w:spacing w:line="360" w:after="210" w:lineRule="auto"/>
      </w:pPr>
      <w:hyperlink r:id="rId12">
        <w:r>
          <w:rPr>
            <w:rFonts w:eastAsia="helvetica neue" w:cs="helvetica neue" w:ascii="helvetica neue" w:hAnsi="helvetica neue"/>
            <w:color w:val="#000"/>
            <w:sz w:val="21"/>
            <w:u w:val="single"/>
          </w:rPr>
          <w:t xml:space="preserve">Behavioral Health Is Booming —But RCM Isn't Ready (Yet)!</w:t>
        </w:r>
      </w:hyperlink>
      <w:r>
        <w:rPr>
          <w:rFonts w:eastAsia="georgia" w:cs="georgia" w:ascii="georgia" w:hAnsi="georgia"/>
          <w:color w:val="000000"/>
          <w:sz w:val="21"/>
        </w:rPr>
        <w:t xml:space="preserve"> - In an often-quoted 2025 report by Precedence Research, the U.S. behavioral health market is projecte...</w:t>
      </w:r>
    </w:p>
    <w:p>
      <w:pPr>
        <w:numPr>
          <w:ilvl w:val="0"/>
          <w:numId w:val="32"/>
        </w:numPr>
        <w:spacing w:line="360" w:after="210" w:lineRule="auto"/>
      </w:pPr>
      <w:hyperlink r:id="rId13">
        <w:r>
          <w:rPr>
            <w:rFonts w:eastAsia="helvetica neue" w:cs="helvetica neue" w:ascii="helvetica neue" w:hAnsi="helvetica neue"/>
            <w:color w:val="#000"/>
            <w:sz w:val="21"/>
            <w:u w:val="single"/>
          </w:rPr>
          <w:t xml:space="preserve">Why does therapy have such a brutal claim denial rate compared to ...</w:t>
        </w:r>
      </w:hyperlink>
      <w:r>
        <w:rPr>
          <w:rFonts w:eastAsia="georgia" w:cs="georgia" w:ascii="georgia" w:hAnsi="georgia"/>
          <w:color w:val="000000"/>
          <w:sz w:val="21"/>
        </w:rPr>
        <w:t xml:space="preserve"> - My understanding is SimplePractice submits the claim but doesn't do anything about whether the docum...</w:t>
      </w:r>
    </w:p>
    <w:p>
      <w:pPr>
        <w:numPr>
          <w:ilvl w:val="0"/>
          <w:numId w:val="32"/>
        </w:numPr>
        <w:spacing w:line="360" w:after="210" w:lineRule="auto"/>
      </w:pPr>
      <w:hyperlink r:id="rId14">
        <w:r>
          <w:rPr>
            <w:rFonts w:eastAsia="helvetica neue" w:cs="helvetica neue" w:ascii="helvetica neue" w:hAnsi="helvetica neue"/>
            <w:color w:val="#000"/>
            <w:sz w:val="21"/>
            <w:u w:val="single"/>
          </w:rPr>
          <w:t xml:space="preserve">Mental Health Billing for Small Practices: 2026 Guide</w:t>
        </w:r>
      </w:hyperlink>
      <w:r>
        <w:rPr>
          <w:rFonts w:eastAsia="georgia" w:cs="georgia" w:ascii="georgia" w:hAnsi="georgia"/>
          <w:color w:val="000000"/>
          <w:sz w:val="21"/>
        </w:rPr>
        <w:t xml:space="preserve"> - A solo therapist seeing 25 patients a week at a $150 reimbursement average should be collecting $195...</w:t>
      </w:r>
    </w:p>
    <w:p>
      <w:pPr>
        <w:numPr>
          <w:ilvl w:val="0"/>
          <w:numId w:val="32"/>
        </w:numPr>
        <w:spacing w:line="360" w:after="210" w:lineRule="auto"/>
      </w:pPr>
      <w:hyperlink r:id="rId15">
        <w:r>
          <w:rPr>
            <w:rFonts w:eastAsia="helvetica neue" w:cs="helvetica neue" w:ascii="helvetica neue" w:hAnsi="helvetica neue"/>
            <w:color w:val="#000"/>
            <w:sz w:val="21"/>
            <w:u w:val="single"/>
          </w:rPr>
          <w:t xml:space="preserve">How Much Did Therapists Make in 2025? - Heard</w:t>
        </w:r>
      </w:hyperlink>
      <w:r>
        <w:rPr>
          <w:rFonts w:eastAsia="georgia" w:cs="georgia" w:ascii="georgia" w:hAnsi="georgia"/>
          <w:color w:val="000000"/>
          <w:sz w:val="21"/>
        </w:rPr>
        <w:t xml:space="preserve"> - Income Data From Heard Practices. This report breaks down what therapists are making, how practice s...</w:t>
      </w:r>
    </w:p>
    <w:p>
      <w:pPr>
        <w:numPr>
          <w:ilvl w:val="0"/>
          <w:numId w:val="32"/>
        </w:numPr>
        <w:spacing w:line="360" w:after="210" w:lineRule="auto"/>
      </w:pPr>
      <w:hyperlink r:id="rId16">
        <w:r>
          <w:rPr>
            <w:rFonts w:eastAsia="helvetica neue" w:cs="helvetica neue" w:ascii="helvetica neue" w:hAnsi="helvetica neue"/>
            <w:color w:val="#000"/>
            <w:sz w:val="21"/>
            <w:u w:val="single"/>
          </w:rPr>
          <w:t xml:space="preserve">EHR usage: SimplePractice leads, others struggle to gain traction</w:t>
        </w:r>
      </w:hyperlink>
      <w:r>
        <w:rPr>
          <w:rFonts w:eastAsia="georgia" w:cs="georgia" w:ascii="georgia" w:hAnsi="georgia"/>
          <w:color w:val="000000"/>
          <w:sz w:val="21"/>
        </w:rPr>
        <w:t xml:space="preserve"> - Want to know just how hard it is to build an EHR and win adoption? We looked at EHR usage at Heard b...</w:t>
      </w:r>
    </w:p>
    <w:p>
      <w:pPr>
        <w:numPr>
          <w:ilvl w:val="0"/>
          <w:numId w:val="32"/>
        </w:numPr>
        <w:spacing w:line="360" w:after="210" w:lineRule="auto"/>
      </w:pPr>
      <w:hyperlink r:id="rId17">
        <w:r>
          <w:rPr>
            <w:rFonts w:eastAsia="helvetica neue" w:cs="helvetica neue" w:ascii="helvetica neue" w:hAnsi="helvetica neue"/>
            <w:color w:val="#000"/>
            <w:sz w:val="21"/>
            <w:u w:val="single"/>
          </w:rPr>
          <w:t xml:space="preserve">Revenue Cycle Management Market to Reach US$ 291.19 Billion ...</w:t>
        </w:r>
      </w:hyperlink>
      <w:r>
        <w:rPr>
          <w:rFonts w:eastAsia="georgia" w:cs="georgia" w:ascii="georgia" w:hAnsi="georgia"/>
          <w:color w:val="000000"/>
          <w:sz w:val="21"/>
        </w:rPr>
        <w:t xml:space="preserve"> - Services dominated the RCM market in 2024 with revenues of US$ 62 billion. Outsourced billing, codin...</w:t>
      </w:r>
    </w:p>
    <w:p>
      <w:pPr>
        <w:numPr>
          <w:ilvl w:val="0"/>
          <w:numId w:val="32"/>
        </w:numPr>
        <w:spacing w:line="360" w:after="210" w:lineRule="auto"/>
      </w:pPr>
      <w:hyperlink r:id="rId18">
        <w:r>
          <w:rPr>
            <w:rFonts w:eastAsia="helvetica neue" w:cs="helvetica neue" w:ascii="helvetica neue" w:hAnsi="helvetica neue"/>
            <w:color w:val="#000"/>
            <w:sz w:val="21"/>
            <w:u w:val="single"/>
          </w:rPr>
          <w:t xml:space="preserve">Therapist Practice Management Software Market Size, Share, Growth</w:t>
        </w:r>
      </w:hyperlink>
      <w:r>
        <w:rPr>
          <w:rFonts w:eastAsia="georgia" w:cs="georgia" w:ascii="georgia" w:hAnsi="georgia"/>
          <w:color w:val="000000"/>
          <w:sz w:val="21"/>
        </w:rPr>
        <w:t xml:space="preserve"> - Therapist Practice Management Software Market size was valued at USD 420.75 million in 2025 and the ...</w:t>
      </w:r>
    </w:p>
    <w:p>
      <w:pPr>
        <w:numPr>
          <w:ilvl w:val="0"/>
          <w:numId w:val="32"/>
        </w:numPr>
        <w:spacing w:line="360" w:after="210" w:lineRule="auto"/>
      </w:pPr>
      <w:hyperlink r:id="rId19">
        <w:r>
          <w:rPr>
            <w:rFonts w:eastAsia="helvetica neue" w:cs="helvetica neue" w:ascii="helvetica neue" w:hAnsi="helvetica neue"/>
            <w:color w:val="#000"/>
            <w:sz w:val="21"/>
            <w:u w:val="single"/>
          </w:rPr>
          <w:t xml:space="preserve">Behavioral Health and Substance Use Disorders Billing in 2025</w:t>
        </w:r>
      </w:hyperlink>
      <w:r>
        <w:rPr>
          <w:rFonts w:eastAsia="georgia" w:cs="georgia" w:ascii="georgia" w:hAnsi="georgia"/>
          <w:color w:val="000000"/>
          <w:sz w:val="21"/>
        </w:rPr>
        <w:t xml:space="preserve"> - This guide outlines the most significant updates, challenges, and strategies for mastering behaviora...</w:t>
      </w:r>
    </w:p>
    <w:p>
      <w:pPr>
        <w:numPr>
          <w:ilvl w:val="0"/>
          <w:numId w:val="32"/>
        </w:numPr>
        <w:spacing w:line="360" w:after="210" w:lineRule="auto"/>
      </w:pPr>
      <w:hyperlink r:id="rId20">
        <w:r>
          <w:rPr>
            <w:rFonts w:eastAsia="helvetica neue" w:cs="helvetica neue" w:ascii="helvetica neue" w:hAnsi="helvetica neue"/>
            <w:color w:val="#000"/>
            <w:sz w:val="21"/>
            <w:u w:val="single"/>
          </w:rPr>
          <w:t xml:space="preserve">The Trends Set to Reshape Behavioral Health Billing in 2025</w:t>
        </w:r>
      </w:hyperlink>
      <w:r>
        <w:rPr>
          <w:rFonts w:eastAsia="georgia" w:cs="georgia" w:ascii="georgia" w:hAnsi="georgia"/>
          <w:color w:val="000000"/>
          <w:sz w:val="21"/>
        </w:rPr>
        <w:t xml:space="preserve"> - Digital health is another fast growing piece of behavioral health billing. In 2025, Medicare will be...</w:t>
      </w:r>
    </w:p>
    <w:p>
      <w:pPr>
        <w:numPr>
          <w:ilvl w:val="0"/>
          <w:numId w:val="32"/>
        </w:numPr>
        <w:spacing w:line="360" w:after="210" w:lineRule="auto"/>
      </w:pPr>
      <w:hyperlink r:id="rId21">
        <w:r>
          <w:rPr>
            <w:rFonts w:eastAsia="helvetica neue" w:cs="helvetica neue" w:ascii="helvetica neue" w:hAnsi="helvetica neue"/>
            <w:color w:val="#000"/>
            <w:sz w:val="21"/>
            <w:u w:val="single"/>
          </w:rPr>
          <w:t xml:space="preserve">Mental health Insurance</w:t>
        </w:r>
      </w:hyperlink>
      <w:r>
        <w:rPr>
          <w:rFonts w:eastAsia="georgia" w:cs="georgia" w:ascii="georgia" w:hAnsi="georgia"/>
          <w:color w:val="000000"/>
          <w:sz w:val="21"/>
        </w:rPr>
        <w:t xml:space="preserve"> - Mental health Insurance</w:t>
      </w:r>
    </w:p>
    <w:p>
      <w:pPr>
        <w:numPr>
          <w:ilvl w:val="0"/>
          <w:numId w:val="32"/>
        </w:numPr>
        <w:spacing w:line="360" w:after="210" w:lineRule="auto"/>
      </w:pPr>
      <w:hyperlink r:id="rId22">
        <w:r>
          <w:rPr>
            <w:rFonts w:eastAsia="helvetica neue" w:cs="helvetica neue" w:ascii="helvetica neue" w:hAnsi="helvetica neue"/>
            <w:color w:val="#000"/>
            <w:sz w:val="21"/>
            <w:u w:val="single"/>
          </w:rPr>
          <w:t xml:space="preserve">Payer Denial Tactics — How to Confront a $20 Billion Problem | AHA</w:t>
        </w:r>
      </w:hyperlink>
      <w:r>
        <w:rPr>
          <w:rFonts w:eastAsia="georgia" w:cs="georgia" w:ascii="georgia" w:hAnsi="georgia"/>
          <w:color w:val="000000"/>
          <w:sz w:val="21"/>
        </w:rPr>
        <w:t xml:space="preserve"> - Denied claims tended to be more prevalent for higher-cost treatments, with the average denial pegged...</w:t>
      </w:r>
    </w:p>
    <w:p>
      <w:pPr>
        <w:numPr>
          <w:ilvl w:val="0"/>
          <w:numId w:val="32"/>
        </w:numPr>
        <w:spacing w:line="360" w:after="210" w:lineRule="auto"/>
      </w:pPr>
      <w:hyperlink r:id="rId23">
        <w:r>
          <w:rPr>
            <w:rFonts w:eastAsia="helvetica neue" w:cs="helvetica neue" w:ascii="helvetica neue" w:hAnsi="helvetica neue"/>
            <w:color w:val="#000"/>
            <w:sz w:val="21"/>
            <w:u w:val="single"/>
          </w:rPr>
          <w:t xml:space="preserve">Trend Alert: Private Payers Retain Profits by Refusing or Delaying ...</w:t>
        </w:r>
      </w:hyperlink>
      <w:r>
        <w:rPr>
          <w:rFonts w:eastAsia="georgia" w:cs="georgia" w:ascii="georgia" w:hAnsi="georgia"/>
          <w:color w:val="000000"/>
          <w:sz w:val="21"/>
        </w:rPr>
        <w:t xml:space="preserve"> - Nearly 15 percent of medical claims submitted to private payers for reimbursement are initially deni...</w:t>
      </w:r>
    </w:p>
    <w:p>
      <w:pPr>
        <w:numPr>
          <w:ilvl w:val="0"/>
          <w:numId w:val="32"/>
        </w:numPr>
        <w:spacing w:line="360" w:after="210" w:lineRule="auto"/>
      </w:pPr>
      <w:hyperlink r:id="rId24">
        <w:r>
          <w:rPr>
            <w:rFonts w:eastAsia="helvetica neue" w:cs="helvetica neue" w:ascii="helvetica neue" w:hAnsi="helvetica neue"/>
            <w:color w:val="#000"/>
            <w:sz w:val="21"/>
            <w:u w:val="single"/>
          </w:rPr>
          <w:t xml:space="preserve">Transforming Appeals Management With Automation - AGS Health</w:t>
        </w:r>
      </w:hyperlink>
      <w:r>
        <w:rPr>
          <w:rFonts w:eastAsia="georgia" w:cs="georgia" w:ascii="georgia" w:hAnsi="georgia"/>
          <w:color w:val="000000"/>
          <w:sz w:val="21"/>
        </w:rPr>
        <w:t xml:space="preserve"> - Among those that are appealed, the average cost approaches $200 per case, with complex clinical deni...</w:t>
      </w:r>
    </w:p>
    <w:p>
      <w:pPr>
        <w:numPr>
          <w:ilvl w:val="0"/>
          <w:numId w:val="32"/>
        </w:numPr>
        <w:spacing w:line="360" w:after="210" w:lineRule="auto"/>
      </w:pPr>
      <w:hyperlink r:id="rId25">
        <w:r>
          <w:rPr>
            <w:rFonts w:eastAsia="helvetica neue" w:cs="helvetica neue" w:ascii="helvetica neue" w:hAnsi="helvetica neue"/>
            <w:color w:val="#000"/>
            <w:sz w:val="21"/>
            <w:u w:val="single"/>
          </w:rPr>
          <w:t xml:space="preserve">AI for healthcare claim appeals by Aegis founders | Y Combinator ...</w:t>
        </w:r>
      </w:hyperlink>
      <w:r>
        <w:rPr>
          <w:rFonts w:eastAsia="georgia" w:cs="georgia" w:ascii="georgia" w:hAnsi="georgia"/>
          <w:color w:val="000000"/>
          <w:sz w:val="21"/>
        </w:rPr>
        <w:t xml:space="preserve"> - Aegis (YC X25) helps healthcare providers automatically appeal denied insurance claims, recovering l...</w:t>
      </w:r>
    </w:p>
    <w:p>
      <w:pPr>
        <w:numPr>
          <w:ilvl w:val="0"/>
          <w:numId w:val="32"/>
        </w:numPr>
        <w:spacing w:line="360" w:after="210" w:lineRule="auto"/>
      </w:pPr>
      <w:hyperlink r:id="rId26">
        <w:r>
          <w:rPr>
            <w:rFonts w:eastAsia="helvetica neue" w:cs="helvetica neue" w:ascii="helvetica neue" w:hAnsi="helvetica neue"/>
            <w:color w:val="#000"/>
            <w:sz w:val="21"/>
            <w:u w:val="single"/>
          </w:rPr>
          <w:t xml:space="preserve">What Is CAQH Credentialing? - MedTrainer</w:t>
        </w:r>
      </w:hyperlink>
      <w:r>
        <w:rPr>
          <w:rFonts w:eastAsia="georgia" w:cs="georgia" w:ascii="georgia" w:hAnsi="georgia"/>
          <w:color w:val="000000"/>
          <w:sz w:val="21"/>
        </w:rPr>
        <w:t xml:space="preserve"> - CAQH re-attestation is a requirement every 120 days, as regular updates ensure that any changes in p...</w:t>
      </w:r>
    </w:p>
    <w:p>
      <w:pPr>
        <w:numPr>
          <w:ilvl w:val="0"/>
          <w:numId w:val="32"/>
        </w:numPr>
        <w:spacing w:line="360" w:after="210" w:lineRule="auto"/>
      </w:pPr>
      <w:hyperlink r:id="rId27">
        <w:r>
          <w:rPr>
            <w:rFonts w:eastAsia="helvetica neue" w:cs="helvetica neue" w:ascii="helvetica neue" w:hAnsi="helvetica neue"/>
            <w:color w:val="#000"/>
            <w:sz w:val="21"/>
            <w:u w:val="single"/>
          </w:rPr>
          <w:t xml:space="preserve">Insurance Credentialing Pitfalls That Cost Therapists Thousands</w:t>
        </w:r>
      </w:hyperlink>
      <w:r>
        <w:rPr>
          <w:rFonts w:eastAsia="georgia" w:cs="georgia" w:ascii="georgia" w:hAnsi="georgia"/>
          <w:color w:val="000000"/>
          <w:sz w:val="21"/>
        </w:rPr>
        <w:t xml:space="preserve"> - Insurance credentialing mistakes can quietly cost mental health clinicians thousands of dollars thro...</w:t>
      </w:r>
    </w:p>
    <w:p>
      <w:pPr>
        <w:numPr>
          <w:ilvl w:val="0"/>
          <w:numId w:val="32"/>
        </w:numPr>
        <w:spacing w:line="360" w:after="210" w:lineRule="auto"/>
      </w:pPr>
      <w:hyperlink r:id="rId28">
        <w:r>
          <w:rPr>
            <w:rFonts w:eastAsia="helvetica neue" w:cs="helvetica neue" w:ascii="helvetica neue" w:hAnsi="helvetica neue"/>
            <w:color w:val="#000"/>
            <w:sz w:val="21"/>
            <w:u w:val="single"/>
          </w:rPr>
          <w:t xml:space="preserve">A Comprehensive Guide to CAQH Re-attestation: Ensuring Accur</w:t>
        </w:r>
      </w:hyperlink>
      <w:r>
        <w:rPr>
          <w:rFonts w:eastAsia="georgia" w:cs="georgia" w:ascii="georgia" w:hAnsi="georgia"/>
          <w:color w:val="000000"/>
          <w:sz w:val="21"/>
        </w:rPr>
        <w:t xml:space="preserve"> - CAQH re-attestation refers to the periodic process through which healthcare providers update and con...</w:t>
      </w:r>
    </w:p>
    <w:p>
      <w:pPr>
        <w:numPr>
          <w:ilvl w:val="0"/>
          <w:numId w:val="32"/>
        </w:numPr>
        <w:spacing w:line="360" w:after="210" w:lineRule="auto"/>
      </w:pPr>
      <w:hyperlink r:id="rId29">
        <w:r>
          <w:rPr>
            <w:rFonts w:eastAsia="helvetica neue" w:cs="helvetica neue" w:ascii="helvetica neue" w:hAnsi="helvetica neue"/>
            <w:color w:val="#000"/>
            <w:sz w:val="21"/>
            <w:u w:val="single"/>
          </w:rPr>
          <w:t xml:space="preserve">Re-attestation Critical as Healthcare Organizations Return to Normal</w:t>
        </w:r>
      </w:hyperlink>
      <w:r>
        <w:rPr>
          <w:rFonts w:eastAsia="georgia" w:cs="georgia" w:ascii="georgia" w:hAnsi="georgia"/>
          <w:color w:val="000000"/>
          <w:sz w:val="21"/>
        </w:rPr>
        <w:t xml:space="preserve"> - For providers, the process takes just a few minutes to log in to CAQH ProView, update the informatio...</w:t>
      </w:r>
    </w:p>
    <w:p>
      <w:pPr>
        <w:numPr>
          <w:ilvl w:val="0"/>
          <w:numId w:val="32"/>
        </w:numPr>
        <w:spacing w:line="360" w:after="210" w:lineRule="auto"/>
      </w:pPr>
      <w:hyperlink r:id="rId30">
        <w:r>
          <w:rPr>
            <w:rFonts w:eastAsia="helvetica neue" w:cs="helvetica neue" w:ascii="helvetica neue" w:hAnsi="helvetica neue"/>
            <w:color w:val="#000"/>
            <w:sz w:val="21"/>
            <w:u w:val="single"/>
          </w:rPr>
          <w:t xml:space="preserve">Pricing Deep Dive</w:t>
        </w:r>
      </w:hyperlink>
      <w:r>
        <w:rPr>
          <w:rFonts w:eastAsia="georgia" w:cs="georgia" w:ascii="georgia" w:hAnsi="georgia"/>
          <w:color w:val="000000"/>
          <w:sz w:val="21"/>
        </w:rPr>
        <w:t xml:space="preserve"> - An in-depth, side-by-side comparison of TherapyNotes and SimplePractice — the two most popular EHR p...</w:t>
      </w:r>
    </w:p>
    <w:p>
      <w:pPr>
        <w:numPr>
          <w:ilvl w:val="0"/>
          <w:numId w:val="32"/>
        </w:numPr>
        <w:spacing w:line="360" w:after="210" w:lineRule="auto"/>
      </w:pPr>
      <w:hyperlink r:id="rId31">
        <w:r>
          <w:rPr>
            <w:rFonts w:eastAsia="helvetica neue" w:cs="helvetica neue" w:ascii="helvetica neue" w:hAnsi="helvetica neue"/>
            <w:color w:val="#000"/>
            <w:sz w:val="21"/>
            <w:u w:val="single"/>
          </w:rPr>
          <w:t xml:space="preserve">SimplePractice vs TherapyNotes Comparison (2026) - EHR Insider</w:t>
        </w:r>
      </w:hyperlink>
      <w:r>
        <w:rPr>
          <w:rFonts w:eastAsia="georgia" w:cs="georgia" w:ascii="georgia" w:hAnsi="georgia"/>
          <w:color w:val="000000"/>
          <w:sz w:val="21"/>
        </w:rPr>
        <w:t xml:space="preserve"> - Compare SimplePractice vs TherapyNotes in our detailed 2026 comparison. See ratings, pricing, featur...</w:t>
      </w:r>
    </w:p>
    <w:p>
      <w:pPr>
        <w:numPr>
          <w:ilvl w:val="0"/>
          <w:numId w:val="32"/>
        </w:numPr>
        <w:spacing w:line="360" w:after="210" w:lineRule="auto"/>
      </w:pPr>
      <w:hyperlink r:id="rId32">
        <w:r>
          <w:rPr>
            <w:rFonts w:eastAsia="helvetica neue" w:cs="helvetica neue" w:ascii="helvetica neue" w:hAnsi="helvetica neue"/>
            <w:color w:val="#000"/>
            <w:sz w:val="21"/>
            <w:u w:val="single"/>
          </w:rPr>
          <w:t xml:space="preserve">SimplePractice Vs. TherapyNotes: Comparison, Cost, &amp; Key Features</w:t>
        </w:r>
      </w:hyperlink>
      <w:r>
        <w:rPr>
          <w:rFonts w:eastAsia="georgia" w:cs="georgia" w:ascii="georgia" w:hAnsi="georgia"/>
          <w:color w:val="000000"/>
          <w:sz w:val="21"/>
        </w:rPr>
        <w:t xml:space="preserve"> - TherapyNotes and SimplePractice are two of the most popular EHRs for therapists and mental health pr...</w:t>
      </w:r>
    </w:p>
    <w:p>
      <w:pPr>
        <w:numPr>
          <w:ilvl w:val="0"/>
          <w:numId w:val="32"/>
        </w:numPr>
        <w:spacing w:line="360" w:after="210" w:lineRule="auto"/>
      </w:pPr>
      <w:hyperlink r:id="rId33">
        <w:r>
          <w:rPr>
            <w:rFonts w:eastAsia="helvetica neue" w:cs="helvetica neue" w:ascii="helvetica neue" w:hAnsi="helvetica neue"/>
            <w:color w:val="#000"/>
            <w:sz w:val="21"/>
            <w:u w:val="single"/>
          </w:rPr>
          <w:t xml:space="preserve">Behavioral &amp; mental health EHR: major products and players</w:t>
        </w:r>
      </w:hyperlink>
      <w:r>
        <w:rPr>
          <w:rFonts w:eastAsia="georgia" w:cs="georgia" w:ascii="georgia" w:hAnsi="georgia"/>
          <w:color w:val="000000"/>
          <w:sz w:val="21"/>
        </w:rPr>
        <w:t xml:space="preserve"> - Learn about some of the popular products available in the mental health EHR software market. Exclusi...</w:t>
      </w:r>
    </w:p>
    <w:p>
      <w:pPr>
        <w:numPr>
          <w:ilvl w:val="0"/>
          <w:numId w:val="32"/>
        </w:numPr>
        <w:spacing w:line="360" w:after="210" w:lineRule="auto"/>
      </w:pPr>
      <w:hyperlink r:id="rId34">
        <w:r>
          <w:rPr>
            <w:rFonts w:eastAsia="helvetica neue" w:cs="helvetica neue" w:ascii="helvetica neue" w:hAnsi="helvetica neue"/>
            <w:color w:val="#000"/>
            <w:sz w:val="21"/>
            <w:u w:val="single"/>
          </w:rPr>
          <w:t xml:space="preserve">Clearinghouse Pricing | TherapyPM Claims Processing Plans</w:t>
        </w:r>
      </w:hyperlink>
      <w:r>
        <w:rPr>
          <w:rFonts w:eastAsia="georgia" w:cs="georgia" w:ascii="georgia" w:hAnsi="georgia"/>
          <w:color w:val="000000"/>
          <w:sz w:val="21"/>
        </w:rPr>
        <w:t xml:space="preserve"> - Submit up to 75 claims as part of your monthly plan—no per-claim charges until you exceed this claim...</w:t>
      </w:r>
    </w:p>
    <w:p>
      <w:pPr>
        <w:numPr>
          <w:ilvl w:val="0"/>
          <w:numId w:val="32"/>
        </w:numPr>
        <w:spacing w:line="360" w:after="210" w:lineRule="auto"/>
      </w:pPr>
      <w:hyperlink r:id="rId35">
        <w:r>
          <w:rPr>
            <w:rFonts w:eastAsia="helvetica neue" w:cs="helvetica neue" w:ascii="helvetica neue" w:hAnsi="helvetica neue"/>
            <w:color w:val="#000"/>
            <w:sz w:val="21"/>
            <w:u w:val="single"/>
          </w:rPr>
          <w:t xml:space="preserve">Clearinghouse Charges - Electronic Claims - CharmHealth</w:t>
        </w:r>
      </w:hyperlink>
      <w:r>
        <w:rPr>
          <w:rFonts w:eastAsia="georgia" w:cs="georgia" w:ascii="georgia" w:hAnsi="georgia"/>
          <w:color w:val="000000"/>
          <w:sz w:val="21"/>
        </w:rPr>
        <w:t xml:space="preserve"> - Paper Claim submission through the Clearinghouse is charged at $2 per claim submission.</w:t>
      </w:r>
    </w:p>
    <w:p>
      <w:pPr>
        <w:numPr>
          <w:ilvl w:val="0"/>
          <w:numId w:val="32"/>
        </w:numPr>
        <w:spacing w:line="360" w:after="210" w:lineRule="auto"/>
      </w:pPr>
      <w:hyperlink r:id="rId36">
        <w:r>
          <w:rPr>
            <w:rFonts w:eastAsia="helvetica neue" w:cs="helvetica neue" w:ascii="helvetica neue" w:hAnsi="helvetica neue"/>
            <w:color w:val="#000"/>
            <w:sz w:val="21"/>
            <w:u w:val="single"/>
          </w:rPr>
          <w:t xml:space="preserve">Top 10 Clearinghouses in Medical Billing (2026) - MedSole RCM</w:t>
        </w:r>
      </w:hyperlink>
      <w:r>
        <w:rPr>
          <w:rFonts w:eastAsia="georgia" w:cs="georgia" w:ascii="georgia" w:hAnsi="georgia"/>
          <w:color w:val="000000"/>
          <w:sz w:val="21"/>
        </w:rPr>
        <w:t xml:space="preserve"> - Pay-per-claim pricing at $0.10 to $0.25 per claim, the lowest in the industry. No monthly minimums, ...</w:t>
      </w:r>
    </w:p>
    <w:p>
      <w:pPr>
        <w:numPr>
          <w:ilvl w:val="0"/>
          <w:numId w:val="32"/>
        </w:numPr>
        <w:spacing w:line="360" w:after="210" w:lineRule="auto"/>
      </w:pPr>
      <w:hyperlink r:id="rId37">
        <w:r>
          <w:rPr>
            <w:rFonts w:eastAsia="helvetica neue" w:cs="helvetica neue" w:ascii="helvetica neue" w:hAnsi="helvetica neue"/>
            <w:color w:val="#000"/>
            <w:sz w:val="21"/>
            <w:u w:val="single"/>
          </w:rPr>
          <w:t xml:space="preserve">Headway and Alma being sketchy ?</w:t>
        </w:r>
      </w:hyperlink>
      <w:r>
        <w:rPr>
          <w:rFonts w:eastAsia="georgia" w:cs="georgia" w:ascii="georgia" w:hAnsi="georgia"/>
          <w:color w:val="000000"/>
          <w:sz w:val="21"/>
        </w:rPr>
        <w:t xml:space="preserve"> - Headway and Alma being sketchy ?</w:t>
      </w:r>
    </w:p>
    <w:p>
      <w:pPr>
        <w:numPr>
          <w:ilvl w:val="0"/>
          <w:numId w:val="32"/>
        </w:numPr>
        <w:spacing w:line="360" w:after="210" w:lineRule="auto"/>
      </w:pPr>
      <w:hyperlink r:id="rId38">
        <w:r>
          <w:rPr>
            <w:rFonts w:eastAsia="helvetica neue" w:cs="helvetica neue" w:ascii="helvetica neue" w:hAnsi="helvetica neue"/>
            <w:color w:val="#000"/>
            <w:sz w:val="21"/>
            <w:u w:val="single"/>
          </w:rPr>
          <w:t xml:space="preserve">Complaints - Headway</w:t>
        </w:r>
      </w:hyperlink>
      <w:r>
        <w:rPr>
          <w:rFonts w:eastAsia="georgia" w:cs="georgia" w:ascii="georgia" w:hAnsi="georgia"/>
          <w:color w:val="000000"/>
          <w:sz w:val="21"/>
        </w:rPr>
        <w:t xml:space="preserve"> - View complaints of Headway filed with BBB. BBB helps resolve disputes with the services or products ...</w:t>
      </w:r>
    </w:p>
    <w:p>
      <w:pPr>
        <w:numPr>
          <w:ilvl w:val="0"/>
          <w:numId w:val="32"/>
        </w:numPr>
        <w:spacing w:line="360" w:after="210" w:lineRule="auto"/>
      </w:pPr>
      <w:hyperlink r:id="rId39">
        <w:r>
          <w:rPr>
            <w:rFonts w:eastAsia="helvetica neue" w:cs="helvetica neue" w:ascii="helvetica neue" w:hAnsi="helvetica neue"/>
            <w:color w:val="#000"/>
            <w:sz w:val="21"/>
            <w:u w:val="single"/>
          </w:rPr>
          <w:t xml:space="preserve">Headway | BBB Complaints | Better Business Bureau</w:t>
        </w:r>
      </w:hyperlink>
      <w:r>
        <w:rPr>
          <w:rFonts w:eastAsia="georgia" w:cs="georgia" w:ascii="georgia" w:hAnsi="georgia"/>
          <w:color w:val="000000"/>
          <w:sz w:val="21"/>
        </w:rPr>
        <w:t xml:space="preserve"> - View complaints of Headway filed with BBB. BBB helps resolve disputes with the services or products ...</w:t>
      </w:r>
    </w:p>
    <w:p>
      <w:pPr>
        <w:numPr>
          <w:ilvl w:val="0"/>
          <w:numId w:val="32"/>
        </w:numPr>
        <w:spacing w:line="360" w:after="210" w:lineRule="auto"/>
      </w:pPr>
      <w:hyperlink r:id="rId40">
        <w:r>
          <w:rPr>
            <w:rFonts w:eastAsia="helvetica neue" w:cs="helvetica neue" w:ascii="helvetica neue" w:hAnsi="helvetica neue"/>
            <w:color w:val="#000"/>
            <w:sz w:val="21"/>
            <w:u w:val="single"/>
          </w:rPr>
          <w:t xml:space="preserve">Headway | BBB Complaints | Better Business Bureau</w:t>
        </w:r>
      </w:hyperlink>
      <w:r>
        <w:rPr>
          <w:rFonts w:eastAsia="georgia" w:cs="georgia" w:ascii="georgia" w:hAnsi="georgia"/>
          <w:color w:val="000000"/>
          <w:sz w:val="21"/>
        </w:rPr>
        <w:t xml:space="preserve"> - View complaints of Headway filed with BBB. BBB helps resolve disputes with the services or products ...</w:t>
      </w:r>
    </w:p>
    <w:p>
      <w:pPr>
        <w:numPr>
          <w:ilvl w:val="0"/>
          <w:numId w:val="32"/>
        </w:numPr>
        <w:spacing w:line="360" w:after="210" w:lineRule="auto"/>
      </w:pPr>
      <w:hyperlink r:id="rId41">
        <w:r>
          <w:rPr>
            <w:rFonts w:eastAsia="helvetica neue" w:cs="helvetica neue" w:ascii="helvetica neue" w:hAnsi="helvetica neue"/>
            <w:color w:val="#000"/>
            <w:sz w:val="21"/>
            <w:u w:val="single"/>
          </w:rPr>
          <w:t xml:space="preserve">[Megathread] State of Private Practice Referrals in 2025 : r/therapists</w:t>
        </w:r>
      </w:hyperlink>
      <w:r>
        <w:rPr>
          <w:rFonts w:eastAsia="georgia" w:cs="georgia" w:ascii="georgia" w:hAnsi="georgia"/>
          <w:color w:val="000000"/>
          <w:sz w:val="21"/>
        </w:rPr>
        <w:t xml:space="preserve"> - Solo private practice owner of 6 months: 1.) Washington DC/Maryland/Virginia. 2.) roughly 10-15/m. 3...</w:t>
      </w:r>
    </w:p>
    <w:p>
      <w:pPr>
        <w:numPr>
          <w:ilvl w:val="0"/>
          <w:numId w:val="32"/>
        </w:numPr>
        <w:spacing w:line="360" w:after="210" w:lineRule="auto"/>
      </w:pPr>
      <w:hyperlink r:id="rId42">
        <w:r>
          <w:rPr>
            <w:rFonts w:eastAsia="helvetica neue" w:cs="helvetica neue" w:ascii="helvetica neue" w:hAnsi="helvetica neue"/>
            <w:color w:val="#000"/>
            <w:sz w:val="21"/>
            <w:u w:val="single"/>
          </w:rPr>
          <w:t xml:space="preserve">Quarterly Salary Megathread: Oct-Jan 2025 Discussion Thread</w:t>
        </w:r>
      </w:hyperlink>
      <w:r>
        <w:rPr>
          <w:rFonts w:eastAsia="georgia" w:cs="georgia" w:ascii="georgia" w:hAnsi="georgia"/>
          <w:color w:val="000000"/>
          <w:sz w:val="21"/>
        </w:rPr>
        <w:t xml:space="preserve"> - Role(s): 40hr Crisis Clinician + 10hr Fee For Service therapist. Annual income/salary: 92k (dependin...</w:t>
      </w:r>
    </w:p>
    <w:p>
      <w:pPr>
        <w:numPr>
          <w:ilvl w:val="0"/>
          <w:numId w:val="32"/>
        </w:numPr>
        <w:spacing w:line="360" w:after="210" w:lineRule="auto"/>
      </w:pPr>
      <w:hyperlink r:id="rId43">
        <w:r>
          <w:rPr>
            <w:rFonts w:eastAsia="helvetica neue" w:cs="helvetica neue" w:ascii="helvetica neue" w:hAnsi="helvetica neue"/>
            <w:color w:val="#000"/>
            <w:sz w:val="21"/>
            <w:u w:val="single"/>
          </w:rPr>
          <w:t xml:space="preserve">Potential changes to insurance</w:t>
        </w:r>
      </w:hyperlink>
      <w:r>
        <w:rPr>
          <w:rFonts w:eastAsia="georgia" w:cs="georgia" w:ascii="georgia" w:hAnsi="georgia"/>
          <w:color w:val="000000"/>
          <w:sz w:val="21"/>
        </w:rPr>
        <w:t xml:space="preserve"> - Potential changes to insurance</w:t>
      </w:r>
    </w:p>
    <w:p>
      <w:pPr>
        <w:numPr>
          <w:ilvl w:val="0"/>
          <w:numId w:val="32"/>
        </w:numPr>
        <w:spacing w:line="360" w:after="210" w:lineRule="auto"/>
      </w:pPr>
      <w:hyperlink r:id="rId44">
        <w:r>
          <w:rPr>
            <w:rFonts w:eastAsia="helvetica neue" w:cs="helvetica neue" w:ascii="helvetica neue" w:hAnsi="helvetica neue"/>
            <w:color w:val="#000"/>
            <w:sz w:val="21"/>
            <w:u w:val="single"/>
          </w:rPr>
          <w:t xml:space="preserve">Insurance Companies Are Undermining Standard Therapy Practices ...</w:t>
        </w:r>
      </w:hyperlink>
      <w:r>
        <w:rPr>
          <w:rFonts w:eastAsia="georgia" w:cs="georgia" w:ascii="georgia" w:hAnsi="georgia"/>
          <w:color w:val="000000"/>
          <w:sz w:val="21"/>
        </w:rPr>
        <w:t xml:space="preserve"> - Insurance companies, like Empire Blue Cross Blue Shield, are arbitrarily deciding that 53+ minute se...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M.gov" TargetMode="External"/><Relationship Id="rId6" Type="http://schemas.openxmlformats.org/officeDocument/2006/relationships/hyperlink" Target="http://SAM.gov" TargetMode="External"/><Relationship Id="rId7" Type="http://schemas.openxmlformats.org/officeDocument/2006/relationships/hyperlink" Target="http://SAM.gov" TargetMode="External"/><Relationship Id="rId8" Type="http://schemas.openxmlformats.org/officeDocument/2006/relationships/hyperlink" Target="mailto:denial-intake@claimcompass.com" TargetMode="External"/><Relationship Id="rId9" Type="http://schemas.openxmlformats.org/officeDocument/2006/relationships/hyperlink" Target="http://SAM.gov" TargetMode="External"/><Relationship Id="rId10" Type="http://schemas.openxmlformats.org/officeDocument/2006/relationships/hyperlink" Target="mailto:denial-intake@claimcompass.com" TargetMode="External"/><Relationship Id="rId11" Type="http://schemas.openxmlformats.org/officeDocument/2006/relationships/hyperlink" Target="https://finance.yahoo.com/news/u-healthcare-rcm-market-climbs-140000893.html" TargetMode="External"/><Relationship Id="rId12" Type="http://schemas.openxmlformats.org/officeDocument/2006/relationships/hyperlink" Target="https://blog.ma-ri-hfma.org/2025/05/behavioral-health-is-booming-but-rcm-isnt-ready-yet/" TargetMode="External"/><Relationship Id="rId13" Type="http://schemas.openxmlformats.org/officeDocument/2006/relationships/hyperlink" Target="https://www.reddit.com/r/therapists/comments/1rwaxgd/why_does_therapy_have_such_a_brutal_claim_denial/" TargetMode="External"/><Relationship Id="rId14" Type="http://schemas.openxmlformats.org/officeDocument/2006/relationships/hyperlink" Target="https://elitemedfinancials.com/mental-health-billing-small-group-practices/" TargetMode="External"/><Relationship Id="rId15" Type="http://schemas.openxmlformats.org/officeDocument/2006/relationships/hyperlink" Target="https://www.joinheard.com/how-much-did-therapists-make-in-2025" TargetMode="External"/><Relationship Id="rId16" Type="http://schemas.openxmlformats.org/officeDocument/2006/relationships/hyperlink" Target="https://www.linkedin.com/posts/andrewriesen_want-to-know-just-how-hard-it-is-to-build-activity-7361079462525849601-ox9K" TargetMode="External"/><Relationship Id="rId17" Type="http://schemas.openxmlformats.org/officeDocument/2006/relationships/hyperlink" Target="https://www.prnewswire.com/news-releases/revenue-cycle-management-market-to-reach-us-291-19-billion-by-2033-as-cloud-based-solutions-and-ai-powered-automation-redefine-healthcare-finance--datam-intelligence-302578291.html" TargetMode="External"/><Relationship Id="rId18" Type="http://schemas.openxmlformats.org/officeDocument/2006/relationships/hyperlink" Target="https://www.futuremarketreport.com/industry-report/therapist-practice-management-software-market/" TargetMode="External"/><Relationship Id="rId19" Type="http://schemas.openxmlformats.org/officeDocument/2006/relationships/hyperlink" Target="https://www.adsc.com/blog/behavioral-health-billing-in-2025" TargetMode="External"/><Relationship Id="rId20" Type="http://schemas.openxmlformats.org/officeDocument/2006/relationships/hyperlink" Target="https://humanmedicalbilling.com/blog/the-trends-set-to-reshape-behavioral-health-billing-in-2025/" TargetMode="External"/><Relationship Id="rId21" Type="http://schemas.openxmlformats.org/officeDocument/2006/relationships/hyperlink" Target="https://www.reddit.com/r/therapists/comments/1o57gzq/mental_health_insurance/" TargetMode="External"/><Relationship Id="rId22" Type="http://schemas.openxmlformats.org/officeDocument/2006/relationships/hyperlink" Target="https://www.aha.org/aha-center-health-innovation-market-scan/2024-04-02-payer-denial-tactics-how-confront-20-billion-problem" TargetMode="External"/><Relationship Id="rId23" Type="http://schemas.openxmlformats.org/officeDocument/2006/relationships/hyperlink" Target="https://premierinc.com/newsroom/blog/trend-alert-private-payers-retain-profits-by-refusing-or-delaying-legitimate-medical-claims" TargetMode="External"/><Relationship Id="rId24" Type="http://schemas.openxmlformats.org/officeDocument/2006/relationships/hyperlink" Target="https://www.agshealth.com/blog/transforming-appeals-management-with-automation/" TargetMode="External"/><Relationship Id="rId25" Type="http://schemas.openxmlformats.org/officeDocument/2006/relationships/hyperlink" Target="https://www.linkedin.com/posts/y-combinator_aegis-yc-x25-helps-healthcare-providers-activity-7331818718433292288-S8jH" TargetMode="External"/><Relationship Id="rId26" Type="http://schemas.openxmlformats.org/officeDocument/2006/relationships/hyperlink" Target="https://medtrainer.com/blog/caqh-credentialing/" TargetMode="External"/><Relationship Id="rId27" Type="http://schemas.openxmlformats.org/officeDocument/2006/relationships/hyperlink" Target="https://www.icanotes.com/2026/02/10/insurance-credentialing-pitfalls-mental-health/" TargetMode="External"/><Relationship Id="rId28" Type="http://schemas.openxmlformats.org/officeDocument/2006/relationships/hyperlink" Target="https://credyapp.com/BlogItem/mastering-caqh-reattestation-essential-guide-for-healthcare-providers/" TargetMode="External"/><Relationship Id="rId29" Type="http://schemas.openxmlformats.org/officeDocument/2006/relationships/hyperlink" Target="https://www.caqh.org/blog/re-attestation-critical-healthcare-organizations-return-normal" TargetMode="External"/><Relationship Id="rId30" Type="http://schemas.openxmlformats.org/officeDocument/2006/relationships/hyperlink" Target="https://www.ehrsource.com/compare/therapynotes-vs-simplepractice/" TargetMode="External"/><Relationship Id="rId31" Type="http://schemas.openxmlformats.org/officeDocument/2006/relationships/hyperlink" Target="https://ehrinsider.com/compare/simplepractice-vs-therapynotes/" TargetMode="External"/><Relationship Id="rId32" Type="http://schemas.openxmlformats.org/officeDocument/2006/relationships/hyperlink" Target="https://www.choosingtherapy.com/therapynotes-vs-simplepractice/" TargetMode="External"/><Relationship Id="rId33" Type="http://schemas.openxmlformats.org/officeDocument/2006/relationships/hyperlink" Target="https://www.ehrinpractice.com/behavioral-mental-health-ehr-major-products-and-players.html" TargetMode="External"/><Relationship Id="rId34" Type="http://schemas.openxmlformats.org/officeDocument/2006/relationships/hyperlink" Target="https://therapypms.com/therapypm-clearing-house-pricing-plan/" TargetMode="External"/><Relationship Id="rId35" Type="http://schemas.openxmlformats.org/officeDocument/2006/relationships/hyperlink" Target="https://www.charmhealth.com/resources/eclaims/clearinghouse-charges.html" TargetMode="External"/><Relationship Id="rId36" Type="http://schemas.openxmlformats.org/officeDocument/2006/relationships/hyperlink" Target="https://medsolercm.com/blog/top-10-clearinghouses-in-medical-billing" TargetMode="External"/><Relationship Id="rId37" Type="http://schemas.openxmlformats.org/officeDocument/2006/relationships/hyperlink" Target="https://www.reddit.com/r/therapists/comments/1iom2ca/headway_and_alma_being_sketchy/" TargetMode="External"/><Relationship Id="rId38" Type="http://schemas.openxmlformats.org/officeDocument/2006/relationships/hyperlink" Target="https://www.bbb.org/us/ny/new-york/profile/health-care-referral/headway-0121-87148984/complaints?page=7" TargetMode="External"/><Relationship Id="rId39" Type="http://schemas.openxmlformats.org/officeDocument/2006/relationships/hyperlink" Target="https://www.bbb.org/us/ny/new-york/profile/health-care-referral/headway-0121-87148984/complaints?page=18" TargetMode="External"/><Relationship Id="rId40" Type="http://schemas.openxmlformats.org/officeDocument/2006/relationships/hyperlink" Target="https://www.bbb.org/us/ny/new-york/profile/health-care-referral/headway-0121-87148984/complaints?page=5" TargetMode="External"/><Relationship Id="rId41" Type="http://schemas.openxmlformats.org/officeDocument/2006/relationships/hyperlink" Target="https://www.reddit.com/r/therapists/comments/1k2g6io/megathread_state_of_private_practice_referrals_in/" TargetMode="External"/><Relationship Id="rId42" Type="http://schemas.openxmlformats.org/officeDocument/2006/relationships/hyperlink" Target="https://www.reddit.com/r/therapists/comments/1g6nnuh/quarterly_salary_megathread_octjan_2025/" TargetMode="External"/><Relationship Id="rId43" Type="http://schemas.openxmlformats.org/officeDocument/2006/relationships/hyperlink" Target="https://www.reddit.com/r/therapists/comments/1ihsoc7/potential_changes_to_insurance/" TargetMode="External"/><Relationship Id="rId44" Type="http://schemas.openxmlformats.org/officeDocument/2006/relationships/hyperlink" Target="https://www.reddit.com/r/therapists/comments/1jhlyzz/insurance_companies_are_undermining_standar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2026-05-24T21:45:11.306Z</dcterms:created>
  <dcterms:modified xsi:type="dcterms:W3CDTF">2026-05-24T21:45:11.306Z</dcterms:modified>
</cp:coreProperties>
</file>