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190-1615365535859" w:id="1"/>
      <w:bookmarkEnd w:id="1"/>
      <w:r>
        <w:rPr>
          <w:b w:val="true"/>
        </w:rPr>
        <w:t>汽车行业品牌介绍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1500"/>
        <w:gridCol w:w="1500"/>
        <w:gridCol w:w="1500"/>
        <w:gridCol w:w="1500"/>
        <w:gridCol w:w="1500"/>
      </w:tblGrid>
      <w:tr>
        <w:trPr>
          <w:trHeight w:val="340"/>
        </w:trPr>
        <w:tc>
          <w:tcPr>
            <w:tcW w:w="9000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Auto Target Company</w:t>
            </w:r>
          </w:p>
        </w:tc>
      </w:tr>
      <w:tr>
        <w:trPr>
          <w:trHeight w:val="340"/>
        </w:trPr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分类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NEV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Local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JV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Luxury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>
                <w:rFonts w:ascii="Arial" w:hAnsi="Arial" w:cs="Arial" w:eastAsia="Arial"/>
                <w:b w:val="true"/>
                <w:sz w:val="18"/>
              </w:rPr>
              <w:t>S</w:t>
            </w: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uper Luxury</w:t>
            </w:r>
          </w:p>
        </w:tc>
      </w:tr>
      <w:tr>
        <w:trPr>
          <w:trHeight w:val="440"/>
        </w:trPr>
        <w:tc>
          <w:tcPr>
            <w:tcW w:w="1500"/>
            <w:vMerge w:val="restart"/>
            <w:vAlign w:val="center"/>
          </w:tcPr>
          <w:p>
            <w:pPr>
              <w:jc w:val="center"/>
            </w:pPr>
            <w:r>
              <w:rPr/>
              <w:t>East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蔚来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观致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GAC FCA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Jaguar Land Rover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Porsche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威马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奇瑞Exeed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SVW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Cadillac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Ferrari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博骏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上汽 荣威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Skoda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Lincoln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Alfa Romeo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华人运通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上汽 R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Buick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Volvo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Aston Martin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赛麟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上汽 L 智己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Chevrolet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Geely Lotus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Mclaren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拜腾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吉利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CA Ford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上汽奥迪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Maserati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合众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吉利几何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PSA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爱驰亿维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Smart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Tesla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renault nissan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天际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MA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恒大-研发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restart"/>
            <w:vAlign w:val="center"/>
          </w:tcPr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North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理想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长城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Toyota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BMW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Bentley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/>
            <w:r>
              <w:rPr/>
              <w:t>长城WEY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Hyundai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Benz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Lambogini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北汽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Renault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Audi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RR</w:t>
            </w:r>
          </w:p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/>
            <w:r>
              <w:rPr/>
              <w:t>一汽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Infinii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一汽红旗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Lexus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restart"/>
            <w:vAlign w:val="center"/>
          </w:tcPr>
          <w:p>
            <w:pPr>
              <w:jc w:val="center"/>
            </w:pPr>
            <w:r>
              <w:rPr>
                <w:rFonts w:ascii="Arial" w:hAnsi="Arial" w:cs="Arial" w:eastAsia="Arial"/>
                <w:b w:val="true"/>
                <w:sz w:val="18"/>
                <w:u w:val="single"/>
              </w:rPr>
              <w:t>South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小鹏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恒大-营销</w:t>
            </w:r>
          </w:p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启辰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Nissan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Honda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b w:val="true"/>
                <w:sz w:val="18"/>
                <w:u w:val="single"/>
              </w:rPr>
              <w:t>West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>
            <w:pPr>
              <w:jc w:val="left"/>
            </w:pPr>
            <w:r>
              <w:rPr/>
              <w:t>长安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60"/>
        </w:trPr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</w:tbl>
    <w:p>
      <w:pPr/>
      <w:bookmarkStart w:name="5295-1615453445498" w:id="2"/>
      <w:bookmarkEnd w:id="2"/>
      <w:r>
        <w:rPr>
          <w:b w:val="true"/>
        </w:rPr>
        <w:t>汽车行业职能划分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2280"/>
        <w:gridCol w:w="1500"/>
        <w:gridCol w:w="1500"/>
      </w:tblGrid>
      <w:tr>
        <w:trPr>
          <w:trHeight w:val="340"/>
        </w:trPr>
        <w:tc>
          <w:tcPr>
            <w:tcW w:w="1060"/>
            <w:vMerge w:val="restart"/>
            <w:vAlign w:val="center"/>
          </w:tcPr>
          <w:p>
            <w:pPr>
              <w:jc w:val="center"/>
            </w:pPr>
            <w:r>
              <w:rPr/>
              <w:t>NEV</w:t>
            </w:r>
          </w:p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营销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研发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生产</w:t>
            </w:r>
          </w:p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用户发展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车联域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用户运营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智驾域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数字化产品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车身控制域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直营店销售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三电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直营店开发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充电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交付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Align w:val="center"/>
          </w:tcPr>
          <w:p/>
        </w:tc>
        <w:tc>
          <w:tcPr>
            <w:tcW w:w="2280"/>
            <w:vAlign w:val="center"/>
          </w:tcPr>
          <w:p/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restart"/>
            <w:vAlign w:val="center"/>
          </w:tcPr>
          <w:p>
            <w:pPr>
              <w:jc w:val="center"/>
            </w:pPr>
            <w:r>
              <w:rPr/>
              <w:t>传统</w:t>
            </w:r>
          </w:p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营销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研发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生产</w:t>
            </w:r>
          </w:p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市场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内外饰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四大工艺</w:t>
            </w:r>
          </w:p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公关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车身电子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CRM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底盘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产品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驱动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总部销售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rPr/>
              <w:t>座椅</w:t>
            </w:r>
          </w:p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网络发展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区域销售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  <w:tr>
        <w:trPr>
          <w:trHeight w:val="340"/>
        </w:trPr>
        <w:tc>
          <w:tcPr>
            <w:tcW w:w="1060"/>
            <w:vMerge w:val="continue"/>
            <w:vAlign w:val="center"/>
          </w:tcPr>
          <w:p/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售后服务</w:t>
            </w:r>
          </w:p>
        </w:tc>
        <w:tc>
          <w:tcPr>
            <w:tcW w:w="1500"/>
            <w:vAlign w:val="center"/>
          </w:tcPr>
          <w:p/>
        </w:tc>
        <w:tc>
          <w:tcPr>
            <w:tcW w:w="1500"/>
            <w:vAlign w:val="center"/>
          </w:tcPr>
          <w:p/>
        </w:tc>
      </w:tr>
    </w:tbl>
    <w:p>
      <w:pPr/>
      <w:bookmarkStart w:name="9346-1615453410926" w:id="3"/>
      <w:bookmarkEnd w:id="3"/>
      <w:r>
        <w:rPr>
          <w:rFonts w:ascii="SimSun" w:hAnsi="SimSun" w:cs="SimSun" w:eastAsia="SimSun"/>
          <w:color w:val="ffffff"/>
          <w:sz w:val="24"/>
        </w:rPr>
        <w:t xml:space="preserve">理24245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2021-03-11T09:05:57Z</dcterms:created>
  <dc:creator>Apache POI</dc:creator>
</cp:coreProperties>
</file>