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7</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Численные методы</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02.03.01</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Математика и компьютерные науки</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02.03.01</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Численные методы</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7</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7</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xml:space="preserve">7</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02.03.01</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Численные методы</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7</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Численные методы</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Численные методы</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02.03.01</w:t>
      </w:r>
      <w:r w:rsidR="00C63DF2" w:rsidRPr="007768AD">
        <w:rPr>
          <w:rFonts w:ascii="Times New Roman" w:hAnsi="Times New Roman"/>
          <w:sz w:val="24"/>
        </w:rPr>
        <w:t xml:space="preserve"> «</w:t>
      </w:r>
      <w:r w:rsidR="004F7935" w:rsidRPr="004F7935">
        <w:rPr>
          <w:rFonts w:ascii="Times New Roman" w:hAnsi="Times New Roman"/>
          <w:sz w:val="24"/>
        </w:rPr>
        <w:t xml:space="preserve">Математика и компьютерные науки</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02.03.01</w:t>
      </w:r>
      <w:r w:rsidR="003B477C" w:rsidRPr="007768AD">
        <w:rPr>
          <w:rFonts w:ascii="Times New Roman" w:hAnsi="Times New Roman"/>
          <w:sz w:val="24"/>
        </w:rPr>
        <w:t xml:space="preserve"> «</w:t>
      </w:r>
      <w:r w:rsidR="003B477C" w:rsidRPr="004F7935">
        <w:rPr>
          <w:rFonts w:ascii="Times New Roman" w:hAnsi="Times New Roman"/>
          <w:sz w:val="24"/>
        </w:rPr>
        <w:t xml:space="preserve">Математика и компьютерные науки</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Численные методы</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144</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144</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0</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54</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54</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108</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108</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68</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68</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40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40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252</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252</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0</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54</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bookmarkStart w:id="1" w:name="_GoBack"/>
            <w:bookmarkEnd w:id="1"/>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68</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40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108</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Численные методы</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Численные методы</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Численные методы</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0D0BE0">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7</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FDFDE" w14:textId="77777777" w:rsidR="000D0BE0" w:rsidRDefault="000D0BE0">
      <w:r>
        <w:separator/>
      </w:r>
    </w:p>
  </w:endnote>
  <w:endnote w:type="continuationSeparator" w:id="0">
    <w:p w14:paraId="24470BD3" w14:textId="77777777" w:rsidR="000D0BE0" w:rsidRDefault="000D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6635F8ED" w:rsidR="00C94F7D" w:rsidRDefault="00C94F7D">
        <w:pPr>
          <w:pStyle w:val="ab"/>
          <w:jc w:val="center"/>
        </w:pPr>
        <w:r>
          <w:fldChar w:fldCharType="begin"/>
        </w:r>
        <w:r>
          <w:instrText>PAGE   \* MERGEFORMAT</w:instrText>
        </w:r>
        <w:r>
          <w:fldChar w:fldCharType="separate"/>
        </w:r>
        <w:r w:rsidR="00B956CD">
          <w:rPr>
            <w:noProof/>
          </w:rPr>
          <w:t>8</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7B4D8" w14:textId="77777777" w:rsidR="000D0BE0" w:rsidRDefault="000D0BE0">
      <w:r>
        <w:separator/>
      </w:r>
    </w:p>
  </w:footnote>
  <w:footnote w:type="continuationSeparator" w:id="0">
    <w:p w14:paraId="691BD3CC" w14:textId="77777777" w:rsidR="000D0BE0" w:rsidRDefault="000D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95E68"/>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F0013-B042-4F04-88BD-EA82D33B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1476</Words>
  <Characters>8414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77</cp:revision>
  <cp:lastPrinted>2019-11-27T11:52:00Z</cp:lastPrinted>
  <dcterms:created xsi:type="dcterms:W3CDTF">2019-11-26T14:42:00Z</dcterms:created>
  <dcterms:modified xsi:type="dcterms:W3CDTF">2021-04-29T06:19:00Z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