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69AF1D95"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Pr="000A7AD6">
        <w:rPr>
          <w:rFonts w:ascii="Times New Roman" w:hAnsi="Times New Roman"/>
        </w:rPr>
        <w:t>2021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37FE79C1"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Разработана в соответствии с ФГОС ВО 3++, ООП по направлениям подготовки бакалавриата 02.03.02 «Фундаментальная информатика и информационные технологии»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bookmarkStart w:id="0" w:name="_GoBack"/>
      <w:bookmarkEnd w:id="0"/>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48310F28" w14:textId="05F81470"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155E583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Pr="005C4323">
              <w:rPr>
                <w:rFonts w:ascii="Times New Roman" w:hAnsi="Times New Roman"/>
                <w:spacing w:val="-8"/>
              </w:rPr>
              <w:t>«______</w:t>
            </w:r>
            <w:r w:rsidRPr="005C4323">
              <w:rPr>
                <w:rFonts w:ascii="Times New Roman" w:hAnsi="Times New Roman"/>
                <w:spacing w:val="-3"/>
              </w:rPr>
              <w:t xml:space="preserve">» ______ </w:t>
            </w:r>
            <w:r w:rsidR="00927F37">
              <w:rPr>
                <w:rFonts w:ascii="Times New Roman" w:hAnsi="Times New Roman"/>
              </w:rPr>
              <w:t>202</w:t>
            </w:r>
            <w:r w:rsidR="000A7AD6">
              <w:rPr>
                <w:rFonts w:ascii="Times New Roman" w:hAnsi="Times New Roman"/>
              </w:rPr>
              <w:t>1</w:t>
            </w:r>
            <w:r w:rsidRPr="005C4323">
              <w:rPr>
                <w:rFonts w:ascii="Times New Roman" w:hAnsi="Times New Roman"/>
              </w:rPr>
              <w:t xml:space="preserve"> 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118F0278" w14:textId="2D0DB1A3"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77777777" w:rsidR="00927F37" w:rsidRDefault="00927F37" w:rsidP="00B86F46">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02.03.02 «Фундаментальная информатика и информационные технологии» направленности «</w:t>
            </w:r>
            <w:r w:rsidR="00B86F46">
              <w:rPr>
                <w:rFonts w:ascii="Times New Roman" w:hAnsi="Times New Roman" w:cs="Times New Roman"/>
                <w:color w:val="000000"/>
              </w:rPr>
              <w:t>Технологии искусственного интеллекта</w:t>
            </w:r>
            <w:r>
              <w:rPr>
                <w:rFonts w:ascii="Times New Roman" w:hAnsi="Times New Roman"/>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0A938EA2"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41"/>
        <w:gridCol w:w="1813"/>
      </w:tblGrid>
      <w:tr w:rsidR="00927F37" w14:paraId="0B1AEE62" w14:textId="77777777" w:rsidTr="00F42205">
        <w:tc>
          <w:tcPr>
            <w:tcW w:w="5000" w:type="pct"/>
            <w:gridSpan w:val="3"/>
          </w:tcPr>
          <w:p w14:paraId="6889D771" w14:textId="77777777" w:rsidR="00927F37" w:rsidRDefault="00927F37" w:rsidP="00F42205">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02.03.03 «Математическое обеспечение и администрирование информационных систем» направленности «</w:t>
            </w:r>
            <w:r w:rsidR="00B86F46">
              <w:rPr>
                <w:rFonts w:ascii="Times New Roman" w:hAnsi="Times New Roman" w:cs="Times New Roman"/>
                <w:color w:val="000000"/>
              </w:rPr>
              <w:t>Технологии больших данных</w:t>
            </w:r>
            <w:r>
              <w:rPr>
                <w:rFonts w:ascii="Times New Roman" w:hAnsi="Times New Roman"/>
              </w:rPr>
              <w:t>».</w:t>
            </w:r>
          </w:p>
        </w:tc>
      </w:tr>
      <w:tr w:rsidR="00927F37" w14:paraId="716EDF7F" w14:textId="77777777" w:rsidTr="00F42205">
        <w:tc>
          <w:tcPr>
            <w:tcW w:w="2360" w:type="pct"/>
            <w:vAlign w:val="bottom"/>
          </w:tcPr>
          <w:p w14:paraId="2337E165"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746" w:type="pct"/>
            <w:vAlign w:val="bottom"/>
          </w:tcPr>
          <w:p w14:paraId="31CEB795"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894" w:type="pct"/>
          </w:tcPr>
          <w:p w14:paraId="6265AB70"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1FDAF672" w14:textId="77777777" w:rsidTr="00F42205">
        <w:tc>
          <w:tcPr>
            <w:tcW w:w="2360" w:type="pct"/>
          </w:tcPr>
          <w:p w14:paraId="4580F5FC"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746" w:type="pct"/>
          </w:tcPr>
          <w:p w14:paraId="7F699F48" w14:textId="77777777" w:rsidR="00927F37" w:rsidRDefault="00927F37" w:rsidP="00F42205">
            <w:pPr>
              <w:pStyle w:val="a4"/>
              <w:spacing w:line="288" w:lineRule="auto"/>
              <w:ind w:left="0"/>
              <w:jc w:val="both"/>
              <w:rPr>
                <w:rFonts w:ascii="Times New Roman"/>
                <w:sz w:val="20"/>
              </w:rPr>
            </w:pPr>
          </w:p>
        </w:tc>
        <w:tc>
          <w:tcPr>
            <w:tcW w:w="894" w:type="pct"/>
          </w:tcPr>
          <w:p w14:paraId="12108C17"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6D7DA081" w14:textId="77777777" w:rsidTr="00F42205">
        <w:tc>
          <w:tcPr>
            <w:tcW w:w="2360" w:type="pct"/>
          </w:tcPr>
          <w:p w14:paraId="2E2D2DB6"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746" w:type="pct"/>
          </w:tcPr>
          <w:p w14:paraId="163F5EBC" w14:textId="23A56B94"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894" w:type="pct"/>
          </w:tcPr>
          <w:p w14:paraId="18220DF1"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0783596C" w14:textId="77777777" w:rsidR="00927F37" w:rsidRDefault="00927F37" w:rsidP="00927F37">
      <w:pPr>
        <w:pStyle w:val="Default"/>
        <w:spacing w:line="288" w:lineRule="auto"/>
        <w:jc w:val="both"/>
        <w:rPr>
          <w:rFonts w:eastAsia="Times New Roman"/>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577F07" w:rsidR="00D0496A" w:rsidRPr="000F7014" w:rsidRDefault="000A7AD6" w:rsidP="00D0496A">
            <w:pPr>
              <w:pStyle w:val="Default"/>
              <w:spacing w:line="360" w:lineRule="auto"/>
              <w:jc w:val="center"/>
              <w:rPr>
                <w:rFonts w:eastAsia="Times New Roman"/>
              </w:rPr>
            </w:pPr>
            <w:r>
              <w:rPr>
                <w:rFonts w:eastAsia="Times New Roman"/>
              </w:rPr>
              <w:t>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4FDC2E0A" w:rsidR="001B2EB4" w:rsidRPr="00C062ED" w:rsidRDefault="004F7935"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sidRPr="004F7935">
        <w:rPr>
          <w:rFonts w:ascii="Times New Roman" w:eastAsia="Calibri" w:hAnsi="Times New Roman" w:cs="Times New Roman"/>
          <w:sz w:val="24"/>
          <w:szCs w:val="24"/>
          <w:highlight w:val="yellow"/>
          <w:lang w:eastAsia="en-US" w:bidi="ar-SA"/>
        </w:rPr>
        <w:t>…</w:t>
      </w:r>
      <w:r w:rsidR="001B2EB4" w:rsidRPr="00C062ED">
        <w:rPr>
          <w:rFonts w:ascii="Times New Roman" w:eastAsia="Calibri" w:hAnsi="Times New Roman" w:cs="Times New Roman"/>
          <w:sz w:val="24"/>
          <w:szCs w:val="24"/>
          <w:lang w:eastAsia="en-US" w:bidi="ar-SA"/>
        </w:rPr>
        <w:t xml:space="preserve">; </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r w:rsidR="00095B8D" w:rsidRPr="00095B8D">
              <w:rPr>
                <w:rFonts w:ascii="Times New Roman" w:hAnsi="Times New Roman"/>
                <w:b/>
                <w:sz w:val="24"/>
                <w:szCs w:val="24"/>
              </w:rPr>
              <w:t xml:space="preserve">Процесс </w:t>
            </w:r>
            <w:r w:rsidR="00095B8D" w:rsidRPr="00095B8D">
              <w:rPr>
                <w:rFonts w:ascii="Times New Roman" w:hAnsi="Times New Roman"/>
                <w:b/>
                <w:sz w:val="24"/>
                <w:szCs w:val="24"/>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F61F9" w:rsidRDefault="003249E3" w:rsidP="003C7E7A">
            <w:pPr>
              <w:snapToGrid w:val="0"/>
              <w:jc w:val="center"/>
              <w:rPr>
                <w:rFonts w:ascii="Times New Roman" w:eastAsia="Times New Roman" w:hAnsi="Times New Roman" w:cs="Times New Roman"/>
                <w:b/>
                <w:bCs/>
                <w:sz w:val="24"/>
                <w:szCs w:val="24"/>
              </w:rPr>
            </w:pPr>
            <w:r w:rsidRPr="009F61F9">
              <w:rPr>
                <w:rFonts w:ascii="Times New Roman" w:eastAsia="Times New Roman" w:hAnsi="Times New Roman" w:cs="Times New Roman"/>
                <w:b/>
                <w:bCs/>
                <w:sz w:val="24"/>
                <w:szCs w:val="24"/>
              </w:rPr>
              <w:t>2</w:t>
            </w: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Pr>
                <w:rFonts w:ascii="Times New Roman" w:hAnsi="Times New Roman" w:cs="Times New Roman"/>
                <w:sz w:val="24"/>
                <w:szCs w:val="24"/>
              </w:rPr>
              <w:t xml:space="preserve">Процесс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Этапы, инструменты и инфраструктуры для реализации процесса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Место машинного обучения в процессе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sidR="003249E3" w:rsidRPr="00D9102C">
              <w:rPr>
                <w:rFonts w:ascii="Times New Roman" w:hAnsi="Times New Roman" w:cs="Times New Roman"/>
                <w:sz w:val="24"/>
                <w:szCs w:val="24"/>
              </w:rPr>
              <w:t>Классифика</w:t>
            </w:r>
            <w:r w:rsidR="00D46926">
              <w:rPr>
                <w:rFonts w:ascii="Times New Roman" w:hAnsi="Times New Roman" w:cs="Times New Roman"/>
                <w:sz w:val="24"/>
                <w:szCs w:val="24"/>
              </w:rPr>
              <w:t xml:space="preserve">ция задач ML. Этапы построения </w:t>
            </w:r>
            <w:r w:rsidR="003249E3" w:rsidRPr="00D9102C">
              <w:rPr>
                <w:rFonts w:ascii="Times New Roman" w:hAnsi="Times New Roman" w:cs="Times New Roman"/>
                <w:sz w:val="24"/>
                <w:szCs w:val="24"/>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C6634A" w:rsidRDefault="00C6634A" w:rsidP="00256993">
            <w:pPr>
              <w:jc w:val="center"/>
              <w:rPr>
                <w:rFonts w:ascii="Times New Roman" w:eastAsia="Times New Roman" w:hAnsi="Times New Roman" w:cs="Times New Roman"/>
                <w:b/>
                <w:sz w:val="24"/>
                <w:szCs w:val="24"/>
                <w:highlight w:val="lightGray"/>
              </w:rPr>
            </w:pPr>
            <w:r w:rsidRPr="00C6634A">
              <w:rPr>
                <w:rFonts w:ascii="Times New Roman" w:eastAsia="Times New Roman" w:hAnsi="Times New Roman" w:cs="Times New Roman"/>
                <w:b/>
                <w:sz w:val="24"/>
                <w:szCs w:val="24"/>
              </w:rPr>
              <w:t>4</w:t>
            </w: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C27276">
              <w:rPr>
                <w:rFonts w:ascii="Times New Roman" w:hAnsi="Times New Roman" w:cs="Times New Roman"/>
                <w:sz w:val="24"/>
                <w:szCs w:val="24"/>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w:t>
            </w:r>
            <w:r>
              <w:rPr>
                <w:rFonts w:ascii="Times New Roman" w:hAnsi="Times New Roman" w:cs="Times New Roman"/>
                <w:sz w:val="24"/>
                <w:szCs w:val="24"/>
              </w:rPr>
              <w:t>:</w:t>
            </w:r>
            <w:r w:rsidRPr="00C860AF">
              <w:rPr>
                <w:rFonts w:ascii="Times New Roman" w:hAnsi="Times New Roman" w:cs="Times New Roman"/>
                <w:sz w:val="24"/>
                <w:szCs w:val="24"/>
              </w:rPr>
              <w:t xml:space="preserve"> одномерный отбор признаков, ж</w:t>
            </w:r>
            <w:r w:rsidRPr="00B40E00">
              <w:rPr>
                <w:rFonts w:ascii="Times New Roman" w:hAnsi="Times New Roman" w:cs="Times New Roman"/>
                <w:sz w:val="24"/>
                <w:szCs w:val="24"/>
              </w:rPr>
              <w:t>адные методы отбора признаков</w:t>
            </w:r>
            <w:r w:rsidRPr="00C860AF">
              <w:rPr>
                <w:rFonts w:ascii="Times New Roman" w:hAnsi="Times New Roman" w:cs="Times New Roman"/>
                <w:sz w:val="24"/>
                <w:szCs w:val="24"/>
              </w:rPr>
              <w:t>, о</w:t>
            </w:r>
            <w:r w:rsidRPr="00B40E00">
              <w:rPr>
                <w:rFonts w:ascii="Times New Roman" w:hAnsi="Times New Roman" w:cs="Times New Roman"/>
                <w:sz w:val="24"/>
                <w:szCs w:val="24"/>
              </w:rPr>
              <w:t>тбор признаков на основе моделей</w:t>
            </w:r>
            <w:r w:rsidRPr="00C860AF">
              <w:rPr>
                <w:rFonts w:ascii="Times New Roman" w:hAnsi="Times New Roman" w:cs="Times New Roman"/>
                <w:sz w:val="24"/>
                <w:szCs w:val="24"/>
              </w:rPr>
              <w:t>.</w:t>
            </w: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r>
              <w:rPr>
                <w:rFonts w:ascii="Times New Roman" w:hAnsi="Times New Roman" w:cs="Times New Roman"/>
                <w:b/>
              </w:rPr>
              <w:t>Обучение с учителем</w:t>
            </w:r>
          </w:p>
        </w:tc>
        <w:tc>
          <w:tcPr>
            <w:tcW w:w="1172" w:type="pct"/>
            <w:vMerge w:val="restart"/>
            <w:shd w:val="clear" w:color="auto" w:fill="auto"/>
            <w:vAlign w:val="center"/>
          </w:tcPr>
          <w:p w14:paraId="56FDCFC6" w14:textId="1DBD76C5" w:rsidR="00C6634A" w:rsidRPr="009F61F9" w:rsidRDefault="00C6634A" w:rsidP="00C6634A">
            <w:pPr>
              <w:snapToGri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77777777" w:rsidR="00C6634A" w:rsidRPr="00D9102C" w:rsidRDefault="00C6634A" w:rsidP="00095B8D">
            <w:pPr>
              <w:snapToGrid w:val="0"/>
              <w:spacing w:line="235" w:lineRule="auto"/>
              <w:jc w:val="both"/>
              <w:rPr>
                <w:rFonts w:ascii="Times New Roman" w:hAnsi="Times New Roman" w:cs="Times New Roman"/>
                <w:sz w:val="24"/>
                <w:szCs w:val="24"/>
              </w:rPr>
            </w:pPr>
            <w:r w:rsidRPr="00D9102C">
              <w:rPr>
                <w:rFonts w:ascii="Times New Roman" w:hAnsi="Times New Roman" w:cs="Times New Roman"/>
                <w:sz w:val="24"/>
                <w:szCs w:val="24"/>
              </w:rPr>
              <w:t>Регрессионный анализ: пост</w:t>
            </w:r>
            <w:r>
              <w:rPr>
                <w:rFonts w:ascii="Times New Roman" w:hAnsi="Times New Roman" w:cs="Times New Roman"/>
                <w:sz w:val="24"/>
                <w:szCs w:val="24"/>
              </w:rPr>
              <w:t>ановка задачи, метрики качества, линейная модель,</w:t>
            </w:r>
            <w:r w:rsidRPr="00D9102C">
              <w:rPr>
                <w:rFonts w:ascii="Times New Roman" w:hAnsi="Times New Roman" w:cs="Times New Roman"/>
                <w:sz w:val="24"/>
                <w:szCs w:val="24"/>
              </w:rPr>
              <w:t xml:space="preserve"> методы оценки параметров </w:t>
            </w:r>
            <w:r>
              <w:rPr>
                <w:rFonts w:ascii="Times New Roman" w:hAnsi="Times New Roman" w:cs="Times New Roman"/>
                <w:sz w:val="24"/>
                <w:szCs w:val="24"/>
              </w:rPr>
              <w:t xml:space="preserve">линейной </w:t>
            </w:r>
            <w:r w:rsidRPr="00D9102C">
              <w:rPr>
                <w:rFonts w:ascii="Times New Roman" w:hAnsi="Times New Roman" w:cs="Times New Roman"/>
                <w:sz w:val="24"/>
                <w:szCs w:val="24"/>
              </w:rPr>
              <w:t>регрессии</w:t>
            </w:r>
            <w:r>
              <w:rPr>
                <w:rFonts w:ascii="Times New Roman" w:hAnsi="Times New Roman" w:cs="Times New Roman"/>
                <w:sz w:val="24"/>
                <w:szCs w:val="24"/>
              </w:rPr>
              <w:t>, регуляризация, спрямляющие пространства.</w:t>
            </w:r>
          </w:p>
        </w:tc>
        <w:tc>
          <w:tcPr>
            <w:tcW w:w="1172" w:type="pct"/>
            <w:vMerge/>
            <w:shd w:val="clear" w:color="auto" w:fill="auto"/>
            <w:vAlign w:val="center"/>
          </w:tcPr>
          <w:p w14:paraId="58B7CB98" w14:textId="3DDEC0CE"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E2BE08D" w14:textId="648C365C" w:rsidR="00C6634A" w:rsidRDefault="00C6634A" w:rsidP="00095B8D">
            <w:pPr>
              <w:snapToGrid w:val="0"/>
              <w:spacing w:line="235" w:lineRule="auto"/>
              <w:jc w:val="both"/>
              <w:rPr>
                <w:rFonts w:ascii="Calibri" w:hAnsi="Calibri" w:cs="Calibri"/>
                <w:color w:val="000000"/>
              </w:rPr>
            </w:pPr>
            <w:r w:rsidRPr="00D9102C">
              <w:rPr>
                <w:rFonts w:ascii="Times New Roman" w:hAnsi="Times New Roman" w:cs="Times New Roman"/>
                <w:sz w:val="24"/>
                <w:szCs w:val="24"/>
              </w:rPr>
              <w:t xml:space="preserve">Задача классификации: постановка задачи, метрики качества, </w:t>
            </w:r>
            <w:r>
              <w:rPr>
                <w:rFonts w:ascii="Times New Roman" w:hAnsi="Times New Roman" w:cs="Times New Roman"/>
                <w:sz w:val="24"/>
                <w:szCs w:val="24"/>
              </w:rPr>
              <w:t>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27E3D495" w14:textId="77777777" w:rsidTr="00C94F7D">
        <w:trPr>
          <w:trHeight w:val="663"/>
        </w:trPr>
        <w:tc>
          <w:tcPr>
            <w:tcW w:w="290" w:type="pct"/>
            <w:vMerge/>
            <w:shd w:val="clear" w:color="auto" w:fill="auto"/>
            <w:vAlign w:val="center"/>
          </w:tcPr>
          <w:p w14:paraId="79CC57D5" w14:textId="0C99AF25"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F527786" w14:textId="5237F416" w:rsidR="00C6634A" w:rsidRPr="00D9102C" w:rsidRDefault="00C6634A" w:rsidP="00C6634A">
            <w:pPr>
              <w:snapToGrid w:val="0"/>
              <w:spacing w:line="235" w:lineRule="auto"/>
              <w:jc w:val="both"/>
              <w:rPr>
                <w:rFonts w:ascii="Times New Roman" w:hAnsi="Times New Roman" w:cs="Times New Roman"/>
                <w:sz w:val="24"/>
                <w:szCs w:val="24"/>
              </w:rPr>
            </w:pPr>
            <w:r w:rsidRPr="00C860AF">
              <w:rPr>
                <w:rFonts w:ascii="Times New Roman" w:hAnsi="Times New Roman" w:cs="Times New Roman"/>
                <w:sz w:val="24"/>
                <w:szCs w:val="24"/>
              </w:rPr>
              <w:t>Методы оценки моделей: отложенная выборка и кросс-валидация, отладка алгоритмов при помощи кривой обучения и проверочной кривой Настройка машиннообучаемых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6082BEB" w14:textId="51B32E4A" w:rsidR="00C6634A" w:rsidRPr="003C7E7A" w:rsidRDefault="00C6634A" w:rsidP="00095B8D">
            <w:pPr>
              <w:snapToGrid w:val="0"/>
              <w:spacing w:line="235"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Композиции простых алгоритмов. Случайный лес. Бустинг: градиентный бустинг, стохастический градиентный бустинг. </w:t>
            </w:r>
          </w:p>
        </w:tc>
        <w:tc>
          <w:tcPr>
            <w:tcW w:w="1172" w:type="pct"/>
            <w:vMerge/>
            <w:shd w:val="clear" w:color="auto" w:fill="auto"/>
            <w:vAlign w:val="center"/>
          </w:tcPr>
          <w:p w14:paraId="528992B0" w14:textId="39937548" w:rsidR="00C6634A" w:rsidRPr="009F61F9" w:rsidRDefault="00C6634A" w:rsidP="00C27276">
            <w:pPr>
              <w:snapToGrid w:val="0"/>
              <w:jc w:val="center"/>
              <w:rPr>
                <w:rFonts w:ascii="Times New Roman" w:eastAsia="Times New Roman" w:hAnsi="Times New Roman" w:cs="Times New Roman"/>
                <w:b/>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Обучение без учителя</w:t>
            </w:r>
          </w:p>
        </w:tc>
        <w:tc>
          <w:tcPr>
            <w:tcW w:w="1172" w:type="pct"/>
            <w:vMerge w:val="restart"/>
            <w:shd w:val="clear" w:color="auto" w:fill="auto"/>
            <w:vAlign w:val="center"/>
          </w:tcPr>
          <w:p w14:paraId="44048024" w14:textId="5027D4AA" w:rsidR="00C6634A" w:rsidRPr="009F61F9" w:rsidRDefault="00C6634A" w:rsidP="00C6634A">
            <w:pPr>
              <w:snapToGrid w:val="0"/>
              <w:jc w:val="cente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B40E00" w:rsidRDefault="00C6634A" w:rsidP="00095B8D">
            <w:pPr>
              <w:snapToGrid w:val="0"/>
              <w:spacing w:line="235" w:lineRule="auto"/>
              <w:jc w:val="both"/>
              <w:rPr>
                <w:rFonts w:ascii="Times New Roman" w:hAnsi="Times New Roman" w:cs="Times New Roman"/>
                <w:sz w:val="24"/>
                <w:szCs w:val="24"/>
              </w:rPr>
            </w:pPr>
            <w:r w:rsidRPr="00B40E00">
              <w:rPr>
                <w:rFonts w:ascii="Times New Roman" w:hAnsi="Times New Roman" w:cs="Times New Roman"/>
                <w:sz w:val="24"/>
                <w:szCs w:val="24"/>
              </w:rPr>
              <w:t>Кластерный анализ. Методы кластеризации: метод K средних (K-Means), Expectation Maximization (EM-алгоритм), агломеративная иерархическая кластеризация, графовые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Default="00C6634A" w:rsidP="00095B8D">
            <w:pPr>
              <w:snapToGrid w:val="0"/>
              <w:spacing w:line="235" w:lineRule="auto"/>
              <w:jc w:val="both"/>
              <w:rPr>
                <w:rFonts w:ascii="Times New Roman" w:eastAsia="Times New Roman" w:hAnsi="Times New Roman" w:cs="Times New Roman"/>
                <w:b/>
                <w:bCs/>
                <w:sz w:val="24"/>
                <w:szCs w:val="24"/>
              </w:rPr>
            </w:pPr>
            <w:r w:rsidRPr="00C860AF">
              <w:rPr>
                <w:rFonts w:ascii="Times New Roman" w:hAnsi="Times New Roman" w:cs="Times New Roman"/>
                <w:sz w:val="24"/>
                <w:szCs w:val="24"/>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Default="00992494" w:rsidP="00095B8D">
            <w:pPr>
              <w:snapToGrid w:val="0"/>
              <w:spacing w:line="235" w:lineRule="auto"/>
              <w:jc w:val="both"/>
              <w:rPr>
                <w:rFonts w:ascii="Times New Roman" w:eastAsia="Times New Roman" w:hAnsi="Times New Roman" w:cs="Times New Roman"/>
                <w:b/>
                <w:bCs/>
                <w:sz w:val="24"/>
                <w:szCs w:val="24"/>
              </w:rPr>
            </w:pPr>
            <w:hyperlink r:id="rId8" w:tgtFrame="_blank" w:history="1">
              <w:r w:rsidR="00C6634A" w:rsidRPr="00C860AF">
                <w:rPr>
                  <w:rFonts w:ascii="Times New Roman" w:hAnsi="Times New Roman" w:cs="Times New Roman"/>
                  <w:sz w:val="24"/>
                  <w:szCs w:val="24"/>
                </w:rPr>
                <w:t>Задача обнаружения аномалий</w:t>
              </w:r>
            </w:hyperlink>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Непараметрическое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Задача визуализации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Многомерное шкалирование</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Метод t-SNE</w:t>
            </w:r>
            <w:r w:rsidR="00C6634A">
              <w:rPr>
                <w:rFonts w:ascii="Times New Roman" w:hAnsi="Times New Roman" w:cs="Times New Roman"/>
                <w:sz w:val="24"/>
                <w:szCs w:val="24"/>
              </w:rPr>
              <w:t>.</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5A79CD" w:rsidRDefault="00C6634A" w:rsidP="00095B8D">
            <w:pPr>
              <w:snapToGrid w:val="0"/>
              <w:spacing w:line="235" w:lineRule="auto"/>
              <w:jc w:val="both"/>
              <w:rPr>
                <w:rFonts w:ascii="Times New Roman" w:eastAsia="Times New Roman" w:hAnsi="Times New Roman" w:cs="Times New Roman"/>
                <w:b/>
                <w:bCs/>
                <w:sz w:val="24"/>
                <w:szCs w:val="24"/>
              </w:rPr>
            </w:pPr>
            <w:r w:rsidRPr="00191700">
              <w:rPr>
                <w:rFonts w:ascii="Times New Roman" w:hAnsi="Times New Roman" w:cs="Times New Roman"/>
                <w:sz w:val="24"/>
                <w:szCs w:val="24"/>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r>
              <w:rPr>
                <w:rFonts w:ascii="Times New Roman" w:hAnsi="Times New Roman" w:cs="Times New Roman"/>
                <w:sz w:val="24"/>
                <w:szCs w:val="24"/>
              </w:rPr>
              <w:t>.</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08C7C168" w:rsidR="008F553D" w:rsidRPr="004C71AF" w:rsidRDefault="008F553D" w:rsidP="003F0A7B">
            <w:pPr>
              <w:pStyle w:val="210"/>
              <w:snapToGrid w:val="0"/>
              <w:spacing w:before="60" w:after="60"/>
              <w:ind w:firstLine="567"/>
              <w:jc w:val="center"/>
            </w:pPr>
            <w:r>
              <w:rPr>
                <w:b/>
                <w:bCs/>
              </w:rPr>
              <w:t>Раздел 2</w:t>
            </w:r>
            <w:r w:rsidRPr="003C7E7A">
              <w:rPr>
                <w:b/>
                <w:bCs/>
              </w:rPr>
              <w:t xml:space="preserve">. </w:t>
            </w:r>
            <w:r w:rsidRPr="005A79CD">
              <w:rPr>
                <w:b/>
                <w:bCs/>
              </w:rPr>
              <w:t>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6EE4C2B6" w:rsidR="008F553D" w:rsidRPr="003C7E7A" w:rsidRDefault="008F553D" w:rsidP="008F553D">
            <w:pPr>
              <w:pStyle w:val="210"/>
              <w:snapToGrid w:val="0"/>
              <w:spacing w:before="60" w:after="60"/>
              <w:ind w:firstLine="0"/>
              <w:jc w:val="left"/>
              <w:rPr>
                <w:b/>
                <w:bCs/>
              </w:rPr>
            </w:pPr>
            <w:r>
              <w:t>Лабораторная работа №1.</w:t>
            </w:r>
            <w:r w:rsidRPr="00067E4C">
              <w:t xml:space="preserve"> </w:t>
            </w:r>
            <w:r>
              <w:t>Подготовка рабочего окружения</w:t>
            </w:r>
          </w:p>
        </w:tc>
        <w:tc>
          <w:tcPr>
            <w:tcW w:w="1167" w:type="pct"/>
            <w:shd w:val="clear" w:color="auto" w:fill="auto"/>
          </w:tcPr>
          <w:p w14:paraId="1D941870" w14:textId="272C2EAD" w:rsidR="008F553D" w:rsidRPr="00EB3958" w:rsidRDefault="008F553D" w:rsidP="008F553D">
            <w:pPr>
              <w:pStyle w:val="210"/>
              <w:snapToGrid w:val="0"/>
              <w:ind w:firstLine="0"/>
              <w:jc w:val="center"/>
              <w:rPr>
                <w:b/>
              </w:rPr>
            </w:pPr>
            <w:r>
              <w:rPr>
                <w:b/>
              </w:rPr>
              <w:t>2</w:t>
            </w: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590EC02B" w:rsidR="008F553D" w:rsidRPr="003C7E7A" w:rsidRDefault="008F553D" w:rsidP="008F553D">
            <w:pPr>
              <w:pStyle w:val="210"/>
              <w:snapToGrid w:val="0"/>
              <w:spacing w:before="60" w:after="60"/>
              <w:ind w:firstLine="0"/>
              <w:jc w:val="left"/>
              <w:rPr>
                <w:b/>
                <w:bCs/>
              </w:rPr>
            </w:pPr>
            <w:r>
              <w:t>Лабораторная работа №2.</w:t>
            </w:r>
            <w:r w:rsidRPr="00654CC6">
              <w:t xml:space="preserve"> </w:t>
            </w:r>
            <w:r>
              <w:t>Разведочный анализ данных</w:t>
            </w:r>
          </w:p>
        </w:tc>
        <w:tc>
          <w:tcPr>
            <w:tcW w:w="1167" w:type="pct"/>
            <w:shd w:val="clear" w:color="auto" w:fill="auto"/>
          </w:tcPr>
          <w:p w14:paraId="05ACC72A" w14:textId="0E313613" w:rsidR="008F553D" w:rsidRPr="00EB3958" w:rsidRDefault="008F553D" w:rsidP="008F553D">
            <w:pPr>
              <w:pStyle w:val="210"/>
              <w:snapToGrid w:val="0"/>
              <w:ind w:firstLine="0"/>
              <w:jc w:val="center"/>
              <w:rPr>
                <w:b/>
              </w:rPr>
            </w:pPr>
            <w:r>
              <w:rPr>
                <w:b/>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16E3D5A3" w:rsidR="007A6E0C" w:rsidRPr="003C7E7A" w:rsidRDefault="007A6E0C" w:rsidP="008F553D">
            <w:pPr>
              <w:pStyle w:val="210"/>
              <w:snapToGrid w:val="0"/>
              <w:spacing w:before="60" w:after="60"/>
              <w:ind w:firstLine="567"/>
              <w:jc w:val="center"/>
              <w:rPr>
                <w:b/>
                <w:bCs/>
              </w:rPr>
            </w:pPr>
            <w:r w:rsidRPr="003C7E7A">
              <w:rPr>
                <w:b/>
                <w:bCs/>
              </w:rPr>
              <w:t xml:space="preserve">Раздел </w:t>
            </w:r>
            <w:r>
              <w:rPr>
                <w:b/>
                <w:bCs/>
              </w:rPr>
              <w:t>3</w:t>
            </w:r>
            <w:r w:rsidRPr="003C7E7A">
              <w:rPr>
                <w:b/>
                <w:bCs/>
              </w:rPr>
              <w:t xml:space="preserve">. </w:t>
            </w:r>
            <w:r>
              <w:rPr>
                <w:b/>
              </w:rPr>
              <w:t>Обучение с учителем</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7A6E0C" w:rsidRPr="0067119D" w14:paraId="1D54BFAB" w14:textId="77777777" w:rsidTr="00C6634A">
        <w:trPr>
          <w:trHeight w:val="329"/>
        </w:trPr>
        <w:tc>
          <w:tcPr>
            <w:tcW w:w="303" w:type="pct"/>
            <w:vMerge/>
            <w:vAlign w:val="center"/>
          </w:tcPr>
          <w:p w14:paraId="56B5858A" w14:textId="77777777" w:rsidR="007A6E0C" w:rsidRPr="00EB3958" w:rsidRDefault="007A6E0C" w:rsidP="008F553D">
            <w:pPr>
              <w:pStyle w:val="210"/>
              <w:snapToGrid w:val="0"/>
              <w:ind w:firstLine="0"/>
              <w:jc w:val="center"/>
              <w:rPr>
                <w:bCs/>
              </w:rPr>
            </w:pPr>
          </w:p>
        </w:tc>
        <w:tc>
          <w:tcPr>
            <w:tcW w:w="3530" w:type="pct"/>
            <w:shd w:val="clear" w:color="auto" w:fill="auto"/>
          </w:tcPr>
          <w:p w14:paraId="0CD0E51D" w14:textId="25AC9981"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№3.</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Классификация</w:t>
            </w:r>
          </w:p>
        </w:tc>
        <w:tc>
          <w:tcPr>
            <w:tcW w:w="1167" w:type="pct"/>
            <w:shd w:val="clear" w:color="auto" w:fill="auto"/>
            <w:vAlign w:val="center"/>
          </w:tcPr>
          <w:p w14:paraId="44F2452E" w14:textId="3A27E2BD" w:rsidR="007A6E0C" w:rsidRDefault="007A6E0C" w:rsidP="008F553D">
            <w:pPr>
              <w:pStyle w:val="210"/>
              <w:snapToGrid w:val="0"/>
              <w:ind w:firstLine="0"/>
              <w:jc w:val="center"/>
              <w:rPr>
                <w:b/>
              </w:rPr>
            </w:pPr>
            <w:r>
              <w:rPr>
                <w:b/>
              </w:rPr>
              <w:t>2</w:t>
            </w:r>
          </w:p>
        </w:tc>
      </w:tr>
      <w:tr w:rsidR="007A6E0C" w:rsidRPr="0067119D" w14:paraId="23CE83A7" w14:textId="77777777" w:rsidTr="00A10C87">
        <w:tc>
          <w:tcPr>
            <w:tcW w:w="303" w:type="pct"/>
            <w:vMerge/>
            <w:vAlign w:val="center"/>
          </w:tcPr>
          <w:p w14:paraId="46AB270F" w14:textId="77777777" w:rsidR="007A6E0C" w:rsidRPr="00EB3958" w:rsidRDefault="007A6E0C" w:rsidP="008F553D">
            <w:pPr>
              <w:pStyle w:val="210"/>
              <w:snapToGrid w:val="0"/>
              <w:ind w:firstLine="0"/>
              <w:jc w:val="center"/>
              <w:rPr>
                <w:bCs/>
              </w:rPr>
            </w:pPr>
          </w:p>
        </w:tc>
        <w:tc>
          <w:tcPr>
            <w:tcW w:w="3530" w:type="pct"/>
            <w:shd w:val="clear" w:color="auto" w:fill="auto"/>
          </w:tcPr>
          <w:p w14:paraId="2F06494F" w14:textId="63285668"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№4.</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Регрессия</w:t>
            </w:r>
          </w:p>
        </w:tc>
        <w:tc>
          <w:tcPr>
            <w:tcW w:w="1167" w:type="pct"/>
            <w:shd w:val="clear" w:color="auto" w:fill="auto"/>
            <w:vAlign w:val="center"/>
          </w:tcPr>
          <w:p w14:paraId="1F3733E4" w14:textId="5B14AFB4" w:rsidR="007A6E0C" w:rsidRDefault="007A6E0C" w:rsidP="008F553D">
            <w:pPr>
              <w:pStyle w:val="210"/>
              <w:snapToGrid w:val="0"/>
              <w:ind w:firstLine="0"/>
              <w:jc w:val="center"/>
              <w:rPr>
                <w:b/>
              </w:rPr>
            </w:pPr>
            <w:r>
              <w:rPr>
                <w:b/>
              </w:rPr>
              <w:t>2</w:t>
            </w:r>
          </w:p>
        </w:tc>
      </w:tr>
      <w:tr w:rsidR="007A6E0C" w:rsidRPr="0067119D" w14:paraId="49CCBF76" w14:textId="77777777" w:rsidTr="00A10C87">
        <w:tc>
          <w:tcPr>
            <w:tcW w:w="303" w:type="pct"/>
            <w:vMerge/>
            <w:vAlign w:val="center"/>
          </w:tcPr>
          <w:p w14:paraId="18D38FB1" w14:textId="77777777" w:rsidR="007A6E0C" w:rsidRPr="00EB3958" w:rsidRDefault="007A6E0C" w:rsidP="008F553D">
            <w:pPr>
              <w:pStyle w:val="210"/>
              <w:snapToGrid w:val="0"/>
              <w:ind w:firstLine="0"/>
              <w:jc w:val="center"/>
              <w:rPr>
                <w:bCs/>
              </w:rPr>
            </w:pPr>
          </w:p>
        </w:tc>
        <w:tc>
          <w:tcPr>
            <w:tcW w:w="3530" w:type="pct"/>
            <w:shd w:val="clear" w:color="auto" w:fill="auto"/>
          </w:tcPr>
          <w:p w14:paraId="073C4488" w14:textId="02EFF360"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№5.</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Композиция алгоритмов</w:t>
            </w:r>
          </w:p>
        </w:tc>
        <w:tc>
          <w:tcPr>
            <w:tcW w:w="1167" w:type="pct"/>
            <w:shd w:val="clear" w:color="auto" w:fill="auto"/>
            <w:vAlign w:val="center"/>
          </w:tcPr>
          <w:p w14:paraId="2E1DD6F8" w14:textId="6FB63DE5" w:rsidR="007A6E0C" w:rsidRDefault="007A6E0C" w:rsidP="008F553D">
            <w:pPr>
              <w:pStyle w:val="210"/>
              <w:snapToGrid w:val="0"/>
              <w:ind w:firstLine="0"/>
              <w:jc w:val="center"/>
              <w:rPr>
                <w:b/>
              </w:rPr>
            </w:pPr>
            <w:r>
              <w:rPr>
                <w:b/>
              </w:rPr>
              <w:t>2</w:t>
            </w:r>
          </w:p>
        </w:tc>
      </w:tr>
      <w:tr w:rsidR="007A6E0C" w:rsidRPr="0067119D" w14:paraId="1EB0B883" w14:textId="77777777" w:rsidTr="00A10C87">
        <w:tc>
          <w:tcPr>
            <w:tcW w:w="303" w:type="pct"/>
            <w:vMerge/>
            <w:vAlign w:val="center"/>
          </w:tcPr>
          <w:p w14:paraId="1F6DC98E" w14:textId="77777777" w:rsidR="007A6E0C" w:rsidRPr="00EB3958" w:rsidRDefault="007A6E0C" w:rsidP="008F553D">
            <w:pPr>
              <w:pStyle w:val="210"/>
              <w:snapToGrid w:val="0"/>
              <w:ind w:firstLine="0"/>
              <w:jc w:val="center"/>
              <w:rPr>
                <w:bCs/>
              </w:rPr>
            </w:pPr>
          </w:p>
        </w:tc>
        <w:tc>
          <w:tcPr>
            <w:tcW w:w="3530" w:type="pct"/>
            <w:shd w:val="clear" w:color="auto" w:fill="auto"/>
          </w:tcPr>
          <w:p w14:paraId="51DA1125" w14:textId="1F31259F"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№6-8.</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Нейронные сети. Глубокое обучение. Архитектуры.</w:t>
            </w:r>
          </w:p>
        </w:tc>
        <w:tc>
          <w:tcPr>
            <w:tcW w:w="1167" w:type="pct"/>
            <w:shd w:val="clear" w:color="auto" w:fill="auto"/>
            <w:vAlign w:val="center"/>
          </w:tcPr>
          <w:p w14:paraId="35D09A00" w14:textId="4529A2AF" w:rsidR="007A6E0C" w:rsidRDefault="007A6E0C" w:rsidP="008F553D">
            <w:pPr>
              <w:pStyle w:val="210"/>
              <w:snapToGrid w:val="0"/>
              <w:ind w:firstLine="0"/>
              <w:jc w:val="center"/>
              <w:rPr>
                <w:b/>
              </w:rPr>
            </w:pPr>
            <w:r>
              <w:rPr>
                <w:b/>
              </w:rPr>
              <w:t>6</w:t>
            </w:r>
          </w:p>
        </w:tc>
      </w:tr>
      <w:tr w:rsidR="007A6E0C" w:rsidRPr="0067119D" w14:paraId="6FF49744" w14:textId="77777777" w:rsidTr="00A10C87">
        <w:tc>
          <w:tcPr>
            <w:tcW w:w="303" w:type="pct"/>
            <w:vMerge/>
            <w:vAlign w:val="center"/>
          </w:tcPr>
          <w:p w14:paraId="57172B2E" w14:textId="77777777" w:rsidR="007A6E0C" w:rsidRPr="00EB3958" w:rsidRDefault="007A6E0C" w:rsidP="008F553D">
            <w:pPr>
              <w:pStyle w:val="210"/>
              <w:snapToGrid w:val="0"/>
              <w:ind w:firstLine="0"/>
              <w:jc w:val="center"/>
              <w:rPr>
                <w:bCs/>
              </w:rPr>
            </w:pPr>
          </w:p>
        </w:tc>
        <w:tc>
          <w:tcPr>
            <w:tcW w:w="3530" w:type="pct"/>
            <w:shd w:val="clear" w:color="auto" w:fill="auto"/>
          </w:tcPr>
          <w:p w14:paraId="2EE059A8" w14:textId="6F8CAFEC"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9-11 Обработка изображений с помощью методов глубокого обучения.</w:t>
            </w:r>
          </w:p>
        </w:tc>
        <w:tc>
          <w:tcPr>
            <w:tcW w:w="1167" w:type="pct"/>
            <w:shd w:val="clear" w:color="auto" w:fill="auto"/>
            <w:vAlign w:val="center"/>
          </w:tcPr>
          <w:p w14:paraId="6FDC429E" w14:textId="70FAAE71" w:rsidR="007A6E0C" w:rsidRDefault="007A6E0C" w:rsidP="008F553D">
            <w:pPr>
              <w:pStyle w:val="210"/>
              <w:snapToGrid w:val="0"/>
              <w:ind w:firstLine="0"/>
              <w:jc w:val="center"/>
              <w:rPr>
                <w:b/>
              </w:rPr>
            </w:pPr>
            <w:r>
              <w:rPr>
                <w:b/>
              </w:rPr>
              <w:t>6</w:t>
            </w: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ECC4500" w:rsidR="007A6E0C" w:rsidRPr="00D9102C" w:rsidRDefault="007A6E0C" w:rsidP="007A6E0C">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5</w:t>
            </w:r>
            <w:r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Обучение с подкреплением</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7D05FF10"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№12-14.</w:t>
            </w:r>
            <w:r w:rsidRPr="00067E4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EB3958" w:rsidRDefault="007A6E0C" w:rsidP="008F553D">
            <w:pPr>
              <w:pStyle w:val="210"/>
              <w:snapToGrid w:val="0"/>
              <w:ind w:firstLine="0"/>
              <w:jc w:val="center"/>
              <w:rPr>
                <w:b/>
              </w:rPr>
            </w:pPr>
            <w:r>
              <w:rPr>
                <w:b/>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6C526705" w:rsidR="008F553D" w:rsidRPr="00BE57B1" w:rsidRDefault="007A6E0C" w:rsidP="007A6E0C">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6</w:t>
            </w:r>
            <w:r w:rsidR="008F553D"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Разработка прикладных решений</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067E4C" w:rsidRDefault="007A6E0C" w:rsidP="007A6E0C">
            <w:pPr>
              <w:autoSpaceDE/>
              <w:autoSpaceDN/>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eastAsia="ar-SA" w:bidi="ar-SA"/>
              </w:rPr>
              <w:t>Лабораторные работы №15-17</w:t>
            </w:r>
            <w:r w:rsidR="008F553D">
              <w:rPr>
                <w:rFonts w:ascii="Times New Roman" w:eastAsia="Times New Roman" w:hAnsi="Times New Roman" w:cs="Times New Roman"/>
                <w:sz w:val="24"/>
                <w:szCs w:val="24"/>
                <w:lang w:eastAsia="ar-SA" w:bidi="ar-SA"/>
              </w:rPr>
              <w:t>.</w:t>
            </w:r>
            <w:r w:rsidR="008F553D" w:rsidRPr="00067E4C">
              <w:rPr>
                <w:rFonts w:ascii="Times New Roman" w:eastAsia="Times New Roman" w:hAnsi="Times New Roman" w:cs="Times New Roman"/>
                <w:sz w:val="24"/>
                <w:szCs w:val="24"/>
                <w:lang w:eastAsia="ar-SA" w:bidi="ar-SA"/>
              </w:rPr>
              <w:t xml:space="preserve"> </w:t>
            </w:r>
            <w:r>
              <w:rPr>
                <w:rFonts w:ascii="Times New Roman" w:hAnsi="Times New Roman" w:cs="Times New Roman"/>
                <w:sz w:val="24"/>
                <w:szCs w:val="24"/>
              </w:rPr>
              <w:t>Разработка прикладных решений.</w:t>
            </w:r>
          </w:p>
        </w:tc>
        <w:tc>
          <w:tcPr>
            <w:tcW w:w="1167" w:type="pct"/>
            <w:shd w:val="clear" w:color="auto" w:fill="auto"/>
            <w:vAlign w:val="center"/>
          </w:tcPr>
          <w:p w14:paraId="653FFA01" w14:textId="38465AB6" w:rsidR="008F553D" w:rsidRPr="00EB3958" w:rsidRDefault="007A6E0C" w:rsidP="008F553D">
            <w:pPr>
              <w:pStyle w:val="210"/>
              <w:snapToGrid w:val="0"/>
              <w:ind w:firstLine="0"/>
              <w:jc w:val="center"/>
              <w:rPr>
                <w:b/>
              </w:rPr>
            </w:pPr>
            <w:r>
              <w:rPr>
                <w:b/>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7A6E0C" w:rsidRDefault="007A6E0C" w:rsidP="007A6E0C">
            <w:pPr>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№18.</w:t>
            </w:r>
            <w:r w:rsidRPr="007A6E0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Экспертиза разработанных прикладных решений.</w:t>
            </w:r>
          </w:p>
        </w:tc>
        <w:tc>
          <w:tcPr>
            <w:tcW w:w="1167" w:type="pct"/>
            <w:shd w:val="clear" w:color="auto" w:fill="auto"/>
            <w:vAlign w:val="center"/>
          </w:tcPr>
          <w:p w14:paraId="0A4F71D4" w14:textId="77777777" w:rsidR="007A6E0C" w:rsidRDefault="007A6E0C" w:rsidP="008F553D">
            <w:pPr>
              <w:pStyle w:val="210"/>
              <w:snapToGrid w:val="0"/>
              <w:ind w:firstLine="0"/>
              <w:jc w:val="center"/>
              <w:rPr>
                <w:b/>
              </w:rPr>
            </w:pPr>
            <w:r>
              <w:rPr>
                <w:b/>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77777777" w:rsidR="008F553D" w:rsidRPr="00EB3958" w:rsidRDefault="008F553D" w:rsidP="008F553D">
            <w:pPr>
              <w:pStyle w:val="210"/>
              <w:snapToGrid w:val="0"/>
              <w:ind w:firstLine="0"/>
              <w:jc w:val="center"/>
              <w:rPr>
                <w:b/>
              </w:rPr>
            </w:pPr>
            <w:r>
              <w:rPr>
                <w:b/>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2</w:t>
            </w:r>
            <w:r w:rsidR="00FC38BD" w:rsidRPr="009F61F9">
              <w:rPr>
                <w:rFonts w:ascii="Times New Roman" w:eastAsia="Times New Roman" w:hAnsi="Times New Roman" w:cs="Times New Roman"/>
                <w:b/>
                <w:sz w:val="24"/>
                <w:szCs w:val="24"/>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FC38BD" w:rsidRPr="009F61F9">
              <w:rPr>
                <w:rFonts w:ascii="Times New Roman" w:eastAsia="Times New Roman" w:hAnsi="Times New Roman" w:cs="Times New Roman"/>
                <w:sz w:val="24"/>
                <w:szCs w:val="24"/>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F61F9" w:rsidRDefault="007C792C"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200C5CB4"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Pr="007F04AD">
        <w:rPr>
          <w:b w:val="0"/>
        </w:rPr>
        <w:t xml:space="preserve">Машинное </w:t>
      </w:r>
      <w:r w:rsidRPr="007F04AD">
        <w:rPr>
          <w:b w:val="0"/>
        </w:rPr>
        <w:lastRenderedPageBreak/>
        <w:t>обучение»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7F04AD"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«Машинное обучение»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Pr="00117DDB">
        <w:rPr>
          <w:rFonts w:ascii="Times New Roman" w:hAnsi="Times New Roman" w:cs="Times New Roman"/>
        </w:rPr>
        <w:t>Машинное обучение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расчетно-графическая работа </w:t>
      </w:r>
      <w:r>
        <w:rPr>
          <w:rFonts w:ascii="Times New Roman" w:hAnsi="Times New Roman"/>
        </w:rPr>
        <w:t>в рамках которой студенты разрабатывают алгоритмы на основе методов машинного обучения</w:t>
      </w:r>
      <w:r w:rsidR="00787D8C" w:rsidRPr="00787D8C">
        <w:rPr>
          <w:rFonts w:ascii="Times New Roman" w:hAnsi="Times New Roman"/>
        </w:rPr>
        <w:t xml:space="preserve"> для решения задач анализа данных из различных прикладных областей.</w:t>
      </w:r>
      <w:r w:rsidR="007C792C">
        <w:rPr>
          <w:rFonts w:ascii="Times New Roman" w:hAnsi="Times New Roman"/>
        </w:rPr>
        <w:t xml:space="preserve"> </w:t>
      </w:r>
      <w:r w:rsidR="002F1F6C">
        <w:rPr>
          <w:rFonts w:ascii="Times New Roman" w:hAnsi="Times New Roman"/>
        </w:rPr>
        <w:t>Приветствуется</w:t>
      </w:r>
      <w:r w:rsidR="007C792C">
        <w:rPr>
          <w:rFonts w:ascii="Times New Roman" w:hAnsi="Times New Roman"/>
        </w:rPr>
        <w:t xml:space="preserve"> вариант формулировки темы РГР по согласовани</w:t>
      </w:r>
      <w:r w:rsidR="002F1F6C">
        <w:rPr>
          <w:rFonts w:ascii="Times New Roman" w:hAnsi="Times New Roman"/>
        </w:rPr>
        <w:t>ю со студентами</w:t>
      </w:r>
      <w:r w:rsidR="007C792C">
        <w:rPr>
          <w:rFonts w:ascii="Times New Roman" w:hAnsi="Times New Roman"/>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77777777" w:rsidR="00095B8D" w:rsidRPr="00322D5B"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Этапы процесса </w:t>
      </w:r>
      <w:r>
        <w:rPr>
          <w:rFonts w:ascii="Times New Roman" w:hAnsi="Times New Roman" w:cs="Times New Roman"/>
          <w:sz w:val="24"/>
          <w:szCs w:val="24"/>
          <w:lang w:val="en-US"/>
        </w:rPr>
        <w:t>Data Science.</w:t>
      </w:r>
    </w:p>
    <w:p w14:paraId="7A96C51A"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Экосистема больших данных и </w:t>
      </w:r>
      <w:r>
        <w:rPr>
          <w:rFonts w:ascii="Times New Roman" w:hAnsi="Times New Roman" w:cs="Times New Roman"/>
          <w:sz w:val="24"/>
          <w:szCs w:val="24"/>
          <w:lang w:val="en-US"/>
        </w:rPr>
        <w:t>Data</w:t>
      </w:r>
      <w:r w:rsidRPr="00322D5B">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322D5B">
        <w:rPr>
          <w:rFonts w:ascii="Times New Roman" w:hAnsi="Times New Roman" w:cs="Times New Roman"/>
          <w:sz w:val="24"/>
          <w:szCs w:val="24"/>
        </w:rPr>
        <w:t>.</w:t>
      </w:r>
    </w:p>
    <w:p w14:paraId="05146378"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Инфраструктуры машинного обучения</w:t>
      </w:r>
    </w:p>
    <w:p w14:paraId="7A38B128"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типы машинного обучения.</w:t>
      </w:r>
    </w:p>
    <w:p w14:paraId="6BF13F11"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262FDB" w:rsidRDefault="00311130"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основные этапы решения задачи методами машинного обучения.</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Классификация данных</w:t>
      </w:r>
      <w:r w:rsidRPr="00262FDB">
        <w:rPr>
          <w:rFonts w:ascii="Times New Roman" w:eastAsia="Times New Roman" w:hAnsi="Times New Roman" w:cs="Times New Roman"/>
          <w:sz w:val="24"/>
          <w:szCs w:val="24"/>
          <w:lang w:eastAsia="ar-SA" w:bidi="ar-SA"/>
        </w:rPr>
        <w:t>.</w:t>
      </w:r>
    </w:p>
    <w:p w14:paraId="7CDF3E3E"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Работа с категориальными данными.</w:t>
      </w:r>
    </w:p>
    <w:p w14:paraId="1B63D23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Нормирование значений признаков.</w:t>
      </w:r>
    </w:p>
    <w:p w14:paraId="5F84BEBB"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отбора содержательных признаков и варианты ее решения.</w:t>
      </w:r>
    </w:p>
    <w:p w14:paraId="0295E69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77777777" w:rsidR="00BE57B1" w:rsidRPr="00262FDB" w:rsidRDefault="00311130"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регрессии в </w:t>
      </w:r>
      <w:r>
        <w:rPr>
          <w:rFonts w:ascii="Times New Roman" w:hAnsi="Times New Roman" w:cs="Times New Roman"/>
          <w:sz w:val="24"/>
          <w:szCs w:val="24"/>
          <w:lang w:val="en-US"/>
        </w:rPr>
        <w:t>ML</w:t>
      </w:r>
      <w:r w:rsidR="007F55F9">
        <w:rPr>
          <w:rFonts w:ascii="Times New Roman" w:hAnsi="Times New Roman" w:cs="Times New Roman"/>
          <w:sz w:val="24"/>
          <w:szCs w:val="24"/>
        </w:rPr>
        <w:t xml:space="preserve">, </w:t>
      </w:r>
      <w:r w:rsidR="008B2C34">
        <w:rPr>
          <w:rFonts w:ascii="Times New Roman" w:hAnsi="Times New Roman" w:cs="Times New Roman"/>
          <w:sz w:val="24"/>
          <w:szCs w:val="24"/>
        </w:rPr>
        <w:t xml:space="preserve">укажите </w:t>
      </w:r>
      <w:r w:rsidR="007F55F9">
        <w:rPr>
          <w:rFonts w:ascii="Times New Roman" w:hAnsi="Times New Roman" w:cs="Times New Roman"/>
          <w:sz w:val="24"/>
          <w:szCs w:val="24"/>
        </w:rPr>
        <w:t>используемые ф</w:t>
      </w:r>
      <w:r w:rsidR="008B2C34">
        <w:rPr>
          <w:rFonts w:ascii="Times New Roman" w:hAnsi="Times New Roman" w:cs="Times New Roman"/>
          <w:sz w:val="24"/>
          <w:szCs w:val="24"/>
        </w:rPr>
        <w:t>у</w:t>
      </w:r>
      <w:r w:rsidR="007F55F9">
        <w:rPr>
          <w:rFonts w:ascii="Times New Roman" w:hAnsi="Times New Roman" w:cs="Times New Roman"/>
          <w:sz w:val="24"/>
          <w:szCs w:val="24"/>
        </w:rPr>
        <w:t>нкционалы ошибки</w:t>
      </w:r>
      <w:r w:rsidR="008B2C34">
        <w:rPr>
          <w:rFonts w:ascii="Times New Roman" w:hAnsi="Times New Roman" w:cs="Times New Roman"/>
          <w:sz w:val="24"/>
          <w:szCs w:val="24"/>
        </w:rPr>
        <w:t>.</w:t>
      </w:r>
      <w:r w:rsidR="00BE57B1" w:rsidRPr="00262FDB">
        <w:rPr>
          <w:rFonts w:ascii="Times New Roman" w:hAnsi="Times New Roman" w:cs="Times New Roman"/>
          <w:sz w:val="24"/>
          <w:szCs w:val="24"/>
        </w:rPr>
        <w:t xml:space="preserve"> </w:t>
      </w:r>
    </w:p>
    <w:p w14:paraId="4352B0AF" w14:textId="77777777" w:rsidR="008B2C34" w:rsidRPr="00262FDB"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кластеризации в </w:t>
      </w:r>
      <w:r>
        <w:rPr>
          <w:rFonts w:ascii="Times New Roman" w:hAnsi="Times New Roman" w:cs="Times New Roman"/>
          <w:sz w:val="24"/>
          <w:szCs w:val="24"/>
          <w:lang w:val="en-US"/>
        </w:rPr>
        <w:t>ML</w:t>
      </w:r>
      <w:r>
        <w:rPr>
          <w:rFonts w:ascii="Times New Roman" w:hAnsi="Times New Roman" w:cs="Times New Roman"/>
          <w:sz w:val="24"/>
          <w:szCs w:val="24"/>
        </w:rPr>
        <w:t>, укажите используемые функционалы ошибки.</w:t>
      </w:r>
      <w:r w:rsidRPr="00262FDB">
        <w:rPr>
          <w:rFonts w:ascii="Times New Roman" w:hAnsi="Times New Roman" w:cs="Times New Roman"/>
          <w:sz w:val="24"/>
          <w:szCs w:val="24"/>
        </w:rPr>
        <w:t xml:space="preserve"> </w:t>
      </w:r>
    </w:p>
    <w:p w14:paraId="5651031D" w14:textId="77777777" w:rsidR="00BE57B1"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Линейная модель в задачах регрессии и классификации.</w:t>
      </w:r>
    </w:p>
    <w:p w14:paraId="7CF14BB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Градиентный метод и стохастический градиентный метод.</w:t>
      </w:r>
    </w:p>
    <w:p w14:paraId="4FF1D589"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Спрямляющие пространства.</w:t>
      </w:r>
    </w:p>
    <w:p w14:paraId="0B99DBF0"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Проблема переобучения и подходы к ее решению.</w:t>
      </w:r>
    </w:p>
    <w:p w14:paraId="289740A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Методы опорных векторов.</w:t>
      </w:r>
    </w:p>
    <w:p w14:paraId="4D975467"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Деревья принятия решений.</w:t>
      </w:r>
    </w:p>
    <w:p w14:paraId="68260519"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sidRPr="003301DB">
        <w:rPr>
          <w:rFonts w:ascii="Times New Roman" w:eastAsia="Times New Roman" w:hAnsi="Times New Roman" w:cs="Times New Roman"/>
          <w:sz w:val="24"/>
          <w:szCs w:val="24"/>
          <w:lang w:eastAsia="ar-SA" w:bidi="ar-SA"/>
        </w:rPr>
        <w:t>Техники деления выборки: отложенная выборка и кросс</w:t>
      </w:r>
      <w:r>
        <w:rPr>
          <w:rFonts w:ascii="Times New Roman" w:eastAsia="Times New Roman" w:hAnsi="Times New Roman" w:cs="Times New Roman"/>
          <w:sz w:val="24"/>
          <w:szCs w:val="24"/>
          <w:lang w:eastAsia="ar-SA" w:bidi="ar-SA"/>
        </w:rPr>
        <w:t>-</w:t>
      </w:r>
      <w:r w:rsidRPr="003301DB">
        <w:rPr>
          <w:rFonts w:ascii="Times New Roman" w:eastAsia="Times New Roman" w:hAnsi="Times New Roman" w:cs="Times New Roman"/>
          <w:sz w:val="24"/>
          <w:szCs w:val="24"/>
          <w:lang w:eastAsia="ar-SA" w:bidi="ar-SA"/>
        </w:rPr>
        <w:t>валидация.</w:t>
      </w:r>
    </w:p>
    <w:p w14:paraId="159E7C82"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Кривая обучения.</w:t>
      </w:r>
    </w:p>
    <w:p w14:paraId="7C1B3454"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Проверочная кривая.</w:t>
      </w:r>
    </w:p>
    <w:p w14:paraId="3AB3880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 сеточного поиска для настройки гиперпараметров.</w:t>
      </w:r>
    </w:p>
    <w:p w14:paraId="14775F93"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Метрики качества задачи классификации.</w:t>
      </w:r>
    </w:p>
    <w:p w14:paraId="328C8F2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Определение композиции алгоритмов. Правила построения.</w:t>
      </w:r>
    </w:p>
    <w:p w14:paraId="555D96CD" w14:textId="77777777" w:rsidR="00C200EF"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Бутстреп. Бэггинг.</w:t>
      </w:r>
    </w:p>
    <w:p w14:paraId="026F0E11"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Случайный лес.</w:t>
      </w:r>
    </w:p>
    <w:p w14:paraId="797B629C" w14:textId="77777777" w:rsidR="009B26F6"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Бустинг.</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Кластерный анализ, обзор проблемы.</w:t>
      </w:r>
    </w:p>
    <w:p w14:paraId="56FDF44E"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w:t>
      </w:r>
      <w:r>
        <w:rPr>
          <w:rFonts w:ascii="Times New Roman" w:eastAsia="Times New Roman" w:hAnsi="Times New Roman" w:cs="Times New Roman"/>
          <w:sz w:val="24"/>
          <w:szCs w:val="24"/>
          <w:lang w:val="en-US" w:eastAsia="ar-SA" w:bidi="ar-SA"/>
        </w:rPr>
        <w:t xml:space="preserve"> K</w:t>
      </w:r>
      <w:r>
        <w:rPr>
          <w:rFonts w:ascii="Times New Roman" w:eastAsia="Times New Roman" w:hAnsi="Times New Roman" w:cs="Times New Roman"/>
          <w:sz w:val="24"/>
          <w:szCs w:val="24"/>
          <w:lang w:eastAsia="ar-SA" w:bidi="ar-SA"/>
        </w:rPr>
        <w:t xml:space="preserve"> средних.</w:t>
      </w:r>
    </w:p>
    <w:p w14:paraId="679249AC"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B40E00">
        <w:rPr>
          <w:rFonts w:ascii="Times New Roman" w:hAnsi="Times New Roman" w:cs="Times New Roman"/>
          <w:sz w:val="24"/>
          <w:szCs w:val="24"/>
        </w:rPr>
        <w:t>EM-алгоритм</w:t>
      </w:r>
      <w:r>
        <w:rPr>
          <w:rFonts w:ascii="Times New Roman" w:hAnsi="Times New Roman" w:cs="Times New Roman"/>
          <w:sz w:val="24"/>
          <w:szCs w:val="24"/>
        </w:rPr>
        <w:t>.</w:t>
      </w:r>
    </w:p>
    <w:p w14:paraId="7221368E"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А</w:t>
      </w:r>
      <w:r w:rsidRPr="00B40E00">
        <w:rPr>
          <w:rFonts w:ascii="Times New Roman" w:hAnsi="Times New Roman" w:cs="Times New Roman"/>
          <w:sz w:val="24"/>
          <w:szCs w:val="24"/>
        </w:rPr>
        <w:t>гломеративная иерархическая кластеризация</w:t>
      </w:r>
      <w:r>
        <w:rPr>
          <w:rFonts w:ascii="Times New Roman" w:hAnsi="Times New Roman" w:cs="Times New Roman"/>
          <w:sz w:val="24"/>
          <w:szCs w:val="24"/>
        </w:rPr>
        <w:t>.</w:t>
      </w:r>
    </w:p>
    <w:p w14:paraId="7F36D513"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Графовая кластеризация.</w:t>
      </w:r>
    </w:p>
    <w:p w14:paraId="759944E4"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Оценка качества решения задачи кластеризации.</w:t>
      </w:r>
    </w:p>
    <w:p w14:paraId="13F4DCEF"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обнаружения аномалий.</w:t>
      </w:r>
    </w:p>
    <w:p w14:paraId="33CC8B4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Параметрическое и непараметрическое восстановление плотности.</w:t>
      </w:r>
    </w:p>
    <w:p w14:paraId="4907DD1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визуализации.</w:t>
      </w:r>
    </w:p>
    <w:p w14:paraId="4DB97AF8"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Многомерное шкалирование.</w:t>
      </w:r>
    </w:p>
    <w:p w14:paraId="65B9D566"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тематического моделирования.</w:t>
      </w:r>
    </w:p>
    <w:p w14:paraId="253C8E9C"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Базовые тематические модели.</w:t>
      </w:r>
    </w:p>
    <w:p w14:paraId="1F37C75F"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Регуляризация тематической модели.</w:t>
      </w:r>
    </w:p>
    <w:p w14:paraId="39E8530A"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Внутренние критерии качества тематических моделей.</w:t>
      </w:r>
    </w:p>
    <w:p w14:paraId="20C68412" w14:textId="50E085D4" w:rsidR="00BB0BA1" w:rsidRPr="00EF3A66"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lastRenderedPageBreak/>
        <w:t>Внешние критерии качества тематических моделей.</w:t>
      </w:r>
    </w:p>
    <w:p w14:paraId="7702EC2A" w14:textId="3A83158F" w:rsidR="00EF3A66" w:rsidRDefault="00EF3A66" w:rsidP="00EF3A66">
      <w:pPr>
        <w:pStyle w:val="20"/>
        <w:tabs>
          <w:tab w:val="left" w:pos="679"/>
        </w:tabs>
        <w:spacing w:line="288" w:lineRule="auto"/>
        <w:ind w:left="0" w:firstLine="709"/>
        <w:jc w:val="both"/>
      </w:pPr>
      <w:r>
        <w:t>Раздел 5</w:t>
      </w:r>
    </w:p>
    <w:p w14:paraId="0A5A0F05"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Обучение с подкреплением. </w:t>
      </w:r>
    </w:p>
    <w:p w14:paraId="3BFEE40B"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Элементы обучения с подкреплением. </w:t>
      </w:r>
    </w:p>
    <w:p w14:paraId="3C7F60CC"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Ограничения и круг вопросов. </w:t>
      </w:r>
    </w:p>
    <w:p w14:paraId="7DB1540A" w14:textId="0A19C8FF" w:rsidR="00EF3A66" w:rsidRPr="00EF3A66"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Игра в крестики-нолики.</w:t>
      </w:r>
    </w:p>
    <w:p w14:paraId="631E93D1" w14:textId="39901158" w:rsidR="00EF3A66" w:rsidRDefault="00EF3A66" w:rsidP="00EF3A66">
      <w:pPr>
        <w:pStyle w:val="20"/>
        <w:tabs>
          <w:tab w:val="left" w:pos="679"/>
        </w:tabs>
        <w:spacing w:line="288" w:lineRule="auto"/>
        <w:ind w:left="0" w:firstLine="709"/>
        <w:jc w:val="both"/>
      </w:pPr>
      <w:r>
        <w:t>Раздел 6</w:t>
      </w:r>
    </w:p>
    <w:p w14:paraId="4298547C" w14:textId="77777777" w:rsidR="00EF3A66" w:rsidRDefault="00EF3A66" w:rsidP="00EF3A66">
      <w:pPr>
        <w:pStyle w:val="20"/>
        <w:numPr>
          <w:ilvl w:val="0"/>
          <w:numId w:val="42"/>
        </w:numPr>
        <w:tabs>
          <w:tab w:val="left" w:pos="679"/>
        </w:tabs>
        <w:spacing w:line="288" w:lineRule="auto"/>
        <w:ind w:left="0" w:firstLine="709"/>
        <w:jc w:val="both"/>
        <w:rPr>
          <w:b w:val="0"/>
        </w:rPr>
      </w:pPr>
      <w:r>
        <w:rPr>
          <w:b w:val="0"/>
        </w:rPr>
        <w:t>С</w:t>
      </w:r>
      <w:r w:rsidRPr="001A319C">
        <w:rPr>
          <w:b w:val="0"/>
        </w:rPr>
        <w:t>истем</w:t>
      </w:r>
      <w:r>
        <w:rPr>
          <w:b w:val="0"/>
        </w:rPr>
        <w:t>ы</w:t>
      </w:r>
      <w:r w:rsidRPr="001A319C">
        <w:rPr>
          <w:b w:val="0"/>
        </w:rPr>
        <w:t xml:space="preserve"> иску</w:t>
      </w:r>
      <w:r>
        <w:rPr>
          <w:b w:val="0"/>
        </w:rPr>
        <w:t xml:space="preserve">сственного интеллекта и человек. </w:t>
      </w:r>
    </w:p>
    <w:p w14:paraId="68EDF0B6" w14:textId="77777777" w:rsidR="00EF3A66" w:rsidRPr="001A319C" w:rsidRDefault="00EF3A66" w:rsidP="00EF3A66">
      <w:pPr>
        <w:pStyle w:val="20"/>
        <w:numPr>
          <w:ilvl w:val="0"/>
          <w:numId w:val="42"/>
        </w:numPr>
        <w:tabs>
          <w:tab w:val="left" w:pos="679"/>
        </w:tabs>
        <w:spacing w:line="288" w:lineRule="auto"/>
        <w:ind w:left="0" w:firstLine="709"/>
        <w:jc w:val="both"/>
        <w:rPr>
          <w:b w:val="0"/>
        </w:rPr>
      </w:pPr>
      <w:r>
        <w:rPr>
          <w:b w:val="0"/>
        </w:rPr>
        <w:t>П</w:t>
      </w:r>
      <w:r w:rsidRPr="001A319C">
        <w:rPr>
          <w:b w:val="0"/>
        </w:rPr>
        <w:t xml:space="preserve">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3C22D0D7"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sz w:val="24"/>
                <w:szCs w:val="24"/>
                <w:shd w:val="clear" w:color="auto" w:fill="FFFFFF"/>
              </w:rPr>
              <w:t>Anaconda</w:t>
            </w:r>
            <w:r w:rsidRPr="007C0C65">
              <w:rPr>
                <w:rFonts w:ascii="Times New Roman" w:hAnsi="Times New Roman" w:cs="Times New Roman"/>
                <w:sz w:val="24"/>
                <w:szCs w:val="24"/>
                <w:shd w:val="clear" w:color="auto" w:fill="FFFFFF"/>
                <w:lang w:val="en-US"/>
              </w:rPr>
              <w:t xml:space="preserve"> </w:t>
            </w:r>
          </w:p>
        </w:tc>
        <w:tc>
          <w:tcPr>
            <w:tcW w:w="7655" w:type="dxa"/>
          </w:tcPr>
          <w:p w14:paraId="1EB28FF7"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4349B1A0"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0CB97E82" w14:textId="7D30181E"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val="en-US" w:eastAsia="en-US" w:bidi="ar-SA"/>
              </w:rPr>
              <w:t>https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www</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anaconda</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com</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products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individual</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windows</w:t>
            </w: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3FC8FA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rPr>
              <w:t>TensorFlow</w:t>
            </w:r>
          </w:p>
        </w:tc>
        <w:tc>
          <w:tcPr>
            <w:tcW w:w="7655" w:type="dxa"/>
          </w:tcPr>
          <w:p w14:paraId="1C46E080"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661F53CF"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2594C88A" w14:textId="5ADF06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58A912F8" w14:textId="09A9271F" w:rsidR="00E729E0" w:rsidRDefault="00B01D54" w:rsidP="00B01D54">
      <w:pPr>
        <w:pStyle w:val="20"/>
        <w:numPr>
          <w:ilvl w:val="0"/>
          <w:numId w:val="24"/>
        </w:numPr>
        <w:spacing w:line="288" w:lineRule="auto"/>
        <w:ind w:left="0" w:firstLine="709"/>
        <w:jc w:val="both"/>
        <w:rPr>
          <w:b w:val="0"/>
          <w:bCs w:val="0"/>
          <w:lang w:bidi="ar-SA"/>
        </w:rPr>
      </w:pPr>
      <w:r w:rsidRPr="00B01D54">
        <w:rPr>
          <w:b w:val="0"/>
          <w:bCs w:val="0"/>
          <w:lang w:bidi="ar-SA"/>
        </w:rPr>
        <w:t>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 ISBN 978-5-97060-409-0. — Текст : электронный // Лань : электронно-библиотечная система. — URL: https://e.lanbook.com/book/100905 (дата обращения: 23.02.2021). — Режим доступа: для авториз. пользователей.</w:t>
      </w:r>
    </w:p>
    <w:p w14:paraId="694994C0" w14:textId="77777777" w:rsidR="009D7C56" w:rsidRPr="00E729E0" w:rsidRDefault="009D7C56" w:rsidP="009B0565">
      <w:pPr>
        <w:pStyle w:val="20"/>
        <w:numPr>
          <w:ilvl w:val="0"/>
          <w:numId w:val="24"/>
        </w:numPr>
        <w:spacing w:line="288" w:lineRule="auto"/>
        <w:ind w:left="0" w:firstLine="709"/>
        <w:jc w:val="both"/>
        <w:rPr>
          <w:b w:val="0"/>
          <w:bCs w:val="0"/>
          <w:lang w:bidi="ar-SA"/>
        </w:rPr>
      </w:pPr>
      <w:r w:rsidRPr="00E729E0">
        <w:rPr>
          <w:b w:val="0"/>
          <w:bCs w:val="0"/>
          <w:lang w:bidi="ar-SA"/>
        </w:rPr>
        <w:t>Гаврилова, И.В. Основы искусственного интеллекта [Электронный ресур</w:t>
      </w:r>
      <w:r w:rsidRPr="00E729E0">
        <w:rPr>
          <w:b w:val="0"/>
          <w:bCs w:val="0"/>
          <w:lang w:val="en-US" w:bidi="ar-SA"/>
        </w:rPr>
        <w:t>c</w:t>
      </w:r>
      <w:r w:rsidRPr="00E729E0">
        <w:rPr>
          <w:b w:val="0"/>
          <w:bCs w:val="0"/>
          <w:lang w:bidi="ar-SA"/>
        </w:rPr>
        <w:t>]: учеб. пособие / И.В. Гаврилова, О.Е. Масленникова. — Электрон. дан. – Москва : ФЛИНТА, 2013. – 282 с. ЭБС Лань</w:t>
      </w:r>
    </w:p>
    <w:p w14:paraId="46DC6FBA" w14:textId="77777777" w:rsidR="009D7C56" w:rsidRDefault="009D7C56" w:rsidP="009B0565">
      <w:pPr>
        <w:pStyle w:val="20"/>
        <w:numPr>
          <w:ilvl w:val="0"/>
          <w:numId w:val="24"/>
        </w:numPr>
        <w:spacing w:line="288" w:lineRule="auto"/>
        <w:ind w:left="0" w:firstLine="709"/>
        <w:jc w:val="both"/>
        <w:rPr>
          <w:b w:val="0"/>
          <w:bCs w:val="0"/>
          <w:lang w:bidi="ar-SA"/>
        </w:rPr>
      </w:pPr>
      <w:r w:rsidRPr="00AB23A3">
        <w:rPr>
          <w:b w:val="0"/>
          <w:bCs w:val="0"/>
          <w:lang w:bidi="ar-SA"/>
        </w:rPr>
        <w:t>Боровская Е.В. Основы искусственног</w:t>
      </w:r>
      <w:r w:rsidR="009B0565" w:rsidRPr="00AB23A3">
        <w:rPr>
          <w:b w:val="0"/>
          <w:bCs w:val="0"/>
          <w:lang w:bidi="ar-SA"/>
        </w:rPr>
        <w:t>о интеллекта [Электронный ресур</w:t>
      </w:r>
      <w:r w:rsidR="009B0565" w:rsidRPr="00AB23A3">
        <w:rPr>
          <w:b w:val="0"/>
          <w:bCs w:val="0"/>
          <w:lang w:val="en-US" w:bidi="ar-SA"/>
        </w:rPr>
        <w:t>c</w:t>
      </w:r>
      <w:r w:rsidRPr="00AB23A3">
        <w:rPr>
          <w:b w:val="0"/>
          <w:bCs w:val="0"/>
          <w:lang w:bidi="ar-SA"/>
        </w:rPr>
        <w:t>] / Е.В. Боровская, Н.А. Давыдова. –  Москва: Лаборатория знаний (ранее БИНОМ. Лаборатория знаний), 2016.-  127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992494">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Default="00D9065F">
      <w:pPr>
        <w:spacing w:line="202" w:lineRule="exact"/>
        <w:ind w:left="5623"/>
        <w:rPr>
          <w:rFonts w:ascii="Times New Roman" w:hAnsi="Times New Roman"/>
          <w:sz w:val="20"/>
        </w:rPr>
      </w:pPr>
      <w:r>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77777777" w:rsidR="00854E1C" w:rsidRDefault="008C1877" w:rsidP="008C1877">
      <w:pPr>
        <w:pStyle w:val="a4"/>
        <w:ind w:left="0"/>
        <w:jc w:val="right"/>
        <w:rPr>
          <w:rFonts w:ascii="Times New Roman"/>
          <w:i/>
          <w:sz w:val="20"/>
        </w:rPr>
      </w:pPr>
      <w:r>
        <w:rPr>
          <w:rFonts w:ascii="Times New Roman" w:hAnsi="Times New Roman"/>
          <w:spacing w:val="-8"/>
        </w:rPr>
        <w:t>«______</w:t>
      </w:r>
      <w:r>
        <w:rPr>
          <w:rFonts w:ascii="Times New Roman" w:hAnsi="Times New Roman"/>
          <w:spacing w:val="-3"/>
        </w:rPr>
        <w:t>»_________</w:t>
      </w:r>
      <w:r w:rsidR="00B37B9F">
        <w:rPr>
          <w:rFonts w:ascii="Times New Roman" w:hAnsi="Times New Roman"/>
        </w:rPr>
        <w:t>2020</w:t>
      </w:r>
      <w:r>
        <w:rPr>
          <w:rFonts w:ascii="Times New Roman" w:hAnsi="Times New Roman"/>
          <w:u w:val="single"/>
        </w:rPr>
        <w:t xml:space="preserve"> </w:t>
      </w:r>
      <w:r>
        <w:rPr>
          <w:rFonts w:ascii="Times New Roman" w:hAnsi="Times New Roman"/>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303E1" w14:textId="77777777" w:rsidR="00992494" w:rsidRDefault="00992494">
      <w:r>
        <w:separator/>
      </w:r>
    </w:p>
  </w:endnote>
  <w:endnote w:type="continuationSeparator" w:id="0">
    <w:p w14:paraId="1290F7EC" w14:textId="77777777" w:rsidR="00992494" w:rsidRDefault="0099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03687D6B" w:rsidR="00C94F7D" w:rsidRDefault="00C94F7D">
        <w:pPr>
          <w:pStyle w:val="ab"/>
          <w:jc w:val="center"/>
        </w:pPr>
        <w:r>
          <w:fldChar w:fldCharType="begin"/>
        </w:r>
        <w:r>
          <w:instrText>PAGE   \* MERGEFORMAT</w:instrText>
        </w:r>
        <w:r>
          <w:fldChar w:fldCharType="separate"/>
        </w:r>
        <w:r w:rsidR="004A7422">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7B25A" w14:textId="77777777" w:rsidR="00992494" w:rsidRDefault="00992494">
      <w:r>
        <w:separator/>
      </w:r>
    </w:p>
  </w:footnote>
  <w:footnote w:type="continuationSeparator" w:id="0">
    <w:p w14:paraId="2BFF0690" w14:textId="77777777" w:rsidR="00992494" w:rsidRDefault="0099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B4E6B"/>
    <w:rsid w:val="002B5117"/>
    <w:rsid w:val="002B6813"/>
    <w:rsid w:val="002C082C"/>
    <w:rsid w:val="002E5784"/>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7114"/>
    <w:rsid w:val="006F14D6"/>
    <w:rsid w:val="006F35DA"/>
    <w:rsid w:val="00702BD9"/>
    <w:rsid w:val="007057DD"/>
    <w:rsid w:val="00711158"/>
    <w:rsid w:val="00717EC0"/>
    <w:rsid w:val="007248F5"/>
    <w:rsid w:val="00743F05"/>
    <w:rsid w:val="007445BA"/>
    <w:rsid w:val="00750307"/>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40D7"/>
    <w:rsid w:val="009569B0"/>
    <w:rsid w:val="0096041F"/>
    <w:rsid w:val="00965FE1"/>
    <w:rsid w:val="00990D56"/>
    <w:rsid w:val="00992494"/>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4E69"/>
    <w:rsid w:val="009F5FCF"/>
    <w:rsid w:val="009F61F9"/>
    <w:rsid w:val="00A00399"/>
    <w:rsid w:val="00A067E7"/>
    <w:rsid w:val="00A10C87"/>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3147E"/>
    <w:rsid w:val="00E44A6D"/>
    <w:rsid w:val="00E553D1"/>
    <w:rsid w:val="00E729E0"/>
    <w:rsid w:val="00E84F82"/>
    <w:rsid w:val="00E85E24"/>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96916-1F39-4FC4-B009-A5D3AE0B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10</Pages>
  <Words>2464</Words>
  <Characters>14046</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73</cp:revision>
  <cp:lastPrinted>2019-11-27T11:52:00Z</cp:lastPrinted>
  <dcterms:created xsi:type="dcterms:W3CDTF">2019-11-26T14:42:00Z</dcterms:created>
  <dcterms:modified xsi:type="dcterms:W3CDTF">2021-04-24T12:03:00Z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