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left w:w="0" w:type="dxa"/>
          <w:right w:w="0" w:type="dxa"/>
        </w:tblCellMar>
        <w:tblLook w:val="04A0" w:firstRow="1" w:lastRow="0" w:firstColumn="1" w:lastColumn="0" w:noHBand="0" w:noVBand="1"/>
      </w:tblPr>
      <w:tblGrid>
        <w:gridCol w:w="2132"/>
        <w:gridCol w:w="4290"/>
      </w:tblGrid>
      <w:tr w:rsidR="00CB0CC2" w:rsidRPr="00045D5A" w14:paraId="4A6D54D7" w14:textId="77777777" w:rsidTr="00B76DB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ED272" w14:textId="77777777" w:rsidR="00CB0CC2" w:rsidRPr="00045D5A" w:rsidRDefault="00CB0CC2" w:rsidP="00B76DB4">
            <w:r w:rsidRPr="00045D5A">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C2FA9" w14:textId="77777777" w:rsidR="00CB0CC2" w:rsidRPr="00045D5A" w:rsidRDefault="00CB0CC2" w:rsidP="00B76DB4">
            <w:r w:rsidRPr="00045D5A">
              <w:rPr>
                <w:b/>
                <w:bCs/>
              </w:rPr>
              <w:t>Detail</w:t>
            </w:r>
          </w:p>
        </w:tc>
      </w:tr>
      <w:tr w:rsidR="00CB0CC2" w:rsidRPr="00045D5A" w14:paraId="3CA53E3B"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C8BE7" w14:textId="77777777" w:rsidR="00CB0CC2" w:rsidRPr="00045D5A" w:rsidRDefault="00CB0CC2" w:rsidP="00B76DB4">
            <w:r w:rsidRPr="00045D5A">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007EA" w14:textId="77777777" w:rsidR="00CB0CC2" w:rsidRPr="00045D5A" w:rsidRDefault="00CB0CC2" w:rsidP="00B76DB4">
            <w:r w:rsidRPr="00045D5A">
              <w:t>3</w:t>
            </w:r>
            <w:r>
              <w:t>0</w:t>
            </w:r>
            <w:r w:rsidRPr="00045D5A">
              <w:t xml:space="preserve"> </w:t>
            </w:r>
            <w:r>
              <w:t>September</w:t>
            </w:r>
            <w:r w:rsidRPr="00045D5A">
              <w:t xml:space="preserve"> 202</w:t>
            </w:r>
            <w:r>
              <w:t>6</w:t>
            </w:r>
            <w:r w:rsidRPr="00045D5A">
              <w:t xml:space="preserve"> </w:t>
            </w:r>
          </w:p>
          <w:p w14:paraId="70EC8488" w14:textId="77777777" w:rsidR="00CB0CC2" w:rsidRPr="00045D5A" w:rsidRDefault="00CB0CC2" w:rsidP="00B76DB4"/>
        </w:tc>
      </w:tr>
      <w:tr w:rsidR="00CB0CC2" w:rsidRPr="00045D5A" w14:paraId="79227245"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13BC5" w14:textId="77777777" w:rsidR="00CB0CC2" w:rsidRPr="00045D5A" w:rsidRDefault="00CB0CC2" w:rsidP="00B76DB4">
            <w:r w:rsidRPr="00045D5A">
              <w:rPr>
                <w:b/>
                <w:bCs/>
              </w:rPr>
              <w:t>Team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EC258" w14:textId="77777777" w:rsidR="00CB0CC2" w:rsidRPr="00045D5A" w:rsidRDefault="00CB0CC2" w:rsidP="00B76DB4">
            <w:r w:rsidRPr="004C7DD3">
              <w:rPr>
                <w:i/>
                <w:iCs/>
              </w:rPr>
              <w:t>SWTID-2026-9332</w:t>
            </w:r>
          </w:p>
        </w:tc>
      </w:tr>
      <w:tr w:rsidR="00CB0CC2" w:rsidRPr="00045D5A" w14:paraId="22E5575A"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6CC22" w14:textId="77777777" w:rsidR="00CB0CC2" w:rsidRPr="00045D5A" w:rsidRDefault="00CB0CC2" w:rsidP="00B76DB4">
            <w:r w:rsidRPr="00045D5A">
              <w:rPr>
                <w:b/>
                <w:bCs/>
              </w:rPr>
              <w:t>Project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212FD" w14:textId="77777777" w:rsidR="00CB0CC2" w:rsidRPr="00045D5A" w:rsidRDefault="00CB0CC2" w:rsidP="00B76DB4">
            <w:proofErr w:type="spellStart"/>
            <w:r w:rsidRPr="00045D5A">
              <w:t>FitBuddy</w:t>
            </w:r>
            <w:proofErr w:type="spellEnd"/>
            <w:r w:rsidRPr="00045D5A">
              <w:t xml:space="preserve"> AI Tool (</w:t>
            </w:r>
            <w:proofErr w:type="spellStart"/>
            <w:r w:rsidRPr="00045D5A">
              <w:t>FitBuddy</w:t>
            </w:r>
            <w:proofErr w:type="spellEnd"/>
            <w:r w:rsidRPr="00045D5A">
              <w:t xml:space="preserve">-NM-AI-Tool) </w:t>
            </w:r>
          </w:p>
          <w:p w14:paraId="7EAF3731" w14:textId="77777777" w:rsidR="00CB0CC2" w:rsidRPr="00045D5A" w:rsidRDefault="00CB0CC2" w:rsidP="00B76DB4"/>
        </w:tc>
      </w:tr>
      <w:tr w:rsidR="00CB0CC2" w:rsidRPr="00045D5A" w14:paraId="4F87733D"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4EE89" w14:textId="77777777" w:rsidR="00CB0CC2" w:rsidRPr="00045D5A" w:rsidRDefault="00CB0CC2" w:rsidP="00B76DB4">
            <w:r w:rsidRPr="00045D5A">
              <w:rPr>
                <w:b/>
                <w:bCs/>
              </w:rPr>
              <w:t>Maximum Marks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FEB9C" w14:textId="77777777" w:rsidR="00CB0CC2" w:rsidRPr="00045D5A" w:rsidRDefault="00CB0CC2" w:rsidP="00B76DB4">
            <w:r w:rsidRPr="00045D5A">
              <w:t xml:space="preserve">2 Marks </w:t>
            </w:r>
          </w:p>
          <w:p w14:paraId="210ECAD1" w14:textId="77777777" w:rsidR="00CB0CC2" w:rsidRPr="00045D5A" w:rsidRDefault="00CB0CC2" w:rsidP="00B76DB4"/>
        </w:tc>
      </w:tr>
    </w:tbl>
    <w:p w14:paraId="6C34E8AB" w14:textId="77777777" w:rsidR="00CB0CC2" w:rsidRDefault="00CB0CC2">
      <w:pPr>
        <w:spacing w:after="80"/>
        <w:jc w:val="center"/>
        <w:rPr>
          <w:rFonts w:ascii="Arial" w:hAnsi="Arial"/>
          <w:b/>
          <w:color w:val="1F4E79"/>
          <w:sz w:val="48"/>
        </w:rPr>
      </w:pPr>
    </w:p>
    <w:p w14:paraId="24398764" w14:textId="6F09F625" w:rsidR="00B46891" w:rsidRDefault="00000000">
      <w:pPr>
        <w:spacing w:after="80"/>
        <w:jc w:val="center"/>
      </w:pPr>
      <w:r>
        <w:rPr>
          <w:rFonts w:ascii="Arial" w:hAnsi="Arial"/>
          <w:b/>
          <w:color w:val="1F4E79"/>
          <w:sz w:val="48"/>
        </w:rPr>
        <w:t>Phase 8: Project Demonstration — Communication Report</w:t>
      </w:r>
    </w:p>
    <w:p w14:paraId="4E0BDF85" w14:textId="77777777" w:rsidR="00B46891" w:rsidRDefault="00000000">
      <w:pPr>
        <w:spacing w:after="480"/>
        <w:jc w:val="center"/>
      </w:pPr>
      <w:r>
        <w:rPr>
          <w:rFonts w:ascii="Arial" w:hAnsi="Arial"/>
          <w:i/>
          <w:color w:val="5B9BD5"/>
          <w:sz w:val="24"/>
        </w:rPr>
        <w:t>System Integration Messaging &amp; Communication Flow Specification</w:t>
      </w:r>
    </w:p>
    <w:p w14:paraId="388AC324" w14:textId="77777777" w:rsidR="00B46891" w:rsidRDefault="00000000">
      <w:pPr>
        <w:spacing w:after="240"/>
      </w:pPr>
      <w:r>
        <w:rPr>
          <w:rFonts w:ascii="Arial" w:hAnsi="Arial"/>
          <w:b/>
          <w:color w:val="1F4E79"/>
          <w:sz w:val="36"/>
        </w:rPr>
        <w:t>1. Document Abstract &amp; Context</w:t>
      </w:r>
    </w:p>
    <w:p w14:paraId="3E6CFD0B" w14:textId="77777777" w:rsidR="00B46891" w:rsidRDefault="00000000">
      <w:pPr>
        <w:spacing w:after="240"/>
      </w:pPr>
      <w:r>
        <w:rPr>
          <w:rFonts w:ascii="Arial" w:hAnsi="Arial"/>
          <w:color w:val="333333"/>
        </w:rPr>
        <w:t>This technical artifact specifies the dynamic communication flow and multi-tier architectural layout implemented across the FitBuddy-NM-AI-Tool application topology. Effective communication protocol mappings guarantee clear decoupling between the web engine layer, structured data layers, and advanced large language model agents.</w:t>
      </w:r>
    </w:p>
    <w:tbl>
      <w:tblPr>
        <w:tblW w:w="0" w:type="auto"/>
        <w:jc w:val="center"/>
        <w:tblLayout w:type="fixed"/>
        <w:tblLook w:val="04A0" w:firstRow="1" w:lastRow="0" w:firstColumn="1" w:lastColumn="0" w:noHBand="0" w:noVBand="1"/>
      </w:tblPr>
      <w:tblGrid>
        <w:gridCol w:w="9360"/>
      </w:tblGrid>
      <w:tr w:rsidR="00B46891" w14:paraId="50ACEDAF" w14:textId="77777777">
        <w:trPr>
          <w:jc w:val="center"/>
        </w:trPr>
        <w:tc>
          <w:tcPr>
            <w:tcW w:w="9360" w:type="dxa"/>
            <w:tcBorders>
              <w:left w:val="single" w:sz="24" w:space="0" w:color="1F4E79"/>
            </w:tcBorders>
            <w:shd w:val="clear" w:color="auto" w:fill="F2F5F8"/>
            <w:tcMar>
              <w:top w:w="140" w:type="dxa"/>
              <w:left w:w="200" w:type="dxa"/>
              <w:bottom w:w="140" w:type="dxa"/>
              <w:right w:w="200" w:type="dxa"/>
            </w:tcMar>
          </w:tcPr>
          <w:p w14:paraId="763454FA" w14:textId="77777777" w:rsidR="00B46891" w:rsidRDefault="00000000">
            <w:pPr>
              <w:spacing w:after="0"/>
            </w:pPr>
            <w:r>
              <w:rPr>
                <w:rFonts w:ascii="Arial" w:hAnsi="Arial"/>
                <w:i/>
                <w:color w:val="1F4E79"/>
                <w:sz w:val="21"/>
              </w:rPr>
              <w:t>Architectural Note: The communication channels leverage non-blocking async network loops over FastAPI routes to ensure that heavy generative queries processed by Gemini models do not throttle frontend user experiences.</w:t>
            </w:r>
          </w:p>
        </w:tc>
      </w:tr>
    </w:tbl>
    <w:p w14:paraId="15273DF3" w14:textId="77777777" w:rsidR="00B46891" w:rsidRDefault="00000000">
      <w:pPr>
        <w:spacing w:after="240"/>
      </w:pPr>
      <w:r>
        <w:rPr>
          <w:rFonts w:ascii="Arial" w:hAnsi="Arial"/>
          <w:b/>
          <w:color w:val="1F4E79"/>
          <w:sz w:val="36"/>
        </w:rPr>
        <w:t>2. Multi-Tier Communication System Matrix</w:t>
      </w:r>
    </w:p>
    <w:p w14:paraId="1D8051EB" w14:textId="77777777" w:rsidR="00B46891" w:rsidRDefault="00000000">
      <w:pPr>
        <w:spacing w:after="160"/>
      </w:pPr>
      <w:r>
        <w:rPr>
          <w:rFonts w:ascii="Arial" w:hAnsi="Arial"/>
          <w:color w:val="333333"/>
        </w:rPr>
        <w:t>The application relies on structural interaction flows categorized across distinct protocol layouts, processing queues, and real-time execution speeds depending on the complexity of the execution runtime.</w:t>
      </w:r>
    </w:p>
    <w:tbl>
      <w:tblPr>
        <w:tblW w:w="0" w:type="auto"/>
        <w:jc w:val="center"/>
        <w:tblLayout w:type="fixed"/>
        <w:tblLook w:val="04A0" w:firstRow="1" w:lastRow="0" w:firstColumn="1" w:lastColumn="0" w:noHBand="0" w:noVBand="1"/>
      </w:tblPr>
      <w:tblGrid>
        <w:gridCol w:w="2160"/>
        <w:gridCol w:w="2160"/>
        <w:gridCol w:w="2160"/>
        <w:gridCol w:w="2880"/>
      </w:tblGrid>
      <w:tr w:rsidR="00B46891" w14:paraId="1CC9029D" w14:textId="77777777">
        <w:trPr>
          <w:jc w:val="center"/>
        </w:trPr>
        <w:tc>
          <w:tcPr>
            <w:tcW w:w="2160" w:type="dxa"/>
            <w:shd w:val="clear" w:color="auto" w:fill="1F4E79"/>
            <w:tcMar>
              <w:top w:w="120" w:type="dxa"/>
              <w:left w:w="150" w:type="dxa"/>
              <w:bottom w:w="120" w:type="dxa"/>
              <w:right w:w="150" w:type="dxa"/>
            </w:tcMar>
          </w:tcPr>
          <w:p w14:paraId="5ED37884" w14:textId="77777777" w:rsidR="00B46891" w:rsidRDefault="00000000">
            <w:pPr>
              <w:spacing w:after="120"/>
            </w:pPr>
            <w:r>
              <w:rPr>
                <w:rFonts w:ascii="Arial" w:hAnsi="Arial"/>
                <w:b/>
                <w:color w:val="FFFFFF"/>
              </w:rPr>
              <w:t>Source / Tier</w:t>
            </w:r>
          </w:p>
        </w:tc>
        <w:tc>
          <w:tcPr>
            <w:tcW w:w="2160" w:type="dxa"/>
            <w:shd w:val="clear" w:color="auto" w:fill="1F4E79"/>
            <w:tcMar>
              <w:top w:w="120" w:type="dxa"/>
              <w:left w:w="150" w:type="dxa"/>
              <w:bottom w:w="120" w:type="dxa"/>
              <w:right w:w="150" w:type="dxa"/>
            </w:tcMar>
          </w:tcPr>
          <w:p w14:paraId="71C3391D" w14:textId="77777777" w:rsidR="00B46891" w:rsidRDefault="00000000">
            <w:pPr>
              <w:spacing w:after="120"/>
            </w:pPr>
            <w:r>
              <w:rPr>
                <w:rFonts w:ascii="Arial" w:hAnsi="Arial"/>
                <w:b/>
                <w:color w:val="FFFFFF"/>
              </w:rPr>
              <w:t>Target Layer</w:t>
            </w:r>
          </w:p>
        </w:tc>
        <w:tc>
          <w:tcPr>
            <w:tcW w:w="2160" w:type="dxa"/>
            <w:shd w:val="clear" w:color="auto" w:fill="1F4E79"/>
            <w:tcMar>
              <w:top w:w="120" w:type="dxa"/>
              <w:left w:w="150" w:type="dxa"/>
              <w:bottom w:w="120" w:type="dxa"/>
              <w:right w:w="150" w:type="dxa"/>
            </w:tcMar>
          </w:tcPr>
          <w:p w14:paraId="69731394" w14:textId="77777777" w:rsidR="00B46891" w:rsidRDefault="00000000">
            <w:pPr>
              <w:spacing w:after="120"/>
            </w:pPr>
            <w:r>
              <w:rPr>
                <w:rFonts w:ascii="Arial" w:hAnsi="Arial"/>
                <w:b/>
                <w:color w:val="FFFFFF"/>
              </w:rPr>
              <w:t>Protocol Type</w:t>
            </w:r>
          </w:p>
        </w:tc>
        <w:tc>
          <w:tcPr>
            <w:tcW w:w="2880" w:type="dxa"/>
            <w:shd w:val="clear" w:color="auto" w:fill="1F4E79"/>
            <w:tcMar>
              <w:top w:w="120" w:type="dxa"/>
              <w:left w:w="150" w:type="dxa"/>
              <w:bottom w:w="120" w:type="dxa"/>
              <w:right w:w="150" w:type="dxa"/>
            </w:tcMar>
          </w:tcPr>
          <w:p w14:paraId="7EC31351" w14:textId="77777777" w:rsidR="00B46891" w:rsidRDefault="00000000">
            <w:pPr>
              <w:spacing w:after="120"/>
            </w:pPr>
            <w:r>
              <w:rPr>
                <w:rFonts w:ascii="Arial" w:hAnsi="Arial"/>
                <w:b/>
                <w:color w:val="FFFFFF"/>
              </w:rPr>
              <w:t>Target Boundary / Metric</w:t>
            </w:r>
          </w:p>
        </w:tc>
      </w:tr>
      <w:tr w:rsidR="00B46891" w14:paraId="7EF91110" w14:textId="77777777">
        <w:trPr>
          <w:jc w:val="center"/>
        </w:trPr>
        <w:tc>
          <w:tcPr>
            <w:tcW w:w="2160" w:type="dxa"/>
            <w:shd w:val="clear" w:color="auto" w:fill="FFFFFF"/>
            <w:tcMar>
              <w:top w:w="100" w:type="dxa"/>
              <w:left w:w="150" w:type="dxa"/>
              <w:bottom w:w="100" w:type="dxa"/>
              <w:right w:w="150" w:type="dxa"/>
            </w:tcMar>
          </w:tcPr>
          <w:p w14:paraId="667601FF" w14:textId="77777777" w:rsidR="00B46891" w:rsidRDefault="00000000">
            <w:pPr>
              <w:spacing w:after="0"/>
            </w:pPr>
            <w:r>
              <w:rPr>
                <w:rFonts w:ascii="Arial" w:hAnsi="Arial"/>
                <w:color w:val="333333"/>
                <w:sz w:val="20"/>
              </w:rPr>
              <w:lastRenderedPageBreak/>
              <w:t>FastAPI Web Router</w:t>
            </w:r>
          </w:p>
        </w:tc>
        <w:tc>
          <w:tcPr>
            <w:tcW w:w="2160" w:type="dxa"/>
            <w:shd w:val="clear" w:color="auto" w:fill="FFFFFF"/>
            <w:tcMar>
              <w:top w:w="100" w:type="dxa"/>
              <w:left w:w="150" w:type="dxa"/>
              <w:bottom w:w="100" w:type="dxa"/>
              <w:right w:w="150" w:type="dxa"/>
            </w:tcMar>
          </w:tcPr>
          <w:p w14:paraId="58377FFB" w14:textId="77777777" w:rsidR="00B46891" w:rsidRDefault="00000000">
            <w:pPr>
              <w:spacing w:after="0"/>
            </w:pPr>
            <w:r>
              <w:rPr>
                <w:rFonts w:ascii="Arial" w:hAnsi="Arial"/>
                <w:color w:val="333333"/>
                <w:sz w:val="20"/>
              </w:rPr>
              <w:t>Client Browser UI</w:t>
            </w:r>
          </w:p>
        </w:tc>
        <w:tc>
          <w:tcPr>
            <w:tcW w:w="2160" w:type="dxa"/>
            <w:shd w:val="clear" w:color="auto" w:fill="FFFFFF"/>
            <w:tcMar>
              <w:top w:w="100" w:type="dxa"/>
              <w:left w:w="150" w:type="dxa"/>
              <w:bottom w:w="100" w:type="dxa"/>
              <w:right w:w="150" w:type="dxa"/>
            </w:tcMar>
          </w:tcPr>
          <w:p w14:paraId="6435B30C" w14:textId="77777777" w:rsidR="00B46891" w:rsidRDefault="00000000">
            <w:pPr>
              <w:spacing w:after="0"/>
            </w:pPr>
            <w:r>
              <w:rPr>
                <w:rFonts w:ascii="Arial" w:hAnsi="Arial"/>
                <w:color w:val="333333"/>
                <w:sz w:val="20"/>
              </w:rPr>
              <w:t>Async HTML / Server Jinja</w:t>
            </w:r>
          </w:p>
        </w:tc>
        <w:tc>
          <w:tcPr>
            <w:tcW w:w="2880" w:type="dxa"/>
            <w:shd w:val="clear" w:color="auto" w:fill="FFFFFF"/>
            <w:tcMar>
              <w:top w:w="100" w:type="dxa"/>
              <w:left w:w="150" w:type="dxa"/>
              <w:bottom w:w="100" w:type="dxa"/>
              <w:right w:w="150" w:type="dxa"/>
            </w:tcMar>
          </w:tcPr>
          <w:p w14:paraId="7B22BEA7" w14:textId="77777777" w:rsidR="00B46891" w:rsidRDefault="00000000">
            <w:pPr>
              <w:spacing w:after="0"/>
            </w:pPr>
            <w:r>
              <w:rPr>
                <w:rFonts w:ascii="Arial" w:hAnsi="Arial"/>
                <w:color w:val="333333"/>
                <w:sz w:val="20"/>
              </w:rPr>
              <w:t>Response Delivery &lt; 200ms</w:t>
            </w:r>
          </w:p>
        </w:tc>
      </w:tr>
      <w:tr w:rsidR="00B46891" w14:paraId="0E442D88" w14:textId="77777777">
        <w:trPr>
          <w:jc w:val="center"/>
        </w:trPr>
        <w:tc>
          <w:tcPr>
            <w:tcW w:w="2160" w:type="dxa"/>
            <w:shd w:val="clear" w:color="auto" w:fill="F9FAFB"/>
            <w:tcMar>
              <w:top w:w="100" w:type="dxa"/>
              <w:left w:w="150" w:type="dxa"/>
              <w:bottom w:w="100" w:type="dxa"/>
              <w:right w:w="150" w:type="dxa"/>
            </w:tcMar>
          </w:tcPr>
          <w:p w14:paraId="34109184" w14:textId="77777777" w:rsidR="00B46891" w:rsidRDefault="00000000">
            <w:pPr>
              <w:spacing w:after="0"/>
            </w:pPr>
            <w:r>
              <w:rPr>
                <w:rFonts w:ascii="Arial" w:hAnsi="Arial"/>
                <w:color w:val="333333"/>
                <w:sz w:val="20"/>
              </w:rPr>
              <w:t>Profile Orchestrator</w:t>
            </w:r>
          </w:p>
        </w:tc>
        <w:tc>
          <w:tcPr>
            <w:tcW w:w="2160" w:type="dxa"/>
            <w:shd w:val="clear" w:color="auto" w:fill="F9FAFB"/>
            <w:tcMar>
              <w:top w:w="100" w:type="dxa"/>
              <w:left w:w="150" w:type="dxa"/>
              <w:bottom w:w="100" w:type="dxa"/>
              <w:right w:w="150" w:type="dxa"/>
            </w:tcMar>
          </w:tcPr>
          <w:p w14:paraId="7AAB54C8" w14:textId="77777777" w:rsidR="00B46891" w:rsidRDefault="00000000">
            <w:pPr>
              <w:spacing w:after="0"/>
            </w:pPr>
            <w:r>
              <w:rPr>
                <w:rFonts w:ascii="Arial" w:hAnsi="Arial"/>
                <w:color w:val="333333"/>
                <w:sz w:val="20"/>
              </w:rPr>
              <w:t>Gemini 1.5 Pro Engine</w:t>
            </w:r>
          </w:p>
        </w:tc>
        <w:tc>
          <w:tcPr>
            <w:tcW w:w="2160" w:type="dxa"/>
            <w:shd w:val="clear" w:color="auto" w:fill="F9FAFB"/>
            <w:tcMar>
              <w:top w:w="100" w:type="dxa"/>
              <w:left w:w="150" w:type="dxa"/>
              <w:bottom w:w="100" w:type="dxa"/>
              <w:right w:w="150" w:type="dxa"/>
            </w:tcMar>
          </w:tcPr>
          <w:p w14:paraId="19E08913" w14:textId="77777777" w:rsidR="00B46891" w:rsidRDefault="00000000">
            <w:pPr>
              <w:spacing w:after="0"/>
            </w:pPr>
            <w:r>
              <w:rPr>
                <w:rFonts w:ascii="Arial" w:hAnsi="Arial"/>
                <w:color w:val="333333"/>
                <w:sz w:val="20"/>
              </w:rPr>
              <w:t>JSON REST / HTTPS</w:t>
            </w:r>
          </w:p>
        </w:tc>
        <w:tc>
          <w:tcPr>
            <w:tcW w:w="2880" w:type="dxa"/>
            <w:shd w:val="clear" w:color="auto" w:fill="F9FAFB"/>
            <w:tcMar>
              <w:top w:w="100" w:type="dxa"/>
              <w:left w:w="150" w:type="dxa"/>
              <w:bottom w:w="100" w:type="dxa"/>
              <w:right w:w="150" w:type="dxa"/>
            </w:tcMar>
          </w:tcPr>
          <w:p w14:paraId="55F760AA" w14:textId="77777777" w:rsidR="00B46891" w:rsidRDefault="00000000">
            <w:pPr>
              <w:spacing w:after="0"/>
            </w:pPr>
            <w:r>
              <w:rPr>
                <w:rFonts w:ascii="Arial" w:hAnsi="Arial"/>
                <w:color w:val="333333"/>
                <w:sz w:val="20"/>
              </w:rPr>
              <w:t>Complex Structuring &lt; 3500ms</w:t>
            </w:r>
          </w:p>
        </w:tc>
      </w:tr>
      <w:tr w:rsidR="00B46891" w14:paraId="2B09CA1A" w14:textId="77777777">
        <w:trPr>
          <w:jc w:val="center"/>
        </w:trPr>
        <w:tc>
          <w:tcPr>
            <w:tcW w:w="2160" w:type="dxa"/>
            <w:shd w:val="clear" w:color="auto" w:fill="FFFFFF"/>
            <w:tcMar>
              <w:top w:w="100" w:type="dxa"/>
              <w:left w:w="150" w:type="dxa"/>
              <w:bottom w:w="100" w:type="dxa"/>
              <w:right w:w="150" w:type="dxa"/>
            </w:tcMar>
          </w:tcPr>
          <w:p w14:paraId="689370BA" w14:textId="77777777" w:rsidR="00B46891" w:rsidRDefault="00000000">
            <w:pPr>
              <w:spacing w:after="0"/>
            </w:pPr>
            <w:r>
              <w:rPr>
                <w:rFonts w:ascii="Arial" w:hAnsi="Arial"/>
                <w:color w:val="333333"/>
                <w:sz w:val="20"/>
              </w:rPr>
              <w:t>Real-Time Adaptation</w:t>
            </w:r>
          </w:p>
        </w:tc>
        <w:tc>
          <w:tcPr>
            <w:tcW w:w="2160" w:type="dxa"/>
            <w:shd w:val="clear" w:color="auto" w:fill="FFFFFF"/>
            <w:tcMar>
              <w:top w:w="100" w:type="dxa"/>
              <w:left w:w="150" w:type="dxa"/>
              <w:bottom w:w="100" w:type="dxa"/>
              <w:right w:w="150" w:type="dxa"/>
            </w:tcMar>
          </w:tcPr>
          <w:p w14:paraId="7B5883DB" w14:textId="77777777" w:rsidR="00B46891" w:rsidRDefault="00000000">
            <w:pPr>
              <w:spacing w:after="0"/>
            </w:pPr>
            <w:r>
              <w:rPr>
                <w:rFonts w:ascii="Arial" w:hAnsi="Arial"/>
                <w:color w:val="333333"/>
                <w:sz w:val="20"/>
              </w:rPr>
              <w:t>Gemini 1.5 Flash Pipeline</w:t>
            </w:r>
          </w:p>
        </w:tc>
        <w:tc>
          <w:tcPr>
            <w:tcW w:w="2160" w:type="dxa"/>
            <w:shd w:val="clear" w:color="auto" w:fill="FFFFFF"/>
            <w:tcMar>
              <w:top w:w="100" w:type="dxa"/>
              <w:left w:w="150" w:type="dxa"/>
              <w:bottom w:w="100" w:type="dxa"/>
              <w:right w:w="150" w:type="dxa"/>
            </w:tcMar>
          </w:tcPr>
          <w:p w14:paraId="0DC7652B" w14:textId="77777777" w:rsidR="00B46891" w:rsidRDefault="00000000">
            <w:pPr>
              <w:spacing w:after="0"/>
            </w:pPr>
            <w:r>
              <w:rPr>
                <w:rFonts w:ascii="Arial" w:hAnsi="Arial"/>
                <w:color w:val="333333"/>
                <w:sz w:val="20"/>
              </w:rPr>
              <w:t>JSON REST / HTTPS</w:t>
            </w:r>
          </w:p>
        </w:tc>
        <w:tc>
          <w:tcPr>
            <w:tcW w:w="2880" w:type="dxa"/>
            <w:shd w:val="clear" w:color="auto" w:fill="FFFFFF"/>
            <w:tcMar>
              <w:top w:w="100" w:type="dxa"/>
              <w:left w:w="150" w:type="dxa"/>
              <w:bottom w:w="100" w:type="dxa"/>
              <w:right w:w="150" w:type="dxa"/>
            </w:tcMar>
          </w:tcPr>
          <w:p w14:paraId="3580D8CC" w14:textId="77777777" w:rsidR="00B46891" w:rsidRDefault="00000000">
            <w:pPr>
              <w:spacing w:after="0"/>
            </w:pPr>
            <w:r>
              <w:rPr>
                <w:rFonts w:ascii="Arial" w:hAnsi="Arial"/>
                <w:color w:val="333333"/>
                <w:sz w:val="20"/>
              </w:rPr>
              <w:t>Rapid Adjustment Pipeline &lt; 1200ms</w:t>
            </w:r>
          </w:p>
        </w:tc>
      </w:tr>
    </w:tbl>
    <w:p w14:paraId="319AFF91" w14:textId="77777777" w:rsidR="00B46891" w:rsidRDefault="00B46891"/>
    <w:p w14:paraId="224B3964" w14:textId="77777777" w:rsidR="00B46891" w:rsidRDefault="00000000">
      <w:pPr>
        <w:spacing w:after="240"/>
      </w:pPr>
      <w:r>
        <w:rPr>
          <w:rFonts w:ascii="Arial" w:hAnsi="Arial"/>
          <w:b/>
          <w:color w:val="1F4E79"/>
          <w:sz w:val="36"/>
        </w:rPr>
        <w:t>3. Core Interaction Flow Pipelines</w:t>
      </w:r>
    </w:p>
    <w:p w14:paraId="3AE57164" w14:textId="77777777" w:rsidR="00B46891" w:rsidRDefault="00000000">
      <w:pPr>
        <w:spacing w:after="160"/>
      </w:pPr>
      <w:r>
        <w:rPr>
          <w:rFonts w:ascii="Arial" w:hAnsi="Arial"/>
          <w:b/>
          <w:color w:val="5B9BD5"/>
          <w:sz w:val="28"/>
        </w:rPr>
        <w:t>3.1 Initial Assessment Pipeline (Long-Form Gemini 1.5 Pro Mapping)</w:t>
      </w:r>
    </w:p>
    <w:p w14:paraId="0F3BEEC9" w14:textId="77777777" w:rsidR="00B46891" w:rsidRDefault="00000000">
      <w:pPr>
        <w:spacing w:after="120"/>
      </w:pPr>
      <w:r>
        <w:rPr>
          <w:rFonts w:ascii="Arial" w:hAnsi="Arial"/>
          <w:color w:val="333333"/>
        </w:rPr>
        <w:t>The initial assessment phase invokes heavy operational flows. The User Profile Setup UI transfers complex biometric details like height, weight, activity levels, and fitness goals down to the FastAPI Controller. This input is then structured into strict system validation schemas using Pydantic parameters before executing deep contextual calls against the Gemini 1.5 Pro engine.</w:t>
      </w:r>
    </w:p>
    <w:p w14:paraId="09444640" w14:textId="77777777" w:rsidR="00B46891" w:rsidRDefault="00000000">
      <w:pPr>
        <w:pStyle w:val="ListBullet"/>
        <w:spacing w:after="80"/>
      </w:pPr>
      <w:r>
        <w:rPr>
          <w:rFonts w:ascii="Arial" w:hAnsi="Arial"/>
          <w:color w:val="333333"/>
        </w:rPr>
        <w:t>Biometric data compilation and schema verification on input boundaries.</w:t>
      </w:r>
    </w:p>
    <w:p w14:paraId="1B47C5B1" w14:textId="77777777" w:rsidR="00B46891" w:rsidRDefault="00000000">
      <w:pPr>
        <w:pStyle w:val="ListBullet"/>
        <w:spacing w:after="80"/>
      </w:pPr>
      <w:r>
        <w:rPr>
          <w:rFonts w:ascii="Arial" w:hAnsi="Arial"/>
          <w:color w:val="333333"/>
        </w:rPr>
        <w:t>Deep reasoning prompts executed via secure, authenticated upstream connection threads.</w:t>
      </w:r>
    </w:p>
    <w:p w14:paraId="2B77D2DF" w14:textId="77777777" w:rsidR="00B46891" w:rsidRDefault="00000000">
      <w:pPr>
        <w:pStyle w:val="ListBullet"/>
        <w:spacing w:after="240"/>
      </w:pPr>
      <w:r>
        <w:rPr>
          <w:rFonts w:ascii="Arial" w:hAnsi="Arial"/>
          <w:color w:val="333333"/>
        </w:rPr>
        <w:t>Relational data extraction and structure preservation mapping into SQLite fields.</w:t>
      </w:r>
    </w:p>
    <w:p w14:paraId="2EE17800" w14:textId="77777777" w:rsidR="00B46891" w:rsidRDefault="00000000">
      <w:pPr>
        <w:spacing w:after="160"/>
      </w:pPr>
      <w:r>
        <w:rPr>
          <w:rFonts w:ascii="Arial" w:hAnsi="Arial"/>
          <w:b/>
          <w:color w:val="5B9BD5"/>
          <w:sz w:val="28"/>
        </w:rPr>
        <w:t>3.2 Dynamic Plan Modification Pipeline (Rapid Gemini 1.5 Flash Adaptation)</w:t>
      </w:r>
    </w:p>
    <w:p w14:paraId="1AC55A50" w14:textId="77777777" w:rsidR="00B46891" w:rsidRDefault="00000000">
      <w:pPr>
        <w:spacing w:after="120"/>
      </w:pPr>
      <w:r>
        <w:rPr>
          <w:rFonts w:ascii="Arial" w:hAnsi="Arial"/>
          <w:color w:val="333333"/>
        </w:rPr>
        <w:t>When active plans encounter runtime challenges (such as sudden injuries or unpredicted traveling constraints), the system runs its rapid adaptation communication channel. This channel leverages the Gemini 1.5 Flash layer to map real-time updates and apply sub-second fitness plan shifts without breaking historical constraints.</w:t>
      </w:r>
    </w:p>
    <w:p w14:paraId="20267F63" w14:textId="77777777" w:rsidR="00B46891" w:rsidRDefault="00000000">
      <w:pPr>
        <w:pStyle w:val="ListBullet"/>
        <w:spacing w:after="80"/>
      </w:pPr>
      <w:r>
        <w:rPr>
          <w:rFonts w:ascii="Arial" w:hAnsi="Arial"/>
          <w:color w:val="333333"/>
        </w:rPr>
        <w:t>Rapid user modification query intercepted by the local application web server.</w:t>
      </w:r>
    </w:p>
    <w:p w14:paraId="7FF1C803" w14:textId="77777777" w:rsidR="00B46891" w:rsidRDefault="00000000">
      <w:pPr>
        <w:pStyle w:val="ListBullet"/>
        <w:spacing w:after="80"/>
      </w:pPr>
      <w:r>
        <w:rPr>
          <w:rFonts w:ascii="Arial" w:hAnsi="Arial"/>
          <w:color w:val="333333"/>
        </w:rPr>
        <w:t>Context injection loading historical profile data fields simultaneously into the pipeline request.</w:t>
      </w:r>
    </w:p>
    <w:p w14:paraId="79930D21" w14:textId="77777777" w:rsidR="00B46891" w:rsidRDefault="00000000">
      <w:pPr>
        <w:pStyle w:val="ListBullet"/>
        <w:spacing w:after="240"/>
      </w:pPr>
      <w:r>
        <w:rPr>
          <w:rFonts w:ascii="Arial" w:hAnsi="Arial"/>
          <w:color w:val="333333"/>
        </w:rPr>
        <w:t>Instant low-latency model evaluation providing structured patch updates to active users.</w:t>
      </w:r>
    </w:p>
    <w:p w14:paraId="196B9683" w14:textId="77777777" w:rsidR="00B46891" w:rsidRDefault="00000000">
      <w:pPr>
        <w:spacing w:after="0"/>
      </w:pPr>
      <w:r>
        <w:rPr>
          <w:rFonts w:ascii="Arial" w:hAnsi="Arial"/>
          <w:i/>
          <w:color w:val="7F8C8D"/>
          <w:sz w:val="17"/>
        </w:rPr>
        <w:t>This is for informational purposes only. For medical advice or diagnosis, consult a professional. AI responses may include mistakes.</w:t>
      </w:r>
    </w:p>
    <w:sectPr w:rsidR="00B4689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5370304">
    <w:abstractNumId w:val="8"/>
  </w:num>
  <w:num w:numId="2" w16cid:durableId="832258853">
    <w:abstractNumId w:val="6"/>
  </w:num>
  <w:num w:numId="3" w16cid:durableId="697388778">
    <w:abstractNumId w:val="5"/>
  </w:num>
  <w:num w:numId="4" w16cid:durableId="1632248844">
    <w:abstractNumId w:val="4"/>
  </w:num>
  <w:num w:numId="5" w16cid:durableId="1115320723">
    <w:abstractNumId w:val="7"/>
  </w:num>
  <w:num w:numId="6" w16cid:durableId="1677918468">
    <w:abstractNumId w:val="3"/>
  </w:num>
  <w:num w:numId="7" w16cid:durableId="1866598207">
    <w:abstractNumId w:val="2"/>
  </w:num>
  <w:num w:numId="8" w16cid:durableId="1073350774">
    <w:abstractNumId w:val="1"/>
  </w:num>
  <w:num w:numId="9" w16cid:durableId="1534146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7386"/>
    <w:rsid w:val="00AA1D8D"/>
    <w:rsid w:val="00B46891"/>
    <w:rsid w:val="00B47730"/>
    <w:rsid w:val="00CB0664"/>
    <w:rsid w:val="00CB0C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EAA84F"/>
  <w14:defaultImageDpi w14:val="300"/>
  <w15:docId w15:val="{29C5C5DC-299F-4C68-B7ED-D5A6964B9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devananth</cp:lastModifiedBy>
  <cp:revision>2</cp:revision>
  <dcterms:created xsi:type="dcterms:W3CDTF">2013-12-23T23:15:00Z</dcterms:created>
  <dcterms:modified xsi:type="dcterms:W3CDTF">2026-09-30T10:16:00Z</dcterms:modified>
  <cp:category/>
</cp:coreProperties>
</file>