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571B9" w14:textId="77777777" w:rsidR="003172E6" w:rsidRPr="00714E0C" w:rsidRDefault="00000000" w:rsidP="007458E5">
      <w:pPr>
        <w:spacing w:after="120" w:line="240" w:lineRule="auto"/>
        <w:ind w:left="567"/>
        <w:jc w:val="center"/>
        <w:rPr>
          <w:rFonts w:cs="Times New Roman"/>
          <w:sz w:val="28"/>
          <w:szCs w:val="28"/>
        </w:rPr>
      </w:pPr>
      <w:r w:rsidRPr="00714E0C">
        <w:rPr>
          <w:rFonts w:cs="Times New Roman"/>
          <w:b/>
          <w:color w:val="102A43"/>
          <w:sz w:val="28"/>
          <w:szCs w:val="28"/>
        </w:rPr>
        <w:t>NutriPlan: Implementation, Performance Analysis, and Architectural Framework for an Intelligent Recipe Planning, Calorie Analytics, and Automated Grocery Logistics System</w:t>
      </w:r>
    </w:p>
    <w:p w14:paraId="328410BF" w14:textId="77777777" w:rsidR="00714E0C" w:rsidRPr="00714E0C" w:rsidRDefault="00000000" w:rsidP="007458E5">
      <w:pPr>
        <w:spacing w:after="40" w:line="240" w:lineRule="auto"/>
        <w:ind w:left="567"/>
        <w:jc w:val="center"/>
        <w:rPr>
          <w:rFonts w:cs="Times New Roman"/>
          <w:b/>
          <w:szCs w:val="20"/>
        </w:rPr>
      </w:pPr>
      <w:r w:rsidRPr="00714E0C">
        <w:rPr>
          <w:rFonts w:cs="Times New Roman"/>
          <w:b/>
          <w:szCs w:val="20"/>
        </w:rPr>
        <w:t>S. Navadee</w:t>
      </w:r>
      <w:r w:rsidR="00714E0C" w:rsidRPr="00714E0C">
        <w:rPr>
          <w:rFonts w:cs="Times New Roman"/>
          <w:b/>
          <w:szCs w:val="20"/>
        </w:rPr>
        <w:t>p</w:t>
      </w:r>
    </w:p>
    <w:p w14:paraId="73298312" w14:textId="77777777" w:rsidR="00714E0C" w:rsidRDefault="00000000" w:rsidP="007458E5">
      <w:pPr>
        <w:spacing w:after="40" w:line="240" w:lineRule="auto"/>
        <w:ind w:left="567"/>
        <w:jc w:val="center"/>
        <w:rPr>
          <w:rFonts w:cs="Times New Roman"/>
          <w:b/>
          <w:color w:val="102A43"/>
          <w:szCs w:val="20"/>
        </w:rPr>
      </w:pPr>
      <w:r w:rsidRPr="00714E0C">
        <w:rPr>
          <w:rFonts w:cs="Times New Roman"/>
          <w:b/>
          <w:color w:val="102A43"/>
          <w:szCs w:val="20"/>
        </w:rPr>
        <w:t>Department of Computer Science and Engineering</w:t>
      </w:r>
      <w:r w:rsidRPr="00714E0C">
        <w:rPr>
          <w:rFonts w:cs="Times New Roman"/>
          <w:b/>
          <w:color w:val="102A43"/>
          <w:szCs w:val="20"/>
        </w:rPr>
        <w:br/>
        <w:t>NutriPlan System Core, Antigravity AI Systems</w:t>
      </w:r>
    </w:p>
    <w:p w14:paraId="0D277A6C" w14:textId="45E16697" w:rsidR="00714E0C" w:rsidRPr="00714E0C" w:rsidRDefault="00714E0C" w:rsidP="007458E5">
      <w:pPr>
        <w:spacing w:after="40" w:line="240" w:lineRule="auto"/>
        <w:ind w:left="567"/>
        <w:rPr>
          <w:rFonts w:cs="Times New Roman"/>
          <w:sz w:val="24"/>
          <w:szCs w:val="24"/>
        </w:rPr>
      </w:pPr>
      <w:r w:rsidRPr="00714E0C">
        <w:rPr>
          <w:rFonts w:cs="Times New Roman"/>
          <w:b/>
          <w:color w:val="102A43"/>
          <w:sz w:val="24"/>
          <w:szCs w:val="24"/>
        </w:rPr>
        <w:t>Abstract:</w:t>
      </w:r>
    </w:p>
    <w:p w14:paraId="111ADE0A" w14:textId="7384596A" w:rsidR="00714E0C" w:rsidRPr="00714E0C" w:rsidRDefault="00714E0C" w:rsidP="007458E5">
      <w:pPr>
        <w:spacing w:after="80" w:line="240" w:lineRule="auto"/>
        <w:ind w:left="567"/>
        <w:jc w:val="both"/>
        <w:rPr>
          <w:rFonts w:cs="Times New Roman"/>
          <w:szCs w:val="20"/>
        </w:rPr>
      </w:pPr>
      <w:r w:rsidRPr="00714E0C">
        <w:rPr>
          <w:rFonts w:cs="Times New Roman"/>
          <w:b/>
          <w:color w:val="0B69A3"/>
          <w:szCs w:val="20"/>
        </w:rPr>
        <w:t xml:space="preserve"> </w:t>
      </w:r>
      <w:r w:rsidRPr="00714E0C">
        <w:rPr>
          <w:rFonts w:cs="Times New Roman"/>
          <w:szCs w:val="20"/>
        </w:rPr>
        <w:t>Dietary management, nutritional optimization, and structured meal planning represent foundational pillars of preventive healthcare and metabolic wellness. However, contemporary nutrition platforms frequently suffer from data silos, restrictive access paradigms, manual data entry friction, and a lack of integrated logistics between meal planning and grocery procurement. This paper explores the design, architectural implementation, and empirical performance analysis of NutriPlan, a full-stack, enterprise-grade recipe planning, nutritional analytics, and automated grocery logistics system. NutriPlan utilizes a decoupled client-server architecture combining an Angular 20 Single-Page Application (SPA) frontend with a Python (Flask / SQLAlchemy) REST micro-core and an embedded relational SQLite database. We present the mathematical formulations governing its real-time nutrition calculus—incorporating Atwater general factor energy partitioning and dynamic portion scaling—alongside a heuristic Natural Language Processing (NLP) ingredient tokenizer. Furthermore, we evaluate system performance across query latencies, token authentication overhead, and multi-user universal data visibility under role-based access control (RBAC). Experimental results demonstrate sub-15ms API response latencies for complex nutrient aggregations, 98.5% precision in heuristic ingredient line parsing, and strict transaction isolation during multi-user concurrent meal scheduling. The paper concludes with real-world applications in clinical dietetics and smart pantry logistics, and outlines future research trajectories including computer vision food classification and Edge-AI integration.</w:t>
      </w:r>
    </w:p>
    <w:p w14:paraId="18EBA0F0" w14:textId="77777777" w:rsidR="00714E0C" w:rsidRPr="00714E0C" w:rsidRDefault="00714E0C" w:rsidP="007458E5">
      <w:pPr>
        <w:spacing w:line="240" w:lineRule="auto"/>
        <w:ind w:left="567"/>
        <w:rPr>
          <w:rFonts w:cs="Times New Roman"/>
          <w:szCs w:val="20"/>
        </w:rPr>
      </w:pPr>
      <w:r w:rsidRPr="00714E0C">
        <w:rPr>
          <w:rFonts w:cs="Times New Roman"/>
          <w:b/>
          <w:color w:val="0B69A3"/>
          <w:szCs w:val="20"/>
        </w:rPr>
        <w:t xml:space="preserve">Keywords— </w:t>
      </w:r>
      <w:r w:rsidRPr="00714E0C">
        <w:rPr>
          <w:rFonts w:cs="Times New Roman"/>
          <w:i/>
          <w:szCs w:val="20"/>
        </w:rPr>
        <w:t>Nutritional Informatics, Meal Planning, Calorie Analysis, Angular 20, Flask REST API, Natural Language Processing, Atwater System, Role-Based Access Control, SQLite Database.</w:t>
      </w:r>
    </w:p>
    <w:p w14:paraId="7D91FD83" w14:textId="4F6CB86A" w:rsidR="003172E6" w:rsidRPr="00714E0C" w:rsidRDefault="00000000" w:rsidP="007458E5">
      <w:pPr>
        <w:spacing w:after="40" w:line="240" w:lineRule="auto"/>
        <w:ind w:left="567"/>
        <w:rPr>
          <w:rFonts w:cs="Times New Roman"/>
          <w:b/>
          <w:color w:val="102A43"/>
          <w:sz w:val="24"/>
          <w:szCs w:val="24"/>
        </w:rPr>
      </w:pPr>
      <w:r w:rsidRPr="00714E0C">
        <w:rPr>
          <w:rFonts w:cs="Times New Roman"/>
          <w:b/>
          <w:color w:val="102A43"/>
          <w:sz w:val="24"/>
          <w:szCs w:val="24"/>
        </w:rPr>
        <w:t>1. Introduction</w:t>
      </w:r>
    </w:p>
    <w:p w14:paraId="64B787DE" w14:textId="77777777" w:rsidR="003172E6" w:rsidRPr="00714E0C" w:rsidRDefault="00000000" w:rsidP="007458E5">
      <w:pPr>
        <w:spacing w:after="120" w:line="240" w:lineRule="auto"/>
        <w:ind w:left="567"/>
        <w:jc w:val="both"/>
        <w:rPr>
          <w:rFonts w:cs="Times New Roman"/>
          <w:szCs w:val="20"/>
        </w:rPr>
      </w:pPr>
      <w:r w:rsidRPr="00714E0C">
        <w:rPr>
          <w:rFonts w:cs="Times New Roman"/>
          <w:szCs w:val="20"/>
        </w:rPr>
        <w:t xml:space="preserve">Human health and metabolic longevity are fundamentally governed by daily dietary intake and macronutrient distribution. Over the past decade, computerized nutritional informatics has evolved from static spreadsheets and manual caloric logbooks to dynamic, real-time web applications capable of tracking macronutrients (proteins, carbohydrates, fats) and micronutrients (fiber, sugar, sodium). Despite these advancements, significant engineering challenges remain in delivering low-latency portion scaling, natural language recipe parsing, and seamless synchronization </w:t>
      </w:r>
      <w:r w:rsidRPr="00714E0C">
        <w:rPr>
          <w:rFonts w:cs="Times New Roman"/>
          <w:szCs w:val="20"/>
        </w:rPr>
        <w:t>between scheduled meal plans and retail grocery procurement.</w:t>
      </w:r>
    </w:p>
    <w:p w14:paraId="6FE44476" w14:textId="77777777" w:rsidR="003172E6" w:rsidRPr="00714E0C" w:rsidRDefault="00000000" w:rsidP="007458E5">
      <w:pPr>
        <w:spacing w:after="40" w:line="240" w:lineRule="auto"/>
        <w:ind w:left="567"/>
        <w:rPr>
          <w:rFonts w:cs="Times New Roman"/>
          <w:b/>
          <w:color w:val="102A43"/>
          <w:sz w:val="22"/>
        </w:rPr>
      </w:pPr>
      <w:r w:rsidRPr="00714E0C">
        <w:rPr>
          <w:rFonts w:cs="Times New Roman"/>
          <w:b/>
          <w:color w:val="102A43"/>
          <w:sz w:val="22"/>
        </w:rPr>
        <w:t>1.1 Background and Importance</w:t>
      </w:r>
    </w:p>
    <w:p w14:paraId="23234387" w14:textId="77777777" w:rsidR="003172E6" w:rsidRPr="00714E0C" w:rsidRDefault="00000000" w:rsidP="007458E5">
      <w:pPr>
        <w:spacing w:after="120" w:line="240" w:lineRule="auto"/>
        <w:ind w:left="567"/>
        <w:jc w:val="both"/>
        <w:rPr>
          <w:rFonts w:cs="Times New Roman"/>
          <w:szCs w:val="20"/>
        </w:rPr>
      </w:pPr>
      <w:r w:rsidRPr="00714E0C">
        <w:rPr>
          <w:rFonts w:cs="Times New Roman"/>
          <w:szCs w:val="20"/>
        </w:rPr>
        <w:t>Precise nutritional tracking requires accurate data modeling and robust computational pipelines. When individuals or institutions design weekly menus, small rounding errors in ingredient density or non-linear portion adjustments compound across multi-day schedules, leading to substantial deviations in energy balance. Furthermore, the absence of automated supply aggregation forces users into tedious manual shopping list creation, leading to high abandonment rates in dietary adherence.</w:t>
      </w:r>
    </w:p>
    <w:p w14:paraId="1AE251CF" w14:textId="77777777" w:rsidR="003172E6" w:rsidRPr="00714E0C" w:rsidRDefault="00000000" w:rsidP="007458E5">
      <w:pPr>
        <w:spacing w:after="40" w:line="240" w:lineRule="auto"/>
        <w:ind w:left="567"/>
        <w:rPr>
          <w:rFonts w:cs="Times New Roman"/>
          <w:b/>
          <w:color w:val="102A43"/>
          <w:sz w:val="22"/>
        </w:rPr>
      </w:pPr>
      <w:r w:rsidRPr="00714E0C">
        <w:rPr>
          <w:rFonts w:cs="Times New Roman"/>
          <w:b/>
          <w:color w:val="102A43"/>
          <w:sz w:val="22"/>
        </w:rPr>
        <w:t>1.2 Evolution of Dietary Tracking Techniques</w:t>
      </w:r>
    </w:p>
    <w:p w14:paraId="77693BC7" w14:textId="71FF6D16" w:rsidR="003172E6" w:rsidRPr="00714E0C" w:rsidRDefault="00000000" w:rsidP="007458E5">
      <w:pPr>
        <w:spacing w:after="120" w:line="240" w:lineRule="auto"/>
        <w:ind w:left="567"/>
        <w:jc w:val="both"/>
        <w:rPr>
          <w:rFonts w:cs="Times New Roman"/>
          <w:szCs w:val="20"/>
        </w:rPr>
      </w:pPr>
      <w:r w:rsidRPr="00714E0C">
        <w:rPr>
          <w:rFonts w:cs="Times New Roman"/>
          <w:szCs w:val="20"/>
        </w:rPr>
        <w:t>Historically, dietary software operated in three distinct developmental</w:t>
      </w:r>
      <w:r w:rsidR="00315C45">
        <w:rPr>
          <w:rFonts w:cs="Times New Roman"/>
          <w:szCs w:val="20"/>
        </w:rPr>
        <w:t xml:space="preserve"> </w:t>
      </w:r>
      <w:r w:rsidRPr="00714E0C">
        <w:rPr>
          <w:rFonts w:cs="Times New Roman"/>
          <w:szCs w:val="20"/>
        </w:rPr>
        <w:t>phases:</w:t>
      </w:r>
      <w:r w:rsidRPr="00714E0C">
        <w:rPr>
          <w:rFonts w:cs="Times New Roman"/>
          <w:szCs w:val="20"/>
        </w:rPr>
        <w:br/>
        <w:t>1. First-Generation Systems (1990s–2000s): Desktop database applications reliant on manual gram inputs and static</w:t>
      </w:r>
      <w:r w:rsidR="00B31D7C">
        <w:rPr>
          <w:rFonts w:cs="Times New Roman"/>
          <w:szCs w:val="20"/>
        </w:rPr>
        <w:t xml:space="preserve"> </w:t>
      </w:r>
      <w:r w:rsidRPr="00714E0C">
        <w:rPr>
          <w:rFonts w:cs="Times New Roman"/>
          <w:szCs w:val="20"/>
        </w:rPr>
        <w:t>text lookups.</w:t>
      </w:r>
      <w:r w:rsidRPr="00714E0C">
        <w:rPr>
          <w:rFonts w:cs="Times New Roman"/>
          <w:szCs w:val="20"/>
        </w:rPr>
        <w:br/>
        <w:t>2. Second-Generation Systems (2010s): Cloud-hosted monolithic platforms with proprietary crowd-sourced databases, often plagued by duplicated records, unverified nutrient values, and high network latency.</w:t>
      </w:r>
      <w:r w:rsidRPr="00714E0C">
        <w:rPr>
          <w:rFonts w:cs="Times New Roman"/>
          <w:szCs w:val="20"/>
        </w:rPr>
        <w:br/>
        <w:t>3. Third-Generation Modern Systems (2020s–Present): Decoupled, reactive single-page applications combining verified reference data (e.g., USDA FoodData Central), heuristic natural language tokenizers, client-side reactive state management, and strict access governance.</w:t>
      </w:r>
    </w:p>
    <w:p w14:paraId="1B27295F" w14:textId="77777777" w:rsidR="003172E6" w:rsidRPr="00714E0C" w:rsidRDefault="00000000" w:rsidP="007458E5">
      <w:pPr>
        <w:keepNext/>
        <w:spacing w:before="200" w:after="60" w:line="240" w:lineRule="auto"/>
        <w:ind w:left="567"/>
        <w:rPr>
          <w:rFonts w:cs="Times New Roman"/>
          <w:szCs w:val="20"/>
        </w:rPr>
      </w:pPr>
      <w:r w:rsidRPr="00714E0C">
        <w:rPr>
          <w:rFonts w:cs="Times New Roman"/>
          <w:b/>
          <w:color w:val="102A43"/>
          <w:sz w:val="22"/>
        </w:rPr>
        <w:t>1.3 Objective and Scope</w:t>
      </w:r>
    </w:p>
    <w:p w14:paraId="5A72B946" w14:textId="3CF5123E" w:rsidR="00714E0C" w:rsidRPr="007458E5" w:rsidRDefault="00000000" w:rsidP="007458E5">
      <w:pPr>
        <w:spacing w:after="120" w:line="240" w:lineRule="auto"/>
        <w:ind w:left="567"/>
        <w:jc w:val="both"/>
        <w:rPr>
          <w:rFonts w:cs="Times New Roman"/>
          <w:szCs w:val="20"/>
        </w:rPr>
      </w:pPr>
      <w:r w:rsidRPr="00714E0C">
        <w:rPr>
          <w:rFonts w:cs="Times New Roman"/>
          <w:szCs w:val="20"/>
        </w:rPr>
        <w:t>The primary objective of this research is to present the end-to-end design, implementation, and empirical evaluation of NutriPlan. Specifically, this paper aims to:</w:t>
      </w:r>
      <w:r w:rsidRPr="00714E0C">
        <w:rPr>
          <w:rFonts w:cs="Times New Roman"/>
          <w:szCs w:val="20"/>
        </w:rPr>
        <w:br/>
        <w:t>• Detail the decoupled architectural blueprint combining Angular 20 Signals and Flask REST endpoints.</w:t>
      </w:r>
      <w:r w:rsidRPr="00714E0C">
        <w:rPr>
          <w:rFonts w:cs="Times New Roman"/>
          <w:szCs w:val="20"/>
        </w:rPr>
        <w:br/>
        <w:t>• Establish the formal mathematical foundations for nutrient aggregation, Atwater caloric partitioning, and dynamic portion scaling.</w:t>
      </w:r>
      <w:r w:rsidRPr="00714E0C">
        <w:rPr>
          <w:rFonts w:cs="Times New Roman"/>
          <w:szCs w:val="20"/>
        </w:rPr>
        <w:br/>
        <w:t>• Detail the heuristic tokenization and regular expression parser for unstructured ingredient strings.</w:t>
      </w:r>
      <w:r w:rsidRPr="00714E0C">
        <w:rPr>
          <w:rFonts w:cs="Times New Roman"/>
          <w:szCs w:val="20"/>
        </w:rPr>
        <w:br/>
        <w:t>• Benchmark system performance in terms of API response latencies, memory footprint, and database concurrency.</w:t>
      </w:r>
      <w:r w:rsidRPr="00714E0C">
        <w:rPr>
          <w:rFonts w:cs="Times New Roman"/>
          <w:szCs w:val="20"/>
        </w:rPr>
        <w:br/>
        <w:t>• Address multi-tenant access control and universal data visibility across diverse user classes.</w:t>
      </w:r>
    </w:p>
    <w:p w14:paraId="47346BAA" w14:textId="0F5F6A03" w:rsidR="003172E6" w:rsidRPr="00714E0C" w:rsidRDefault="00000000" w:rsidP="007458E5">
      <w:pPr>
        <w:spacing w:after="40" w:line="240" w:lineRule="auto"/>
        <w:ind w:left="567"/>
        <w:rPr>
          <w:rFonts w:cs="Times New Roman"/>
          <w:b/>
          <w:color w:val="102A43"/>
          <w:sz w:val="24"/>
          <w:szCs w:val="24"/>
        </w:rPr>
      </w:pPr>
      <w:r w:rsidRPr="00714E0C">
        <w:rPr>
          <w:rFonts w:cs="Times New Roman"/>
          <w:b/>
          <w:color w:val="102A43"/>
          <w:sz w:val="24"/>
          <w:szCs w:val="24"/>
        </w:rPr>
        <w:t>2. Literature Review</w:t>
      </w:r>
    </w:p>
    <w:p w14:paraId="411343AE" w14:textId="77777777" w:rsidR="003172E6" w:rsidRPr="00714E0C" w:rsidRDefault="00000000" w:rsidP="007458E5">
      <w:pPr>
        <w:keepNext/>
        <w:spacing w:before="200" w:after="60" w:line="240" w:lineRule="auto"/>
        <w:ind w:left="567"/>
        <w:rPr>
          <w:rFonts w:cs="Times New Roman"/>
          <w:b/>
          <w:color w:val="102A43"/>
          <w:sz w:val="22"/>
        </w:rPr>
      </w:pPr>
      <w:r w:rsidRPr="00714E0C">
        <w:rPr>
          <w:rFonts w:cs="Times New Roman"/>
          <w:b/>
          <w:color w:val="102A43"/>
          <w:sz w:val="22"/>
        </w:rPr>
        <w:t>2.1 Traditional Nutrition &amp; Calorie Tracking Techniques</w:t>
      </w:r>
    </w:p>
    <w:p w14:paraId="1B184BC5" w14:textId="77777777" w:rsidR="003172E6" w:rsidRPr="00714E0C" w:rsidRDefault="00000000" w:rsidP="007458E5">
      <w:pPr>
        <w:spacing w:after="120" w:line="240" w:lineRule="auto"/>
        <w:ind w:left="567"/>
        <w:jc w:val="both"/>
        <w:rPr>
          <w:rFonts w:cs="Times New Roman"/>
          <w:szCs w:val="20"/>
        </w:rPr>
      </w:pPr>
      <w:r w:rsidRPr="00714E0C">
        <w:rPr>
          <w:rFonts w:cs="Times New Roman"/>
          <w:szCs w:val="20"/>
        </w:rPr>
        <w:t>Early computational attempts at nutritional tracking in the 1990s focused on rudimentary caloric table lookups. While computationally lightweight, these methods lacked dynamic unit conversions and failed to account for regional ingredient variations, moisture loss during cooking, or complex composite recipes.</w:t>
      </w:r>
    </w:p>
    <w:p w14:paraId="0E1F8B14" w14:textId="77777777" w:rsidR="003172E6" w:rsidRPr="00714E0C" w:rsidRDefault="00000000" w:rsidP="007458E5">
      <w:pPr>
        <w:keepNext/>
        <w:spacing w:before="200" w:after="60" w:line="240" w:lineRule="auto"/>
        <w:ind w:left="567"/>
        <w:rPr>
          <w:rFonts w:cs="Times New Roman"/>
          <w:b/>
          <w:color w:val="102A43"/>
          <w:sz w:val="22"/>
        </w:rPr>
      </w:pPr>
      <w:r w:rsidRPr="00714E0C">
        <w:rPr>
          <w:rFonts w:cs="Times New Roman"/>
          <w:b/>
          <w:color w:val="102A43"/>
          <w:sz w:val="22"/>
        </w:rPr>
        <w:t>2.2 Architectural Framework: Monolithic vs. Decoupled Systems</w:t>
      </w:r>
    </w:p>
    <w:p w14:paraId="6B272ED1" w14:textId="77777777" w:rsidR="003172E6" w:rsidRPr="00714E0C" w:rsidRDefault="00000000" w:rsidP="007458E5">
      <w:pPr>
        <w:spacing w:after="120" w:line="240" w:lineRule="auto"/>
        <w:ind w:left="567"/>
        <w:jc w:val="both"/>
        <w:rPr>
          <w:rFonts w:cs="Times New Roman"/>
          <w:szCs w:val="20"/>
        </w:rPr>
      </w:pPr>
      <w:r w:rsidRPr="00714E0C">
        <w:rPr>
          <w:rFonts w:cs="Times New Roman"/>
          <w:szCs w:val="20"/>
        </w:rPr>
        <w:t xml:space="preserve">Traditional wellness applications were constructed as monolithic server-rendered web applications (e.g., </w:t>
      </w:r>
      <w:r w:rsidRPr="00714E0C">
        <w:rPr>
          <w:rFonts w:cs="Times New Roman"/>
          <w:szCs w:val="20"/>
        </w:rPr>
        <w:lastRenderedPageBreak/>
        <w:t>Django, Ruby on Rails). While architecturally straightforward, monolithic systems couple presentation state with backend request cycles, resulting in full-page reloads and increased latency during repetitive tasks such as portion adjustments and calendar meal slotting. Modern architectural patterns favor decoupled Single-Page Applications (SPAs) communicating via stateless RESTful APIs over JSON/HTTPS. This approach isolates computational workload, permits client-side optimistic UI updates via reactive signals, and enables cross-platform client reusability.</w:t>
      </w:r>
    </w:p>
    <w:p w14:paraId="593BFCBD" w14:textId="77777777" w:rsidR="003172E6" w:rsidRPr="00714E0C" w:rsidRDefault="00000000" w:rsidP="007458E5">
      <w:pPr>
        <w:keepNext/>
        <w:spacing w:before="200" w:after="60" w:line="240" w:lineRule="auto"/>
        <w:ind w:left="567"/>
        <w:rPr>
          <w:rFonts w:cs="Times New Roman"/>
          <w:b/>
          <w:color w:val="102A43"/>
          <w:sz w:val="22"/>
        </w:rPr>
      </w:pPr>
      <w:r w:rsidRPr="00714E0C">
        <w:rPr>
          <w:rFonts w:cs="Times New Roman"/>
          <w:b/>
          <w:color w:val="102A43"/>
          <w:sz w:val="22"/>
        </w:rPr>
        <w:t>2.3 Deep Learning &amp; Algorithmic Approaches in Recipe Processing</w:t>
      </w:r>
    </w:p>
    <w:p w14:paraId="6D5BBF64" w14:textId="77777777" w:rsidR="003172E6" w:rsidRPr="00714E0C" w:rsidRDefault="00000000" w:rsidP="007458E5">
      <w:pPr>
        <w:spacing w:after="120" w:line="240" w:lineRule="auto"/>
        <w:ind w:left="567"/>
        <w:jc w:val="both"/>
        <w:rPr>
          <w:rFonts w:cs="Times New Roman"/>
          <w:szCs w:val="20"/>
        </w:rPr>
      </w:pPr>
      <w:r w:rsidRPr="00714E0C">
        <w:rPr>
          <w:rFonts w:cs="Times New Roman"/>
          <w:szCs w:val="20"/>
        </w:rPr>
        <w:t>Parsing human-written culinary recipes presents notable natural language processing challenges due to non-standard measurement units, vulgar fractions, informal annotations (e.g., 'to taste', 'finely chopped'), and localized culinary taxonomy. Prior literature explores either heavy transformer models (e.g., BERT-based tokenizers) or deterministic finite-state automata (DFA). While deep neural networks achieve high semantic recognition, their computational overhead (often &gt;200ms inference time and GPU dependencies) makes them unsuitable for local or resource-constrained deployments. Rule-based heuristic tokenizers augmented with alias search tables provide sub-millisecond execution speeds with comparable precision on domain-specific corpora.</w:t>
      </w:r>
    </w:p>
    <w:p w14:paraId="73CA4C45" w14:textId="77777777" w:rsidR="003172E6" w:rsidRPr="00714E0C" w:rsidRDefault="00000000" w:rsidP="007458E5">
      <w:pPr>
        <w:keepNext/>
        <w:spacing w:before="200" w:after="60" w:line="240" w:lineRule="auto"/>
        <w:ind w:left="567"/>
        <w:rPr>
          <w:rFonts w:cs="Times New Roman"/>
          <w:b/>
          <w:color w:val="102A43"/>
          <w:sz w:val="22"/>
        </w:rPr>
      </w:pPr>
      <w:r w:rsidRPr="00714E0C">
        <w:rPr>
          <w:rFonts w:cs="Times New Roman"/>
          <w:b/>
          <w:color w:val="102A43"/>
          <w:sz w:val="22"/>
        </w:rPr>
        <w:t>2.4 Universal Data Visibility in Multi-Tenant Environments</w:t>
      </w:r>
    </w:p>
    <w:p w14:paraId="32DCF777" w14:textId="77777777" w:rsidR="003172E6" w:rsidRPr="00714E0C" w:rsidRDefault="00000000" w:rsidP="007458E5">
      <w:pPr>
        <w:spacing w:after="120" w:line="240" w:lineRule="auto"/>
        <w:ind w:left="567"/>
        <w:jc w:val="both"/>
        <w:rPr>
          <w:rFonts w:cs="Times New Roman"/>
          <w:szCs w:val="20"/>
        </w:rPr>
      </w:pPr>
      <w:r w:rsidRPr="00714E0C">
        <w:rPr>
          <w:rFonts w:cs="Times New Roman"/>
          <w:szCs w:val="20"/>
        </w:rPr>
        <w:t>In multi-user database architectures, systems commonly employ strict data isolation where each user query is restricted to records where user_id = current_user_id. However, in educational and culinary planning environments, a dual-layer access model is essential: a shared, immutable Global Reference Library accessible to all authenticated users, coupled with a private Custom Entity Store for user-specific innovations. NutriPlan solves this via a Copy-On-Write (COW) relational lifecycle, ensuring shared starter libraries remain universally readable while allowing non-destructive personal customization.</w:t>
      </w:r>
    </w:p>
    <w:p w14:paraId="620E6892" w14:textId="77777777" w:rsidR="003172E6" w:rsidRPr="00714E0C" w:rsidRDefault="00000000" w:rsidP="007458E5">
      <w:pPr>
        <w:spacing w:after="40" w:line="240" w:lineRule="auto"/>
        <w:ind w:left="567"/>
        <w:rPr>
          <w:rFonts w:cs="Times New Roman"/>
          <w:b/>
          <w:color w:val="102A43"/>
          <w:sz w:val="24"/>
          <w:szCs w:val="24"/>
        </w:rPr>
      </w:pPr>
      <w:r w:rsidRPr="00714E0C">
        <w:rPr>
          <w:rFonts w:cs="Times New Roman"/>
          <w:b/>
          <w:color w:val="102A43"/>
          <w:sz w:val="24"/>
          <w:szCs w:val="24"/>
        </w:rPr>
        <w:t>3. Methodology</w:t>
      </w:r>
    </w:p>
    <w:p w14:paraId="01FADD43" w14:textId="39102F58" w:rsidR="007458E5" w:rsidRPr="007458E5" w:rsidRDefault="00000000" w:rsidP="007458E5">
      <w:pPr>
        <w:spacing w:after="120" w:line="240" w:lineRule="auto"/>
        <w:ind w:left="567"/>
        <w:jc w:val="both"/>
        <w:rPr>
          <w:rFonts w:cs="Times New Roman"/>
          <w:szCs w:val="20"/>
        </w:rPr>
      </w:pPr>
      <w:r w:rsidRPr="00714E0C">
        <w:rPr>
          <w:rFonts w:cs="Times New Roman"/>
          <w:szCs w:val="20"/>
        </w:rPr>
        <w:t>This section outlines the system pipeline, mathematical foundations of nutritional calculations, heuristic ingredient parsing rules, and relational entity management implemented in NutriPlan.</w:t>
      </w:r>
    </w:p>
    <w:p w14:paraId="5762D931" w14:textId="6262C3B5" w:rsidR="003172E6" w:rsidRPr="00714E0C" w:rsidRDefault="00000000" w:rsidP="007458E5">
      <w:pPr>
        <w:keepNext/>
        <w:spacing w:before="200" w:after="60" w:line="240" w:lineRule="auto"/>
        <w:ind w:left="567"/>
        <w:rPr>
          <w:rFonts w:cs="Times New Roman"/>
          <w:b/>
          <w:color w:val="102A43"/>
          <w:sz w:val="22"/>
        </w:rPr>
      </w:pPr>
      <w:r w:rsidRPr="00714E0C">
        <w:rPr>
          <w:rFonts w:cs="Times New Roman"/>
          <w:b/>
          <w:color w:val="102A43"/>
          <w:sz w:val="22"/>
        </w:rPr>
        <w:t>3.1 System Architecture Pipeline</w:t>
      </w:r>
    </w:p>
    <w:p w14:paraId="063319E6" w14:textId="77777777" w:rsidR="003172E6" w:rsidRPr="00714E0C" w:rsidRDefault="00000000" w:rsidP="007458E5">
      <w:pPr>
        <w:spacing w:after="120" w:line="240" w:lineRule="auto"/>
        <w:ind w:left="567"/>
        <w:jc w:val="both"/>
        <w:rPr>
          <w:rFonts w:cs="Times New Roman"/>
          <w:szCs w:val="20"/>
        </w:rPr>
      </w:pPr>
      <w:r w:rsidRPr="00714E0C">
        <w:rPr>
          <w:rFonts w:cs="Times New Roman"/>
          <w:szCs w:val="20"/>
        </w:rPr>
        <w:t>A standard NutriPlan workflow operates across six sequential pipeline stages:</w:t>
      </w:r>
      <w:r w:rsidRPr="00714E0C">
        <w:rPr>
          <w:rFonts w:cs="Times New Roman"/>
          <w:szCs w:val="20"/>
        </w:rPr>
        <w:br/>
        <w:t>1. Input Ingestion: Capturing raw user text or visual recipe parameters.</w:t>
      </w:r>
      <w:r w:rsidRPr="00714E0C">
        <w:rPr>
          <w:rFonts w:cs="Times New Roman"/>
          <w:szCs w:val="20"/>
        </w:rPr>
        <w:br/>
        <w:t>2. Lexical Tokenization: Decomposing quantities, fractions, units, and food labels.</w:t>
      </w:r>
      <w:r w:rsidRPr="00714E0C">
        <w:rPr>
          <w:rFonts w:cs="Times New Roman"/>
          <w:szCs w:val="20"/>
        </w:rPr>
        <w:br/>
        <w:t>3. Entity Resolution: Querying the 213-food reference database using prioritized alias matching.</w:t>
      </w:r>
      <w:r w:rsidRPr="00714E0C">
        <w:rPr>
          <w:rFonts w:cs="Times New Roman"/>
          <w:szCs w:val="20"/>
        </w:rPr>
        <w:br/>
        <w:t>4. Nutrient Calculus Execution: Calculating absolute gram weights and applying 100g density factors.</w:t>
      </w:r>
      <w:r w:rsidRPr="00714E0C">
        <w:rPr>
          <w:rFonts w:cs="Times New Roman"/>
          <w:szCs w:val="20"/>
        </w:rPr>
        <w:br/>
        <w:t xml:space="preserve">5. Portion Scaling &amp; Goal Validation: Real-time portion </w:t>
      </w:r>
      <w:r w:rsidRPr="00714E0C">
        <w:rPr>
          <w:rFonts w:cs="Times New Roman"/>
          <w:szCs w:val="20"/>
        </w:rPr>
        <w:t>multiplier adjustment against active targets.</w:t>
      </w:r>
      <w:r w:rsidRPr="00714E0C">
        <w:rPr>
          <w:rFonts w:cs="Times New Roman"/>
          <w:szCs w:val="20"/>
        </w:rPr>
        <w:br/>
        <w:t>6. Logistical Aggregation: Translating weekly planned meals into an aisle-grouped grocery checklist.</w:t>
      </w:r>
    </w:p>
    <w:p w14:paraId="71755203" w14:textId="77777777" w:rsidR="003172E6" w:rsidRPr="00714E0C" w:rsidRDefault="00000000" w:rsidP="007458E5">
      <w:pPr>
        <w:keepNext/>
        <w:spacing w:before="200" w:after="60" w:line="240" w:lineRule="auto"/>
        <w:ind w:left="567" w:right="-423"/>
        <w:rPr>
          <w:rFonts w:cs="Times New Roman"/>
          <w:b/>
          <w:color w:val="102A43"/>
          <w:sz w:val="22"/>
        </w:rPr>
      </w:pPr>
      <w:r w:rsidRPr="00714E0C">
        <w:rPr>
          <w:rFonts w:cs="Times New Roman"/>
          <w:b/>
          <w:color w:val="102A43"/>
          <w:sz w:val="22"/>
        </w:rPr>
        <w:t>3.2 Mathematical Foundations of Nutrition Calculus</w:t>
      </w:r>
    </w:p>
    <w:p w14:paraId="3CD8258A" w14:textId="77777777" w:rsidR="003172E6" w:rsidRPr="00714E0C" w:rsidRDefault="00000000" w:rsidP="007458E5">
      <w:pPr>
        <w:keepNext/>
        <w:spacing w:before="120" w:after="40" w:line="240" w:lineRule="auto"/>
        <w:ind w:left="567"/>
        <w:rPr>
          <w:rFonts w:cs="Times New Roman"/>
          <w:b/>
          <w:color w:val="102A43"/>
          <w:sz w:val="22"/>
        </w:rPr>
      </w:pPr>
      <w:r w:rsidRPr="00714E0C">
        <w:rPr>
          <w:rFonts w:cs="Times New Roman"/>
          <w:b/>
          <w:color w:val="102A43"/>
          <w:sz w:val="22"/>
        </w:rPr>
        <w:t>3.2.1 Unit to Gram Conversion Matrix</w:t>
      </w:r>
    </w:p>
    <w:p w14:paraId="4B250110" w14:textId="77777777" w:rsidR="003172E6" w:rsidRPr="00714E0C" w:rsidRDefault="00000000" w:rsidP="007458E5">
      <w:pPr>
        <w:spacing w:after="120" w:line="240" w:lineRule="auto"/>
        <w:ind w:left="567"/>
        <w:jc w:val="both"/>
        <w:rPr>
          <w:rFonts w:cs="Times New Roman"/>
          <w:szCs w:val="20"/>
        </w:rPr>
      </w:pPr>
      <w:r w:rsidRPr="00714E0C">
        <w:rPr>
          <w:rFonts w:cs="Times New Roman"/>
          <w:szCs w:val="20"/>
        </w:rPr>
        <w:t>Let Q denote the numeric quantity and U the unit symbol. The mass in grams M(Q, U, F) for a given food item F is defined as: M(Q, U, F) = Q × γ(U, F), where γ(U, F) represents the unit weight factor (e.g., 1.0 for g/ml, 1000.0 for kg/L, 28.35 for oz, 453.59 for lb, 0.36 for pinch, or custom unit mappings such as cup or piece).</w:t>
      </w:r>
    </w:p>
    <w:p w14:paraId="65A6AC29" w14:textId="77777777" w:rsidR="003172E6" w:rsidRPr="00714E0C" w:rsidRDefault="00000000" w:rsidP="007458E5">
      <w:pPr>
        <w:keepNext/>
        <w:spacing w:before="120" w:after="40" w:line="240" w:lineRule="auto"/>
        <w:ind w:left="567"/>
        <w:rPr>
          <w:rFonts w:cs="Times New Roman"/>
          <w:b/>
          <w:color w:val="102A43"/>
          <w:sz w:val="22"/>
        </w:rPr>
      </w:pPr>
      <w:r w:rsidRPr="00714E0C">
        <w:rPr>
          <w:rFonts w:cs="Times New Roman"/>
          <w:b/>
          <w:color w:val="102A43"/>
          <w:sz w:val="22"/>
        </w:rPr>
        <w:t>3.2.2 Total Recipe Nutrient Summation</w:t>
      </w:r>
    </w:p>
    <w:p w14:paraId="46278992" w14:textId="77777777" w:rsidR="003172E6" w:rsidRPr="00714E0C" w:rsidRDefault="00000000" w:rsidP="007458E5">
      <w:pPr>
        <w:spacing w:after="120" w:line="240" w:lineRule="auto"/>
        <w:ind w:left="567"/>
        <w:jc w:val="both"/>
        <w:rPr>
          <w:rFonts w:cs="Times New Roman"/>
          <w:szCs w:val="20"/>
        </w:rPr>
      </w:pPr>
      <w:r w:rsidRPr="00714E0C">
        <w:rPr>
          <w:rFonts w:cs="Times New Roman"/>
          <w:szCs w:val="20"/>
        </w:rPr>
        <w:t>For a recipe R composed of k ingredient tuples (Q_i, U_i, F_i), the total quantity of any nutrient metric X in {kcal, protein, carbs, fat, fiber, sugar, sodium} is calculated by:</w:t>
      </w:r>
      <w:r w:rsidRPr="00714E0C">
        <w:rPr>
          <w:rFonts w:cs="Times New Roman"/>
          <w:szCs w:val="20"/>
        </w:rPr>
        <w:br/>
        <w:t>X_total(R) = Σ [ ( M(Q_i, U_i, F_i) / 100.0 ) × X_100g(F_i) ]</w:t>
      </w:r>
    </w:p>
    <w:p w14:paraId="75D5765C" w14:textId="77777777" w:rsidR="003172E6" w:rsidRPr="00714E0C" w:rsidRDefault="00000000" w:rsidP="007458E5">
      <w:pPr>
        <w:keepNext/>
        <w:spacing w:before="120" w:after="40" w:line="240" w:lineRule="auto"/>
        <w:ind w:left="567"/>
        <w:rPr>
          <w:rFonts w:cs="Times New Roman"/>
          <w:szCs w:val="20"/>
        </w:rPr>
      </w:pPr>
      <w:r w:rsidRPr="00714E0C">
        <w:rPr>
          <w:rFonts w:cs="Times New Roman"/>
          <w:b/>
          <w:color w:val="102A43"/>
          <w:sz w:val="22"/>
        </w:rPr>
        <w:t>3.2.3 Per-Serving Scaling</w:t>
      </w:r>
    </w:p>
    <w:p w14:paraId="192A9CD6" w14:textId="77777777" w:rsidR="003172E6" w:rsidRPr="00714E0C" w:rsidRDefault="00000000" w:rsidP="007458E5">
      <w:pPr>
        <w:spacing w:after="120" w:line="240" w:lineRule="auto"/>
        <w:ind w:left="567"/>
        <w:jc w:val="both"/>
        <w:rPr>
          <w:rFonts w:cs="Times New Roman"/>
          <w:szCs w:val="20"/>
        </w:rPr>
      </w:pPr>
      <w:r w:rsidRPr="00714E0C">
        <w:rPr>
          <w:rFonts w:cs="Times New Roman"/>
          <w:szCs w:val="20"/>
        </w:rPr>
        <w:t>For a recipe with base serving count S_base, the per-serving nutrient yield X_serving(R) is given by: X_serving(R) = X_total(R) / S_base.</w:t>
      </w:r>
    </w:p>
    <w:p w14:paraId="12CF897F" w14:textId="77777777" w:rsidR="003172E6" w:rsidRPr="00714E0C" w:rsidRDefault="00000000" w:rsidP="007458E5">
      <w:pPr>
        <w:keepNext/>
        <w:spacing w:before="120" w:after="40" w:line="240" w:lineRule="auto"/>
        <w:ind w:left="567"/>
        <w:rPr>
          <w:rFonts w:cs="Times New Roman"/>
          <w:szCs w:val="20"/>
        </w:rPr>
      </w:pPr>
      <w:r w:rsidRPr="00714E0C">
        <w:rPr>
          <w:rFonts w:cs="Times New Roman"/>
          <w:b/>
          <w:color w:val="102A43"/>
          <w:sz w:val="22"/>
        </w:rPr>
        <w:t>3.2.4 Atwater Energy Factor Partitioning</w:t>
      </w:r>
    </w:p>
    <w:p w14:paraId="3EDA991D" w14:textId="77777777" w:rsidR="003172E6" w:rsidRPr="00714E0C" w:rsidRDefault="00000000" w:rsidP="007458E5">
      <w:pPr>
        <w:spacing w:after="120" w:line="240" w:lineRule="auto"/>
        <w:ind w:left="567"/>
        <w:jc w:val="both"/>
        <w:rPr>
          <w:rFonts w:cs="Times New Roman"/>
          <w:szCs w:val="20"/>
        </w:rPr>
      </w:pPr>
      <w:r w:rsidRPr="00714E0C">
        <w:rPr>
          <w:rFonts w:cs="Times New Roman"/>
          <w:szCs w:val="20"/>
        </w:rPr>
        <w:t>Energy contribution percentages for Protein (P), Carbohydrates (C), and Fat (F) are derived using standardized Atwater general factors (4 kcal/g for Protein and Carbohydrate, 9 kcal/g for Fat):</w:t>
      </w:r>
      <w:r w:rsidRPr="00714E0C">
        <w:rPr>
          <w:rFonts w:cs="Times New Roman"/>
          <w:szCs w:val="20"/>
        </w:rPr>
        <w:br/>
        <w:t>E_total = (4 × P) + (4 × C) + (9 × F)</w:t>
      </w:r>
      <w:r w:rsidRPr="00714E0C">
        <w:rPr>
          <w:rFonts w:cs="Times New Roman"/>
          <w:szCs w:val="20"/>
        </w:rPr>
        <w:br/>
        <w:t>P_% = (4 × P / E_total) × 100</w:t>
      </w:r>
      <w:r w:rsidRPr="00714E0C">
        <w:rPr>
          <w:rFonts w:cs="Times New Roman"/>
          <w:szCs w:val="20"/>
        </w:rPr>
        <w:br/>
        <w:t>C_% = (4 × C / E_total) × 100</w:t>
      </w:r>
      <w:r w:rsidRPr="00714E0C">
        <w:rPr>
          <w:rFonts w:cs="Times New Roman"/>
          <w:szCs w:val="20"/>
        </w:rPr>
        <w:br/>
        <w:t>F_% = (9 × F / E_total) × 100</w:t>
      </w:r>
    </w:p>
    <w:p w14:paraId="6330CE6A" w14:textId="77777777" w:rsidR="003172E6" w:rsidRPr="00714E0C" w:rsidRDefault="00000000" w:rsidP="007458E5">
      <w:pPr>
        <w:keepNext/>
        <w:spacing w:before="120" w:after="40" w:line="240" w:lineRule="auto"/>
        <w:ind w:left="567" w:right="-423"/>
        <w:rPr>
          <w:rFonts w:cs="Times New Roman"/>
          <w:b/>
          <w:color w:val="102A43"/>
          <w:sz w:val="22"/>
        </w:rPr>
      </w:pPr>
      <w:r w:rsidRPr="00714E0C">
        <w:rPr>
          <w:rFonts w:cs="Times New Roman"/>
          <w:b/>
          <w:color w:val="102A43"/>
          <w:sz w:val="22"/>
        </w:rPr>
        <w:t>3.3 Heuristic Natural Language Ingredient Tokenizer</w:t>
      </w:r>
    </w:p>
    <w:p w14:paraId="626BB363" w14:textId="77777777" w:rsidR="003172E6" w:rsidRPr="00714E0C" w:rsidRDefault="00000000" w:rsidP="007458E5">
      <w:pPr>
        <w:spacing w:after="120" w:line="240" w:lineRule="auto"/>
        <w:ind w:left="567"/>
        <w:jc w:val="both"/>
        <w:rPr>
          <w:rFonts w:cs="Times New Roman"/>
          <w:szCs w:val="20"/>
        </w:rPr>
      </w:pPr>
      <w:r w:rsidRPr="00714E0C">
        <w:rPr>
          <w:rFonts w:cs="Times New Roman"/>
          <w:szCs w:val="20"/>
        </w:rPr>
        <w:t>The parsing subsystem utilizes a three-phase deterministic regular expression pipeline:</w:t>
      </w:r>
      <w:r w:rsidRPr="00714E0C">
        <w:rPr>
          <w:rFonts w:cs="Times New Roman"/>
          <w:szCs w:val="20"/>
        </w:rPr>
        <w:br/>
        <w:t>1. Fraction Normalization: Converts vulgar Unicode fractions (½ → 0.5, ¼ → 0.25, ¾ → 0.75, ⅓ → 0.333) and mixed fractional strings ('1 1/2' → 1.5).</w:t>
      </w:r>
      <w:r w:rsidRPr="00714E0C">
        <w:rPr>
          <w:rFonts w:cs="Times New Roman"/>
          <w:szCs w:val="20"/>
        </w:rPr>
        <w:br/>
        <w:t>2. Unit Isolation: Matches against a lexical boundary regex supporting international and regional units (g, kg, oz, lb, ml, l, cup, tbsp, tsp, pc, piece, clove, slice, plate, bowl, katori, pack, pinch).</w:t>
      </w:r>
      <w:r w:rsidRPr="00714E0C">
        <w:rPr>
          <w:rFonts w:cs="Times New Roman"/>
          <w:szCs w:val="20"/>
        </w:rPr>
        <w:br/>
        <w:t>3. Entity Matching &amp; Annotation Extraction: Strips secondary preparation clauses (enclosed in parentheses or following comma delimiters) and scores candidate foods from the reference catalog.</w:t>
      </w:r>
    </w:p>
    <w:p w14:paraId="4FD0ED71" w14:textId="0756EFA9" w:rsidR="007458E5" w:rsidRPr="007458E5" w:rsidRDefault="007458E5" w:rsidP="007458E5">
      <w:pPr>
        <w:spacing w:after="80" w:line="240" w:lineRule="auto"/>
        <w:ind w:left="567"/>
        <w:rPr>
          <w:rFonts w:cs="Times New Roman"/>
          <w:szCs w:val="20"/>
        </w:rPr>
      </w:pPr>
      <w:r w:rsidRPr="007458E5">
        <w:rPr>
          <w:rFonts w:cs="Times New Roman"/>
          <w:noProof/>
          <w:szCs w:val="20"/>
        </w:rPr>
        <w:drawing>
          <wp:inline distT="0" distB="0" distL="0" distR="0" wp14:anchorId="01E460A9" wp14:editId="6D8848C7">
            <wp:extent cx="2953843" cy="1473200"/>
            <wp:effectExtent l="0" t="0" r="0" b="0"/>
            <wp:docPr id="1199241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241246" name=""/>
                    <pic:cNvPicPr/>
                  </pic:nvPicPr>
                  <pic:blipFill>
                    <a:blip r:embed="rId6"/>
                    <a:stretch>
                      <a:fillRect/>
                    </a:stretch>
                  </pic:blipFill>
                  <pic:spPr>
                    <a:xfrm>
                      <a:off x="0" y="0"/>
                      <a:ext cx="2959541" cy="1476042"/>
                    </a:xfrm>
                    <a:prstGeom prst="rect">
                      <a:avLst/>
                    </a:prstGeom>
                  </pic:spPr>
                </pic:pic>
              </a:graphicData>
            </a:graphic>
          </wp:inline>
        </w:drawing>
      </w:r>
    </w:p>
    <w:p w14:paraId="7535ABD1" w14:textId="77777777" w:rsidR="007458E5" w:rsidRDefault="007458E5" w:rsidP="007458E5">
      <w:pPr>
        <w:spacing w:after="40" w:line="240" w:lineRule="auto"/>
        <w:ind w:left="567"/>
        <w:rPr>
          <w:rFonts w:cs="Times New Roman"/>
          <w:b/>
          <w:color w:val="102A43"/>
          <w:sz w:val="24"/>
          <w:szCs w:val="24"/>
        </w:rPr>
      </w:pPr>
    </w:p>
    <w:p w14:paraId="2ABAA39C" w14:textId="77777777" w:rsidR="00BB73E5" w:rsidRDefault="00BB73E5" w:rsidP="00BB73E5">
      <w:pPr>
        <w:spacing w:after="40" w:line="240" w:lineRule="auto"/>
        <w:rPr>
          <w:rFonts w:cs="Times New Roman"/>
          <w:b/>
          <w:color w:val="102A43"/>
          <w:sz w:val="24"/>
          <w:szCs w:val="24"/>
        </w:rPr>
      </w:pPr>
    </w:p>
    <w:p w14:paraId="7CBB9A28" w14:textId="59A6A2CB" w:rsidR="003172E6" w:rsidRPr="00714E0C" w:rsidRDefault="00BB73E5" w:rsidP="00BB73E5">
      <w:pPr>
        <w:spacing w:after="40" w:line="240" w:lineRule="auto"/>
        <w:rPr>
          <w:rFonts w:cs="Times New Roman"/>
          <w:b/>
          <w:color w:val="102A43"/>
          <w:sz w:val="24"/>
          <w:szCs w:val="24"/>
        </w:rPr>
      </w:pPr>
      <w:r>
        <w:rPr>
          <w:rFonts w:cs="Times New Roman"/>
          <w:b/>
          <w:color w:val="102A43"/>
          <w:sz w:val="24"/>
          <w:szCs w:val="24"/>
        </w:rPr>
        <w:lastRenderedPageBreak/>
        <w:t xml:space="preserve">         </w:t>
      </w:r>
      <w:r w:rsidRPr="00714E0C">
        <w:rPr>
          <w:rFonts w:cs="Times New Roman"/>
          <w:b/>
          <w:color w:val="102A43"/>
          <w:sz w:val="24"/>
          <w:szCs w:val="24"/>
        </w:rPr>
        <w:t>4. Implementation</w:t>
      </w:r>
    </w:p>
    <w:p w14:paraId="4415EF03" w14:textId="77777777" w:rsidR="003172E6" w:rsidRPr="007458E5" w:rsidRDefault="00000000" w:rsidP="007458E5">
      <w:pPr>
        <w:keepNext/>
        <w:spacing w:before="120" w:after="40" w:line="240" w:lineRule="auto"/>
        <w:ind w:left="567"/>
        <w:rPr>
          <w:rFonts w:cs="Times New Roman"/>
          <w:b/>
          <w:color w:val="102A43"/>
          <w:sz w:val="22"/>
        </w:rPr>
      </w:pPr>
      <w:r w:rsidRPr="007458E5">
        <w:rPr>
          <w:rFonts w:cs="Times New Roman"/>
          <w:b/>
          <w:color w:val="102A43"/>
          <w:sz w:val="22"/>
        </w:rPr>
        <w:t>4.1 Software and Hardware Configuration</w:t>
      </w:r>
    </w:p>
    <w:p w14:paraId="187F10F2" w14:textId="77777777" w:rsidR="003172E6" w:rsidRPr="00714E0C" w:rsidRDefault="00000000" w:rsidP="007458E5">
      <w:pPr>
        <w:spacing w:after="120" w:line="240" w:lineRule="auto"/>
        <w:ind w:left="567"/>
        <w:jc w:val="both"/>
        <w:rPr>
          <w:rFonts w:cs="Times New Roman"/>
          <w:szCs w:val="20"/>
        </w:rPr>
      </w:pPr>
      <w:r w:rsidRPr="00714E0C">
        <w:rPr>
          <w:rFonts w:cs="Times New Roman"/>
          <w:szCs w:val="20"/>
        </w:rPr>
        <w:t>• Frontend: Angular 20 SPA (TypeScript 5.4, Signals, Reactive Forms, CSS Grid).</w:t>
      </w:r>
      <w:r w:rsidRPr="00714E0C">
        <w:rPr>
          <w:rFonts w:cs="Times New Roman"/>
          <w:szCs w:val="20"/>
        </w:rPr>
        <w:br/>
        <w:t>• Backend: Python 3.11 with Flask 3.0.3, Flask-SQLAlchemy 3.1.1, Flask-CORS 4.0.1, PyJWT 2.8.0, Werkzeug.</w:t>
      </w:r>
      <w:r w:rsidRPr="00714E0C">
        <w:rPr>
          <w:rFonts w:cs="Times New Roman"/>
          <w:szCs w:val="20"/>
        </w:rPr>
        <w:br/>
        <w:t>• Relational Database: SQLite 3.42 with foreign key constraints and automatic schema migration.</w:t>
      </w:r>
      <w:r w:rsidRPr="00714E0C">
        <w:rPr>
          <w:rFonts w:cs="Times New Roman"/>
          <w:szCs w:val="20"/>
        </w:rPr>
        <w:br/>
        <w:t>• Server Deployment: Multi-platform execution via integrated WSGI / Gunicorn on Port 8000.</w:t>
      </w:r>
    </w:p>
    <w:p w14:paraId="5DB9D8FF" w14:textId="77777777" w:rsidR="003172E6" w:rsidRPr="007458E5" w:rsidRDefault="00000000" w:rsidP="007458E5">
      <w:pPr>
        <w:keepNext/>
        <w:spacing w:before="120" w:after="40" w:line="240" w:lineRule="auto"/>
        <w:ind w:left="567" w:right="-707"/>
        <w:rPr>
          <w:rFonts w:cs="Times New Roman"/>
          <w:b/>
          <w:color w:val="102A43"/>
          <w:sz w:val="22"/>
        </w:rPr>
      </w:pPr>
      <w:r w:rsidRPr="007458E5">
        <w:rPr>
          <w:rFonts w:cs="Times New Roman"/>
          <w:b/>
          <w:color w:val="102A43"/>
          <w:sz w:val="22"/>
        </w:rPr>
        <w:t>4.2 Database Schema Architecture &amp; Copy-On-Write Lifecycle</w:t>
      </w:r>
    </w:p>
    <w:p w14:paraId="3DC69A9C" w14:textId="77777777" w:rsidR="003172E6" w:rsidRPr="00714E0C" w:rsidRDefault="00000000" w:rsidP="007458E5">
      <w:pPr>
        <w:spacing w:after="120" w:line="240" w:lineRule="auto"/>
        <w:ind w:left="567"/>
        <w:jc w:val="both"/>
        <w:rPr>
          <w:rFonts w:cs="Times New Roman"/>
          <w:szCs w:val="20"/>
        </w:rPr>
      </w:pPr>
      <w:r w:rsidRPr="00714E0C">
        <w:rPr>
          <w:rFonts w:cs="Times New Roman"/>
          <w:szCs w:val="20"/>
        </w:rPr>
        <w:t>The database schema comprises 8 interconnected tables: users, goals, foods, recipes, ingredients, plan_entries, grocery_checks, and grocery_extras. Universal library visibility is maintained by setting user_id = NULL on global starter records. When a standard user modifies a global recipe, a Copy-On-Write transaction clones the recipe with user_id = current_user.id, ensuring the global catalog remains pristine while the user receives a personalized custom recipe.</w:t>
      </w:r>
    </w:p>
    <w:p w14:paraId="072622B3" w14:textId="77777777" w:rsidR="003172E6" w:rsidRPr="007458E5" w:rsidRDefault="00000000" w:rsidP="007458E5">
      <w:pPr>
        <w:spacing w:after="40" w:line="240" w:lineRule="auto"/>
        <w:ind w:left="567" w:right="-423"/>
        <w:rPr>
          <w:rFonts w:cs="Times New Roman"/>
          <w:b/>
          <w:color w:val="102A43"/>
          <w:sz w:val="24"/>
          <w:szCs w:val="24"/>
        </w:rPr>
      </w:pPr>
      <w:r w:rsidRPr="007458E5">
        <w:rPr>
          <w:rFonts w:cs="Times New Roman"/>
          <w:b/>
          <w:color w:val="102A43"/>
          <w:sz w:val="24"/>
          <w:szCs w:val="24"/>
        </w:rPr>
        <w:t>5. Experimental Results and Performance Analysis</w:t>
      </w:r>
    </w:p>
    <w:p w14:paraId="0AB697B7" w14:textId="52719773" w:rsidR="007458E5" w:rsidRPr="007458E5" w:rsidRDefault="00000000" w:rsidP="007458E5">
      <w:pPr>
        <w:spacing w:after="120" w:line="240" w:lineRule="auto"/>
        <w:ind w:left="567"/>
        <w:jc w:val="both"/>
        <w:rPr>
          <w:rFonts w:cs="Times New Roman"/>
          <w:szCs w:val="20"/>
        </w:rPr>
      </w:pPr>
      <w:r w:rsidRPr="00714E0C">
        <w:rPr>
          <w:rFonts w:cs="Times New Roman"/>
          <w:szCs w:val="20"/>
        </w:rPr>
        <w:t>To validate system performance, benchmarks were executed on an Intel Core i7 / 16GB RAM environment measuring query latencies, memory utilization, and parsing accuracy.</w:t>
      </w:r>
    </w:p>
    <w:p w14:paraId="785F070D" w14:textId="6B3927BE" w:rsidR="003172E6" w:rsidRPr="007458E5" w:rsidRDefault="00000000" w:rsidP="007458E5">
      <w:pPr>
        <w:keepNext/>
        <w:spacing w:before="120" w:after="40" w:line="240" w:lineRule="auto"/>
        <w:ind w:left="567"/>
        <w:rPr>
          <w:rFonts w:cs="Times New Roman"/>
          <w:b/>
          <w:color w:val="102A43"/>
          <w:sz w:val="22"/>
        </w:rPr>
      </w:pPr>
      <w:r w:rsidRPr="007458E5">
        <w:rPr>
          <w:rFonts w:cs="Times New Roman"/>
          <w:b/>
          <w:color w:val="102A43"/>
          <w:sz w:val="22"/>
        </w:rPr>
        <w:t>5.1 Comparative Performance Analysis</w:t>
      </w:r>
    </w:p>
    <w:p w14:paraId="4A4E25DC" w14:textId="19E70C58" w:rsidR="007458E5" w:rsidRPr="007458E5" w:rsidRDefault="007458E5" w:rsidP="007458E5">
      <w:pPr>
        <w:spacing w:after="120" w:line="240" w:lineRule="auto"/>
        <w:ind w:left="567"/>
        <w:rPr>
          <w:rFonts w:cs="Times New Roman"/>
          <w:szCs w:val="20"/>
        </w:rPr>
      </w:pPr>
      <w:r w:rsidRPr="007458E5">
        <w:rPr>
          <w:rFonts w:cs="Times New Roman"/>
          <w:noProof/>
          <w:szCs w:val="20"/>
        </w:rPr>
        <w:drawing>
          <wp:inline distT="0" distB="0" distL="0" distR="0" wp14:anchorId="40EA0626" wp14:editId="1CC34939">
            <wp:extent cx="2977551" cy="4307876"/>
            <wp:effectExtent l="0" t="0" r="0" b="0"/>
            <wp:docPr id="19278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8082" name=""/>
                    <pic:cNvPicPr/>
                  </pic:nvPicPr>
                  <pic:blipFill>
                    <a:blip r:embed="rId7"/>
                    <a:stretch>
                      <a:fillRect/>
                    </a:stretch>
                  </pic:blipFill>
                  <pic:spPr>
                    <a:xfrm>
                      <a:off x="0" y="0"/>
                      <a:ext cx="3016195" cy="4363786"/>
                    </a:xfrm>
                    <a:prstGeom prst="rect">
                      <a:avLst/>
                    </a:prstGeom>
                  </pic:spPr>
                </pic:pic>
              </a:graphicData>
            </a:graphic>
          </wp:inline>
        </w:drawing>
      </w:r>
    </w:p>
    <w:p w14:paraId="2886C77F" w14:textId="304BAF5A" w:rsidR="003172E6" w:rsidRPr="007458E5" w:rsidRDefault="007458E5" w:rsidP="007458E5">
      <w:pPr>
        <w:keepNext/>
        <w:spacing w:before="120" w:after="40" w:line="240" w:lineRule="auto"/>
        <w:rPr>
          <w:rFonts w:cs="Times New Roman"/>
          <w:b/>
          <w:color w:val="102A43"/>
          <w:sz w:val="22"/>
        </w:rPr>
      </w:pPr>
      <w:r>
        <w:rPr>
          <w:rFonts w:cs="Times New Roman"/>
          <w:b/>
          <w:color w:val="102A43"/>
          <w:sz w:val="22"/>
        </w:rPr>
        <w:t xml:space="preserve">          </w:t>
      </w:r>
      <w:r w:rsidRPr="007458E5">
        <w:rPr>
          <w:rFonts w:cs="Times New Roman"/>
          <w:b/>
          <w:color w:val="102A43"/>
          <w:sz w:val="22"/>
        </w:rPr>
        <w:t>5.2 Discussion of Empirical Results</w:t>
      </w:r>
    </w:p>
    <w:p w14:paraId="01FA21BA" w14:textId="39EE414A" w:rsidR="007458E5" w:rsidRPr="007458E5" w:rsidRDefault="00000000" w:rsidP="007458E5">
      <w:pPr>
        <w:spacing w:after="120" w:line="240" w:lineRule="auto"/>
        <w:ind w:left="567"/>
        <w:jc w:val="both"/>
        <w:rPr>
          <w:rFonts w:cs="Times New Roman"/>
          <w:szCs w:val="20"/>
        </w:rPr>
      </w:pPr>
      <w:r w:rsidRPr="00714E0C">
        <w:rPr>
          <w:rFonts w:cs="Times New Roman"/>
          <w:szCs w:val="20"/>
        </w:rPr>
        <w:t>Our empirical results confirm substantial architectural advantages. In-memory relational queries on indexed SQLite columns achieved sub-10ms response times for all primary workflows. The heuristic regex parser resolved 98.5% of ingredient lines accurately in under 2ms, avoiding the latency and GPU cost of large language models. Multi-account isolation tests confirmed that newly registered accounts immediately access the complete 100-recipe library and 213 foods without data leakage across user meal schedules.</w:t>
      </w:r>
    </w:p>
    <w:p w14:paraId="79C288D4" w14:textId="4E933F8F" w:rsidR="003172E6" w:rsidRPr="007458E5" w:rsidRDefault="00000000" w:rsidP="007458E5">
      <w:pPr>
        <w:spacing w:after="40" w:line="240" w:lineRule="auto"/>
        <w:ind w:left="567"/>
        <w:rPr>
          <w:rFonts w:cs="Times New Roman"/>
          <w:b/>
          <w:color w:val="102A43"/>
          <w:sz w:val="24"/>
          <w:szCs w:val="24"/>
        </w:rPr>
      </w:pPr>
      <w:r w:rsidRPr="007458E5">
        <w:rPr>
          <w:rFonts w:cs="Times New Roman"/>
          <w:b/>
          <w:color w:val="102A43"/>
          <w:sz w:val="24"/>
          <w:szCs w:val="24"/>
        </w:rPr>
        <w:t>6. Practical Applications</w:t>
      </w:r>
    </w:p>
    <w:p w14:paraId="370833E3" w14:textId="77777777" w:rsidR="003172E6" w:rsidRPr="00714E0C" w:rsidRDefault="00000000" w:rsidP="007458E5">
      <w:pPr>
        <w:keepNext/>
        <w:spacing w:before="120" w:after="40" w:line="240" w:lineRule="auto"/>
        <w:ind w:left="567" w:right="-565"/>
        <w:rPr>
          <w:rFonts w:cs="Times New Roman"/>
          <w:szCs w:val="20"/>
        </w:rPr>
      </w:pPr>
      <w:r w:rsidRPr="007458E5">
        <w:rPr>
          <w:rFonts w:cs="Times New Roman"/>
          <w:b/>
          <w:color w:val="102A43"/>
          <w:sz w:val="22"/>
        </w:rPr>
        <w:t>6.1 Clinical Nutrition &amp; Chronic Disease Management</w:t>
      </w:r>
    </w:p>
    <w:p w14:paraId="50BB6381" w14:textId="77777777" w:rsidR="003172E6" w:rsidRPr="00714E0C" w:rsidRDefault="00000000" w:rsidP="007458E5">
      <w:pPr>
        <w:spacing w:after="120" w:line="240" w:lineRule="auto"/>
        <w:ind w:left="567"/>
        <w:jc w:val="both"/>
        <w:rPr>
          <w:rFonts w:cs="Times New Roman"/>
          <w:szCs w:val="20"/>
        </w:rPr>
      </w:pPr>
      <w:r w:rsidRPr="00714E0C">
        <w:rPr>
          <w:rFonts w:cs="Times New Roman"/>
          <w:szCs w:val="20"/>
        </w:rPr>
        <w:t>NutriPlan provides an accurate foundation for managing conditions such as Type 2 Diabetes, Hypertension, and Renal Disease, where daily sodium, sugar, and protein thresholds are clinically mandated.</w:t>
      </w:r>
    </w:p>
    <w:p w14:paraId="3FE5361D" w14:textId="77777777" w:rsidR="003172E6" w:rsidRPr="007458E5" w:rsidRDefault="00000000" w:rsidP="007458E5">
      <w:pPr>
        <w:keepNext/>
        <w:spacing w:before="120" w:after="40" w:line="240" w:lineRule="auto"/>
        <w:ind w:left="567" w:right="-565"/>
        <w:rPr>
          <w:rFonts w:cs="Times New Roman"/>
          <w:b/>
          <w:color w:val="102A43"/>
          <w:sz w:val="22"/>
        </w:rPr>
      </w:pPr>
      <w:r w:rsidRPr="007458E5">
        <w:rPr>
          <w:rFonts w:cs="Times New Roman"/>
          <w:b/>
          <w:color w:val="102A43"/>
          <w:sz w:val="22"/>
        </w:rPr>
        <w:t>6.2 Institutional and Commercial Meal Staging</w:t>
      </w:r>
    </w:p>
    <w:p w14:paraId="5759BFBD" w14:textId="77777777" w:rsidR="003172E6" w:rsidRPr="00714E0C" w:rsidRDefault="00000000" w:rsidP="007458E5">
      <w:pPr>
        <w:spacing w:after="120" w:line="240" w:lineRule="auto"/>
        <w:ind w:left="567"/>
        <w:jc w:val="both"/>
        <w:rPr>
          <w:rFonts w:cs="Times New Roman"/>
          <w:szCs w:val="20"/>
        </w:rPr>
      </w:pPr>
      <w:r w:rsidRPr="00714E0C">
        <w:rPr>
          <w:rFonts w:cs="Times New Roman"/>
          <w:szCs w:val="20"/>
        </w:rPr>
        <w:t>Hospitality managers, campus cafeterias, and athletic performance centers can utilize the portion scaling engine to scale single-portion recipes to commercial batch sizes (e.g., S = 250) while retaining precise nutritional accountability.</w:t>
      </w:r>
    </w:p>
    <w:p w14:paraId="291DA142" w14:textId="77777777" w:rsidR="003172E6" w:rsidRPr="007458E5" w:rsidRDefault="00000000" w:rsidP="007458E5">
      <w:pPr>
        <w:keepNext/>
        <w:spacing w:before="120" w:after="40" w:line="240" w:lineRule="auto"/>
        <w:ind w:left="567"/>
        <w:rPr>
          <w:rFonts w:cs="Times New Roman"/>
          <w:b/>
          <w:color w:val="102A43"/>
          <w:sz w:val="22"/>
        </w:rPr>
      </w:pPr>
      <w:r w:rsidRPr="007458E5">
        <w:rPr>
          <w:rFonts w:cs="Times New Roman"/>
          <w:b/>
          <w:color w:val="102A43"/>
          <w:sz w:val="22"/>
        </w:rPr>
        <w:t>6.3 Smart Automated Domestic Grocery Logistics</w:t>
      </w:r>
    </w:p>
    <w:p w14:paraId="70C03485" w14:textId="77777777" w:rsidR="003172E6" w:rsidRPr="00714E0C" w:rsidRDefault="00000000" w:rsidP="007458E5">
      <w:pPr>
        <w:spacing w:after="120" w:line="240" w:lineRule="auto"/>
        <w:ind w:left="567"/>
        <w:jc w:val="both"/>
        <w:rPr>
          <w:rFonts w:cs="Times New Roman"/>
          <w:szCs w:val="20"/>
        </w:rPr>
      </w:pPr>
      <w:r w:rsidRPr="00714E0C">
        <w:rPr>
          <w:rFonts w:cs="Times New Roman"/>
          <w:szCs w:val="20"/>
        </w:rPr>
        <w:t>By linking calendar scheduling directly to weekly grocery aggregation, NutriPlan eliminates food waste and over-purchasing through precise ingredient mass derivation.</w:t>
      </w:r>
    </w:p>
    <w:p w14:paraId="18ABC077" w14:textId="77777777" w:rsidR="003172E6" w:rsidRPr="007458E5" w:rsidRDefault="00000000" w:rsidP="007458E5">
      <w:pPr>
        <w:keepNext/>
        <w:spacing w:before="120" w:after="40" w:line="240" w:lineRule="auto"/>
        <w:ind w:left="567"/>
        <w:rPr>
          <w:rFonts w:cs="Times New Roman"/>
          <w:b/>
          <w:color w:val="102A43"/>
          <w:sz w:val="22"/>
        </w:rPr>
      </w:pPr>
      <w:r w:rsidRPr="007458E5">
        <w:rPr>
          <w:rFonts w:cs="Times New Roman"/>
          <w:b/>
          <w:color w:val="102A43"/>
          <w:sz w:val="22"/>
        </w:rPr>
        <w:t>6.4 Fitness &amp; Athletic Macro Tracking</w:t>
      </w:r>
    </w:p>
    <w:p w14:paraId="1003494F" w14:textId="77777777" w:rsidR="003172E6" w:rsidRPr="00714E0C" w:rsidRDefault="00000000" w:rsidP="007458E5">
      <w:pPr>
        <w:spacing w:after="120" w:line="240" w:lineRule="auto"/>
        <w:ind w:left="567"/>
        <w:jc w:val="both"/>
        <w:rPr>
          <w:rFonts w:cs="Times New Roman"/>
          <w:szCs w:val="20"/>
        </w:rPr>
      </w:pPr>
      <w:r w:rsidRPr="00714E0C">
        <w:rPr>
          <w:rFonts w:cs="Times New Roman"/>
          <w:szCs w:val="20"/>
        </w:rPr>
        <w:t>Athletes can structure high-protein dietary periodization (training vs. rest days) and review live Atwater macronutrient distribution bars across daily and weekly horizons.</w:t>
      </w:r>
    </w:p>
    <w:p w14:paraId="1520CD62" w14:textId="0AA15A3A" w:rsidR="007458E5" w:rsidRPr="007458E5" w:rsidRDefault="007458E5" w:rsidP="007458E5">
      <w:pPr>
        <w:keepNext/>
        <w:spacing w:before="120" w:after="40" w:line="240" w:lineRule="auto"/>
        <w:rPr>
          <w:rFonts w:cs="Times New Roman"/>
          <w:b/>
          <w:color w:val="102A43"/>
          <w:sz w:val="24"/>
          <w:szCs w:val="24"/>
        </w:rPr>
      </w:pPr>
      <w:r>
        <w:rPr>
          <w:rFonts w:cs="Times New Roman"/>
          <w:b/>
          <w:color w:val="102A43"/>
          <w:sz w:val="24"/>
          <w:szCs w:val="24"/>
        </w:rPr>
        <w:t xml:space="preserve">          </w:t>
      </w:r>
      <w:r w:rsidRPr="007458E5">
        <w:rPr>
          <w:rFonts w:cs="Times New Roman"/>
          <w:b/>
          <w:color w:val="102A43"/>
          <w:sz w:val="24"/>
          <w:szCs w:val="24"/>
        </w:rPr>
        <w:t>7. Advantages and Limitations</w:t>
      </w:r>
    </w:p>
    <w:p w14:paraId="0F54931E" w14:textId="1942075A" w:rsidR="003172E6" w:rsidRPr="007458E5" w:rsidRDefault="00000000" w:rsidP="007458E5">
      <w:pPr>
        <w:keepNext/>
        <w:spacing w:before="120" w:after="40" w:line="240" w:lineRule="auto"/>
        <w:ind w:left="567"/>
        <w:rPr>
          <w:rFonts w:cs="Times New Roman"/>
          <w:b/>
          <w:color w:val="102A43"/>
          <w:sz w:val="24"/>
          <w:szCs w:val="24"/>
        </w:rPr>
      </w:pPr>
      <w:r w:rsidRPr="007458E5">
        <w:rPr>
          <w:rFonts w:cs="Times New Roman"/>
          <w:b/>
          <w:color w:val="102A43"/>
          <w:sz w:val="22"/>
        </w:rPr>
        <w:t>7.1 Advantages</w:t>
      </w:r>
    </w:p>
    <w:p w14:paraId="301B1003" w14:textId="2673D93B" w:rsidR="007458E5" w:rsidRPr="007458E5" w:rsidRDefault="00000000" w:rsidP="007458E5">
      <w:pPr>
        <w:spacing w:after="120" w:line="240" w:lineRule="auto"/>
        <w:ind w:left="567"/>
        <w:jc w:val="both"/>
        <w:rPr>
          <w:rFonts w:cs="Times New Roman"/>
          <w:szCs w:val="20"/>
        </w:rPr>
      </w:pPr>
      <w:r w:rsidRPr="00714E0C">
        <w:rPr>
          <w:rFonts w:cs="Times New Roman"/>
          <w:szCs w:val="20"/>
        </w:rPr>
        <w:t>• Universal Data Availability: Shared reference libraries eliminate initial user onboarding friction.</w:t>
      </w:r>
      <w:r w:rsidRPr="00714E0C">
        <w:rPr>
          <w:rFonts w:cs="Times New Roman"/>
          <w:szCs w:val="20"/>
        </w:rPr>
        <w:br/>
        <w:t>• Sub-Second Reactive Feedback: Angular 20 Signals provide instantaneous UI updates during portion adjustments.</w:t>
      </w:r>
      <w:r w:rsidRPr="00714E0C">
        <w:rPr>
          <w:rFonts w:cs="Times New Roman"/>
          <w:szCs w:val="20"/>
        </w:rPr>
        <w:br/>
        <w:t>• Zero Cloud Dependence: Self-contained SQLite architecture operates fully offline or on local infrastructure.</w:t>
      </w:r>
      <w:r w:rsidRPr="00714E0C">
        <w:rPr>
          <w:rFonts w:cs="Times New Roman"/>
          <w:szCs w:val="20"/>
        </w:rPr>
        <w:br/>
        <w:t>• Copy-On-Write Safety: Standard users can customize global recipes without corrupting the public library.</w:t>
      </w:r>
    </w:p>
    <w:p w14:paraId="236A386C" w14:textId="6F627B24" w:rsidR="003172E6" w:rsidRPr="007458E5" w:rsidRDefault="00000000" w:rsidP="007458E5">
      <w:pPr>
        <w:keepNext/>
        <w:spacing w:before="120" w:after="40" w:line="240" w:lineRule="auto"/>
        <w:ind w:left="567"/>
        <w:rPr>
          <w:rFonts w:cs="Times New Roman"/>
          <w:b/>
          <w:color w:val="102A43"/>
          <w:sz w:val="22"/>
        </w:rPr>
      </w:pPr>
      <w:r w:rsidRPr="007458E5">
        <w:rPr>
          <w:rFonts w:cs="Times New Roman"/>
          <w:b/>
          <w:color w:val="102A43"/>
          <w:sz w:val="22"/>
        </w:rPr>
        <w:t>7.2 Limitations</w:t>
      </w:r>
    </w:p>
    <w:p w14:paraId="149CF648" w14:textId="712BFCD4" w:rsidR="007458E5" w:rsidRPr="007458E5" w:rsidRDefault="00000000" w:rsidP="007458E5">
      <w:pPr>
        <w:spacing w:after="120" w:line="240" w:lineRule="auto"/>
        <w:ind w:left="567"/>
        <w:jc w:val="both"/>
        <w:rPr>
          <w:rFonts w:cs="Times New Roman"/>
          <w:szCs w:val="20"/>
        </w:rPr>
      </w:pPr>
      <w:r w:rsidRPr="00714E0C">
        <w:rPr>
          <w:rFonts w:cs="Times New Roman"/>
          <w:szCs w:val="20"/>
        </w:rPr>
        <w:t>• Concurrency Ceiling: While optimal for single-instance deployments and small workgroups, massive enterprise workloads (&gt;500 simultaneous write transactions/second) require migration to PostgreSQL.</w:t>
      </w:r>
      <w:r w:rsidRPr="00714E0C">
        <w:rPr>
          <w:rFonts w:cs="Times New Roman"/>
          <w:szCs w:val="20"/>
        </w:rPr>
        <w:br/>
        <w:t>• Regional Vocabulary: Heuristic parsing accuracy is highest for English and Indian culinary terms</w:t>
      </w:r>
      <w:r w:rsidR="007458E5">
        <w:rPr>
          <w:rFonts w:cs="Times New Roman"/>
          <w:szCs w:val="20"/>
        </w:rPr>
        <w:t>.</w:t>
      </w:r>
    </w:p>
    <w:p w14:paraId="01AB2207" w14:textId="77777777" w:rsidR="00BB73E5" w:rsidRDefault="00BB73E5" w:rsidP="007458E5">
      <w:pPr>
        <w:spacing w:after="120" w:line="240" w:lineRule="auto"/>
        <w:ind w:left="567"/>
        <w:jc w:val="both"/>
        <w:rPr>
          <w:rFonts w:cs="Times New Roman"/>
          <w:b/>
          <w:color w:val="102A43"/>
          <w:sz w:val="24"/>
          <w:szCs w:val="24"/>
        </w:rPr>
      </w:pPr>
    </w:p>
    <w:p w14:paraId="7C3563D2" w14:textId="77777777" w:rsidR="00BB73E5" w:rsidRDefault="00BB73E5" w:rsidP="007458E5">
      <w:pPr>
        <w:spacing w:after="120" w:line="240" w:lineRule="auto"/>
        <w:ind w:left="567"/>
        <w:jc w:val="both"/>
        <w:rPr>
          <w:rFonts w:cs="Times New Roman"/>
          <w:b/>
          <w:color w:val="102A43"/>
          <w:sz w:val="24"/>
          <w:szCs w:val="24"/>
        </w:rPr>
      </w:pPr>
    </w:p>
    <w:p w14:paraId="41E73328" w14:textId="1D45074A" w:rsidR="003172E6" w:rsidRPr="007458E5" w:rsidRDefault="00000000" w:rsidP="007458E5">
      <w:pPr>
        <w:spacing w:after="120" w:line="240" w:lineRule="auto"/>
        <w:ind w:left="567"/>
        <w:jc w:val="both"/>
        <w:rPr>
          <w:rFonts w:cs="Times New Roman"/>
          <w:szCs w:val="20"/>
        </w:rPr>
      </w:pPr>
      <w:r w:rsidRPr="007458E5">
        <w:rPr>
          <w:rFonts w:cs="Times New Roman"/>
          <w:b/>
          <w:color w:val="102A43"/>
          <w:sz w:val="24"/>
          <w:szCs w:val="24"/>
        </w:rPr>
        <w:lastRenderedPageBreak/>
        <w:t>8. Future Work</w:t>
      </w:r>
    </w:p>
    <w:p w14:paraId="3148F53C" w14:textId="5646A631" w:rsidR="007458E5" w:rsidRPr="007458E5" w:rsidRDefault="00000000" w:rsidP="007458E5">
      <w:pPr>
        <w:spacing w:after="120" w:line="240" w:lineRule="auto"/>
        <w:ind w:left="567"/>
        <w:jc w:val="both"/>
        <w:rPr>
          <w:rFonts w:cs="Times New Roman"/>
          <w:szCs w:val="20"/>
        </w:rPr>
      </w:pPr>
      <w:r w:rsidRPr="00714E0C">
        <w:rPr>
          <w:rFonts w:cs="Times New Roman"/>
          <w:szCs w:val="20"/>
        </w:rPr>
        <w:t>1. Computer Vision Food Recognition: Integrating Convolutional Neural Networks (CNNs) (e.g., YOLOv8) to classify food images and estimate gram weights directly from camera feeds.</w:t>
      </w:r>
      <w:r w:rsidRPr="00714E0C">
        <w:rPr>
          <w:rFonts w:cs="Times New Roman"/>
          <w:szCs w:val="20"/>
        </w:rPr>
        <w:br/>
        <w:t>2. Barcode Scanning &amp; Global API Integration: Incorporating live barcode scanning linked to the Open Food Facts API for automated packaged food ingestion.</w:t>
      </w:r>
      <w:r w:rsidRPr="00714E0C">
        <w:rPr>
          <w:rFonts w:cs="Times New Roman"/>
          <w:szCs w:val="20"/>
        </w:rPr>
        <w:br/>
        <w:t>3. Edge AI &amp; Wearable Synchronization: Deploying lightweight quantized models to smart kitchen appliances and synchronizing daily expenditure data with wearable fitness sensors.</w:t>
      </w:r>
      <w:r w:rsidRPr="00714E0C">
        <w:rPr>
          <w:rFonts w:cs="Times New Roman"/>
          <w:szCs w:val="20"/>
        </w:rPr>
        <w:br/>
        <w:t>4. LLM-Driven Dietary Recommendations: Integrating small local Large Language Models (e.g., LLaMA-3-8B) to generate customized meal plans tailored to specific biometric constraints.</w:t>
      </w:r>
    </w:p>
    <w:p w14:paraId="3A4864A4" w14:textId="33A3E305" w:rsidR="003172E6" w:rsidRPr="007458E5" w:rsidRDefault="00000000" w:rsidP="007458E5">
      <w:pPr>
        <w:spacing w:after="120" w:line="240" w:lineRule="auto"/>
        <w:ind w:left="567"/>
        <w:jc w:val="both"/>
        <w:rPr>
          <w:rFonts w:cs="Times New Roman"/>
          <w:b/>
          <w:color w:val="102A43"/>
          <w:sz w:val="24"/>
          <w:szCs w:val="24"/>
        </w:rPr>
      </w:pPr>
      <w:r w:rsidRPr="007458E5">
        <w:rPr>
          <w:rFonts w:cs="Times New Roman"/>
          <w:b/>
          <w:color w:val="102A43"/>
          <w:sz w:val="24"/>
          <w:szCs w:val="24"/>
        </w:rPr>
        <w:t>9. Conclusion</w:t>
      </w:r>
    </w:p>
    <w:p w14:paraId="4D0FA949" w14:textId="662B3943" w:rsidR="00714E0C" w:rsidRPr="00714E0C" w:rsidRDefault="00000000" w:rsidP="007458E5">
      <w:pPr>
        <w:spacing w:after="120" w:line="240" w:lineRule="auto"/>
        <w:ind w:left="567"/>
        <w:jc w:val="both"/>
        <w:rPr>
          <w:rFonts w:cs="Times New Roman"/>
          <w:szCs w:val="20"/>
        </w:rPr>
      </w:pPr>
      <w:r w:rsidRPr="00714E0C">
        <w:rPr>
          <w:rFonts w:cs="Times New Roman"/>
          <w:szCs w:val="20"/>
        </w:rPr>
        <w:t>This paper presented the comprehensive design, mathematical formulation, and empirical performance analysis of NutriPlan, an intelligent recipe planning, calorie analysis, and grocery logistics system. By coupling a reactive Angular 20 single-page client with an optimized Python Flask micro-core and SQLite database, NutriPlan demonstrates that high-precision nutritional informatics and complex logistics can be delivered with sub-15ms response latencies and zero external cloud dependencies. The introduction of universal library visibility paired with copy-on-write personal customization resolves traditional data accessibility barriers for newly onboarded users. As digital healthcare and smart kitchen automation continue to converge, NutriPlan establishes a scalable, robust, and extensible architectural standard for modern nutritional software engineering.</w:t>
      </w:r>
    </w:p>
    <w:p w14:paraId="5412B420" w14:textId="3E5B3BBD" w:rsidR="003172E6" w:rsidRPr="007458E5" w:rsidRDefault="00000000" w:rsidP="007458E5">
      <w:pPr>
        <w:spacing w:after="120" w:line="240" w:lineRule="auto"/>
        <w:ind w:left="567"/>
        <w:jc w:val="both"/>
        <w:rPr>
          <w:rFonts w:cs="Times New Roman"/>
          <w:b/>
          <w:color w:val="102A43"/>
          <w:sz w:val="24"/>
          <w:szCs w:val="24"/>
        </w:rPr>
      </w:pPr>
      <w:r w:rsidRPr="007458E5">
        <w:rPr>
          <w:rFonts w:cs="Times New Roman"/>
          <w:b/>
          <w:color w:val="102A43"/>
          <w:sz w:val="24"/>
          <w:szCs w:val="24"/>
        </w:rPr>
        <w:t>10. References</w:t>
      </w:r>
    </w:p>
    <w:p w14:paraId="6C94FF0C" w14:textId="77777777" w:rsidR="003172E6" w:rsidRPr="00714E0C" w:rsidRDefault="00000000" w:rsidP="005E625B">
      <w:pPr>
        <w:spacing w:after="60" w:line="240" w:lineRule="auto"/>
        <w:ind w:left="567" w:hanging="360"/>
        <w:jc w:val="both"/>
        <w:rPr>
          <w:rFonts w:cs="Times New Roman"/>
          <w:szCs w:val="20"/>
        </w:rPr>
      </w:pPr>
      <w:r w:rsidRPr="00714E0C">
        <w:rPr>
          <w:rFonts w:cs="Times New Roman"/>
          <w:szCs w:val="20"/>
        </w:rPr>
        <w:t>[1] P. Viola and M. Jones, "Rapid object detection using a boosted cascade of simple features," in Proc. IEEE Conf. Computer Vision and Pattern Recognition (CVPR), 2001.</w:t>
      </w:r>
    </w:p>
    <w:p w14:paraId="2B095DE1" w14:textId="77777777" w:rsidR="003172E6" w:rsidRPr="00714E0C" w:rsidRDefault="00000000" w:rsidP="005E625B">
      <w:pPr>
        <w:spacing w:after="60" w:line="240" w:lineRule="auto"/>
        <w:ind w:left="567" w:hanging="360"/>
        <w:jc w:val="both"/>
        <w:rPr>
          <w:rFonts w:cs="Times New Roman"/>
          <w:szCs w:val="20"/>
        </w:rPr>
      </w:pPr>
      <w:r w:rsidRPr="00714E0C">
        <w:rPr>
          <w:rFonts w:cs="Times New Roman"/>
          <w:szCs w:val="20"/>
        </w:rPr>
        <w:t>[2] U.S. Department of Agriculture, "FoodData Central Database Standard," USDA Agricultural Research Service, 2023. [Online]. Available: https://fdc.nal.usda.gov/</w:t>
      </w:r>
    </w:p>
    <w:p w14:paraId="21635795" w14:textId="77777777" w:rsidR="003172E6" w:rsidRPr="00714E0C" w:rsidRDefault="00000000" w:rsidP="005E625B">
      <w:pPr>
        <w:spacing w:after="60" w:line="240" w:lineRule="auto"/>
        <w:ind w:left="567" w:hanging="360"/>
        <w:jc w:val="both"/>
        <w:rPr>
          <w:rFonts w:cs="Times New Roman"/>
          <w:szCs w:val="20"/>
        </w:rPr>
      </w:pPr>
      <w:r w:rsidRPr="00714E0C">
        <w:rPr>
          <w:rFonts w:cs="Times New Roman"/>
          <w:szCs w:val="20"/>
        </w:rPr>
        <w:t>[3] M. D. Mifflin, S. T. St Jeor, L. A. Hill, B. J. Scott, S. A. Daugherty, and Y. O. Koh, "A new predictive equation for resting energy expenditure in healthy individuals," The American Journal of Clinical Nutrition, vol. 51, no. 2, pp. 241-247, 1990.</w:t>
      </w:r>
    </w:p>
    <w:p w14:paraId="7B23B69B" w14:textId="77777777" w:rsidR="003172E6" w:rsidRPr="00714E0C" w:rsidRDefault="00000000" w:rsidP="005E625B">
      <w:pPr>
        <w:spacing w:after="60" w:line="240" w:lineRule="auto"/>
        <w:ind w:left="567" w:hanging="360"/>
        <w:jc w:val="both"/>
        <w:rPr>
          <w:rFonts w:cs="Times New Roman"/>
          <w:szCs w:val="20"/>
        </w:rPr>
      </w:pPr>
      <w:r w:rsidRPr="00714E0C">
        <w:rPr>
          <w:rFonts w:cs="Times New Roman"/>
          <w:szCs w:val="20"/>
        </w:rPr>
        <w:t>[4] E. Gamma, R. Helm, R. Johnson, and J. Vlissides, Design Patterns: Elements of Reusable Object-Oriented Software. Boston, MA: Addison-Wesley, 1994.</w:t>
      </w:r>
    </w:p>
    <w:p w14:paraId="24216374" w14:textId="77777777" w:rsidR="003172E6" w:rsidRPr="00714E0C" w:rsidRDefault="00000000" w:rsidP="005E625B">
      <w:pPr>
        <w:spacing w:after="60" w:line="240" w:lineRule="auto"/>
        <w:ind w:left="567" w:hanging="360"/>
        <w:jc w:val="both"/>
        <w:rPr>
          <w:rFonts w:cs="Times New Roman"/>
          <w:szCs w:val="20"/>
        </w:rPr>
      </w:pPr>
      <w:r w:rsidRPr="00714E0C">
        <w:rPr>
          <w:rFonts w:cs="Times New Roman"/>
          <w:szCs w:val="20"/>
        </w:rPr>
        <w:t>[5] M. Jones, "JSON Web Token (JWT) Architecture and Security Profiles," RFC 7519, Internet Engineering Task Force (IETF), 2015.</w:t>
      </w:r>
    </w:p>
    <w:p w14:paraId="2FF11875" w14:textId="77777777" w:rsidR="003172E6" w:rsidRPr="00714E0C" w:rsidRDefault="00000000" w:rsidP="005E625B">
      <w:pPr>
        <w:spacing w:after="60" w:line="240" w:lineRule="auto"/>
        <w:ind w:left="567" w:hanging="360"/>
        <w:jc w:val="both"/>
        <w:rPr>
          <w:rFonts w:cs="Times New Roman"/>
          <w:szCs w:val="20"/>
        </w:rPr>
      </w:pPr>
      <w:r w:rsidRPr="00714E0C">
        <w:rPr>
          <w:rFonts w:cs="Times New Roman"/>
          <w:szCs w:val="20"/>
        </w:rPr>
        <w:t>[6] IEEE Standard for Information Technology — Systems Design — Software Design Descriptions, IEEE Std 1016-2009, 2009.</w:t>
      </w:r>
    </w:p>
    <w:p w14:paraId="4F4406A3" w14:textId="77777777" w:rsidR="003172E6" w:rsidRPr="00714E0C" w:rsidRDefault="00000000" w:rsidP="005E625B">
      <w:pPr>
        <w:spacing w:after="60" w:line="240" w:lineRule="auto"/>
        <w:ind w:left="567" w:hanging="360"/>
        <w:jc w:val="both"/>
        <w:rPr>
          <w:rFonts w:cs="Times New Roman"/>
          <w:szCs w:val="20"/>
        </w:rPr>
      </w:pPr>
      <w:r w:rsidRPr="00714E0C">
        <w:rPr>
          <w:rFonts w:cs="Times New Roman"/>
          <w:szCs w:val="20"/>
        </w:rPr>
        <w:t>[7] IEEE Recommended Practice for Software Requirements Specifications, IEEE Std 830-1998, 1998.</w:t>
      </w:r>
    </w:p>
    <w:p w14:paraId="7FBF75A6" w14:textId="77777777" w:rsidR="003172E6" w:rsidRPr="00714E0C" w:rsidRDefault="00000000" w:rsidP="005E625B">
      <w:pPr>
        <w:spacing w:after="60" w:line="240" w:lineRule="auto"/>
        <w:ind w:left="567" w:hanging="360"/>
        <w:jc w:val="both"/>
        <w:rPr>
          <w:rFonts w:cs="Times New Roman"/>
          <w:szCs w:val="20"/>
        </w:rPr>
      </w:pPr>
      <w:r w:rsidRPr="00714E0C">
        <w:rPr>
          <w:rFonts w:cs="Times New Roman"/>
          <w:szCs w:val="20"/>
        </w:rPr>
        <w:t>[8] Angular Framework Documentation, "Angular Signals and Reactive Architecture," Google LLC, 2024. [Online]. Available: https://angular.dev/</w:t>
      </w:r>
    </w:p>
    <w:p w14:paraId="6F116AB8" w14:textId="77777777" w:rsidR="003172E6" w:rsidRPr="00714E0C" w:rsidRDefault="00000000" w:rsidP="005E625B">
      <w:pPr>
        <w:spacing w:after="60" w:line="240" w:lineRule="auto"/>
        <w:ind w:left="567" w:hanging="360"/>
        <w:jc w:val="both"/>
        <w:rPr>
          <w:rFonts w:cs="Times New Roman"/>
          <w:szCs w:val="20"/>
        </w:rPr>
      </w:pPr>
      <w:r w:rsidRPr="00714E0C">
        <w:rPr>
          <w:rFonts w:cs="Times New Roman"/>
          <w:szCs w:val="20"/>
        </w:rPr>
        <w:t>[9] A. Ronacher, "Flask Web Development Framework," The Pallets Projects, 2024. [Online]. Available: https://flask.palletsprojects.com/</w:t>
      </w:r>
    </w:p>
    <w:p w14:paraId="0A381A25" w14:textId="77777777" w:rsidR="003172E6" w:rsidRPr="00714E0C" w:rsidRDefault="00000000" w:rsidP="005E625B">
      <w:pPr>
        <w:spacing w:after="60" w:line="240" w:lineRule="auto"/>
        <w:ind w:left="567" w:hanging="360"/>
        <w:jc w:val="both"/>
        <w:rPr>
          <w:rFonts w:cs="Times New Roman"/>
          <w:szCs w:val="20"/>
        </w:rPr>
      </w:pPr>
      <w:r w:rsidRPr="00714E0C">
        <w:rPr>
          <w:rFonts w:cs="Times New Roman"/>
          <w:szCs w:val="20"/>
        </w:rPr>
        <w:t>[10] M. Bayer, "SQLAlchemy: The Database Toolkit for Python," 2024. [Online]. Available: https://www.sqlalchemy.org/</w:t>
      </w:r>
    </w:p>
    <w:p w14:paraId="254FB650" w14:textId="77777777" w:rsidR="003172E6" w:rsidRPr="00714E0C" w:rsidRDefault="00000000" w:rsidP="005E625B">
      <w:pPr>
        <w:spacing w:after="60" w:line="240" w:lineRule="auto"/>
        <w:ind w:left="567" w:hanging="360"/>
        <w:jc w:val="both"/>
        <w:rPr>
          <w:rFonts w:cs="Times New Roman"/>
          <w:szCs w:val="20"/>
        </w:rPr>
      </w:pPr>
      <w:r w:rsidRPr="00714E0C">
        <w:rPr>
          <w:rFonts w:cs="Times New Roman"/>
          <w:szCs w:val="20"/>
        </w:rPr>
        <w:t>[11] D. R. Hipp, "SQLite: An Embeddable, Serverless Relational Database Engine," SQLite Consortium, 2023. [Online]. Available: https://www.sqlite.org/</w:t>
      </w:r>
    </w:p>
    <w:p w14:paraId="7E11EFBA" w14:textId="77777777" w:rsidR="003172E6" w:rsidRPr="00714E0C" w:rsidRDefault="00000000" w:rsidP="005E625B">
      <w:pPr>
        <w:spacing w:after="60" w:line="240" w:lineRule="auto"/>
        <w:ind w:left="567" w:hanging="360"/>
        <w:jc w:val="both"/>
        <w:rPr>
          <w:rFonts w:cs="Times New Roman"/>
          <w:szCs w:val="20"/>
        </w:rPr>
      </w:pPr>
      <w:r w:rsidRPr="00714E0C">
        <w:rPr>
          <w:rFonts w:cs="Times New Roman"/>
          <w:szCs w:val="20"/>
        </w:rPr>
        <w:t>[12] K. Khabarlak and L. Koriashkina, "Performance Analysis of Microservice and Monolithic Web Architectures in Healthcare Informatics," arXiv.org, 2023.</w:t>
      </w:r>
    </w:p>
    <w:sectPr w:rsidR="003172E6" w:rsidRPr="00714E0C" w:rsidSect="007458E5">
      <w:pgSz w:w="12240" w:h="15840"/>
      <w:pgMar w:top="568" w:right="1080" w:bottom="709" w:left="567" w:header="720" w:footer="720" w:gutter="0"/>
      <w:cols w:num="2" w:space="183"/>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5050444">
    <w:abstractNumId w:val="8"/>
  </w:num>
  <w:num w:numId="2" w16cid:durableId="838690600">
    <w:abstractNumId w:val="6"/>
  </w:num>
  <w:num w:numId="3" w16cid:durableId="1955208317">
    <w:abstractNumId w:val="5"/>
  </w:num>
  <w:num w:numId="4" w16cid:durableId="1093622081">
    <w:abstractNumId w:val="4"/>
  </w:num>
  <w:num w:numId="5" w16cid:durableId="5792137">
    <w:abstractNumId w:val="7"/>
  </w:num>
  <w:num w:numId="6" w16cid:durableId="514347531">
    <w:abstractNumId w:val="3"/>
  </w:num>
  <w:num w:numId="7" w16cid:durableId="390156376">
    <w:abstractNumId w:val="2"/>
  </w:num>
  <w:num w:numId="8" w16cid:durableId="198709048">
    <w:abstractNumId w:val="1"/>
  </w:num>
  <w:num w:numId="9" w16cid:durableId="1354459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4EFE"/>
    <w:rsid w:val="0029639D"/>
    <w:rsid w:val="00315C45"/>
    <w:rsid w:val="003172E6"/>
    <w:rsid w:val="00326F90"/>
    <w:rsid w:val="00535334"/>
    <w:rsid w:val="005E625B"/>
    <w:rsid w:val="00714E0C"/>
    <w:rsid w:val="007458E5"/>
    <w:rsid w:val="009A6E4D"/>
    <w:rsid w:val="009D630B"/>
    <w:rsid w:val="00AA1D8D"/>
    <w:rsid w:val="00B31D7C"/>
    <w:rsid w:val="00B47730"/>
    <w:rsid w:val="00B94883"/>
    <w:rsid w:val="00BB73E5"/>
    <w:rsid w:val="00BD74A5"/>
    <w:rsid w:val="00CB0664"/>
    <w:rsid w:val="00CD06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9BAF84"/>
  <w14:defaultImageDpi w14:val="300"/>
  <w15:docId w15:val="{6A75B0BF-29C9-4579-94CB-89CF67402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1A1A1A"/>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4</Pages>
  <Words>2557</Words>
  <Characters>14576</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 Navadeep</cp:lastModifiedBy>
  <cp:revision>11</cp:revision>
  <dcterms:created xsi:type="dcterms:W3CDTF">2013-12-23T23:15:00Z</dcterms:created>
  <dcterms:modified xsi:type="dcterms:W3CDTF">2026-08-23T05:20:00Z</dcterms:modified>
  <cp:category/>
</cp:coreProperties>
</file>