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2B3A"/>
          <w:sz w:val="36"/>
          <w:szCs w:val="36"/>
        </w:rPr>
        <w:t xml:space="preserve">AwakenArts — Language Audit Addendum</w:t>
      </w:r>
    </w:p>
    <w:p>
      <w:pPr>
        <w:spacing w:after="40"/>
      </w:pPr>
      <w:r>
        <w:rPr>
          <w:i/>
          <w:iCs/>
          <w:color w:val="8B6914"/>
          <w:sz w:val="22"/>
          <w:szCs w:val="22"/>
        </w:rPr>
        <w:t xml:space="preserve">Responding to v2's “Standardization Pass — Everyday Language” section</w:t>
      </w:r>
    </w:p>
    <w:p>
      <w:pPr>
        <w:spacing w:after="300"/>
      </w:pPr>
      <w:r>
        <w:rPr>
          <w:color w:val="999999"/>
          <w:sz w:val="19"/>
          <w:szCs w:val="19"/>
        </w:rPr>
        <w:t xml:space="preserve">Prepared by Claude · Report only — no copy has been changed on the live site. Growth Path, Decision Standard, and the Kingdom/Queen Ann/King content plan are unchanged from v1 and already covered in the Rework Pass 2 Audit; this addendum is scoped to the new language standard.</w:t>
      </w:r>
    </w:p>
    <w:p>
      <w:pPr>
        <w:pStyle w:val="Heading1"/>
        <w:spacing w:after="160" w:before="360"/>
      </w:pPr>
      <w:r>
        <w:rPr>
          <w:b/>
          <w:bCs/>
          <w:color w:val="1C2B3A"/>
          <w:sz w:val="28"/>
          <w:szCs w:val="28"/>
        </w:rPr>
        <w:t xml:space="preserve">Summary</w:t>
      </w:r>
    </w:p>
    <w:p>
      <w:pPr>
        <w:spacing w:after="160" w:line="300"/>
      </w:pPr>
      <w:r>
        <w:rPr>
          <w:sz w:val="22"/>
          <w:szCs w:val="22"/>
        </w:rPr>
        <w:t xml:space="preserve">v2 adds one substantial new section to the Pass 2 document: a plain-language standard, with a named list of phrases to avoid and a six-question checklist to apply everywhere. I went back through the copy I already have direct knowledge of from the Pass 1 and Pass 2 audits and checked it against that list rather than starting from scratch, since most of the site's participant-facing text was already quoted verbatim in those two passes.</w:t>
      </w:r>
    </w:p>
    <w:p>
      <w:pPr>
        <w:spacing w:after="160" w:line="300"/>
      </w:pPr>
      <w:r>
        <w:rPr>
          <w:b/>
          <w:bCs/>
          <w:color w:val="1C2B3A"/>
          <w:sz w:val="22"/>
          <w:szCs w:val="22"/>
        </w:rPr>
        <w:t xml:space="preserve">The site currently contains a near-exact match to a phrase the standard names by name. </w:t>
      </w:r>
      <w:r>
        <w:rPr>
          <w:sz w:val="22"/>
          <w:szCs w:val="22"/>
        </w:rPr>
        <w:t xml:space="preserve">Every Encounter page's reflection prompt reads “stay with whatever rises” — essentially the same words as “stay with what arises,” which v2 lists as an example of institutional reflective-practice language to avoid. This isn't a stylistic nitpick; it's the specific phrase called out in your own document, already live on nine pages.</w:t>
      </w:r>
    </w:p>
    <w:p>
      <w:pPr>
        <w:spacing w:after="160" w:line="300"/>
      </w:pPr>
      <w:r>
        <w:rPr>
          <w:sz w:val="22"/>
          <w:szCs w:val="22"/>
        </w:rPr>
        <w:t xml:space="preserve">Beyond that one direct hit, the same underlying problem shows up across Symbols and the Journal that Pass 2 already flagged as too shallow: both are written in a defining register (“X suggests/represents Y”) rather than a relating register (“have you been here?”). The content-depth problem and the language-register problem turn out to be the same root cause described two ways — the copy explains the symbol instead of using it to talk about a person's life.</w:t>
      </w:r>
    </w:p>
    <w:p>
      <w:pPr>
        <w:spacing w:after="160" w:line="300"/>
      </w:pPr>
      <w:r>
        <w:rPr>
          <w:sz w:val="22"/>
          <w:szCs w:val="22"/>
        </w:rPr>
        <w:t xml:space="preserve">Table below: six representative passages, why each fails the standard's own test, and an illustrative plainer alternative — illustrative only, not proposed final copy. Actual rewrites should follow each page's own story once that story exists (Encounters especially depends on the per-page rewrite already recommended in the Pass 2 Audit).</w:t>
      </w:r>
    </w:p>
    <w:p>
      <w:pPr>
        <w:pStyle w:val="Heading1"/>
        <w:spacing w:after="160" w:before="360"/>
      </w:pPr>
      <w:r>
        <w:rPr>
          <w:b/>
          <w:bCs/>
          <w:color w:val="1C2B3A"/>
          <w:sz w:val="28"/>
          <w:szCs w:val="28"/>
        </w:rPr>
        <w:t xml:space="preserve">Flagged Passages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2100"/>
        <w:gridCol w:w="2300"/>
        <w:gridCol w:w="900"/>
      </w:tblGrid>
      <w:tr>
        <w:trPr>
          <w:tblHeader/>
        </w:trPr>
        <w:tc>
          <w:tcPr>
            <w:tcW w:type="dxa" w:w="1750"/>
            <w:shd w:fill="1C2B3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500"/>
            <w:shd w:fill="1C2B3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Language (verbatim)</w:t>
            </w:r>
          </w:p>
        </w:tc>
        <w:tc>
          <w:tcPr>
            <w:tcW w:type="dxa" w:w="2100"/>
            <w:shd w:fill="1C2B3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Fails Because</w:t>
            </w:r>
          </w:p>
        </w:tc>
        <w:tc>
          <w:tcPr>
            <w:tcW w:type="dxa" w:w="2300"/>
            <w:shd w:fill="1C2B3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Plainer Alternative (illustrative only)</w:t>
            </w:r>
          </w:p>
        </w:tc>
        <w:tc>
          <w:tcPr>
            <w:tcW w:type="dxa" w:w="900"/>
            <w:shd w:fill="1C2B3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1750"/>
            <w:vAlign w:val="center"/>
          </w:tcPr>
          <w:p>
            <w:r>
              <w:rPr>
                <w:b/>
                <w:bCs/>
                <w:color w:val="1C2B3A"/>
                <w:sz w:val="19"/>
                <w:szCs w:val="19"/>
              </w:rPr>
              <w:t xml:space="preserve">Encounters — reflection prompt (Queen, Butterfly, and likely all 9)</w:t>
            </w:r>
          </w:p>
        </w:tc>
        <w:tc>
          <w:tcPr>
            <w:tcW w:type="dxa" w:w="2500"/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“There is nothing here to resolve. Stay with whatever rises, and let it be enough for now.”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9"/>
                <w:szCs w:val="19"/>
              </w:rPr>
              <w:t xml:space="preserve">Near word-for-word the exact phrase the standard names to avoid (“stay with what arises”). Instructs the participant how to have an inner experience rather than asking something they'd actually think.</w:t>
            </w:r>
          </w:p>
        </w:tc>
        <w:tc>
          <w:tcPr>
            <w:tcW w:type="dxa" w:w="2300"/>
            <w:vAlign w:val="center"/>
          </w:tcPr>
          <w:p>
            <w:r>
              <w:rPr>
                <w:sz w:val="19"/>
                <w:szCs w:val="19"/>
              </w:rPr>
              <w:t xml:space="preserve">Depends on each encounter's own story (per the Pass 2 audit) rather than one script reused nine times — e.g., something concrete to what's actually being looked at.</w:t>
            </w:r>
          </w:p>
        </w:tc>
        <w:tc>
          <w:tcPr>
            <w:tcW w:type="dxa" w:w="900"/>
            <w:shd w:fill="FDE6E0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REWRITE</w:t>
            </w:r>
          </w:p>
        </w:tc>
      </w:tr>
      <w:tr>
        <w:tc>
          <w:tcPr>
            <w:tcW w:type="dxa" w:w="1750"/>
            <w:vAlign w:val="center"/>
          </w:tcPr>
          <w:p>
            <w:r>
              <w:rPr>
                <w:b/>
                <w:bCs/>
                <w:color w:val="1C2B3A"/>
                <w:sz w:val="19"/>
                <w:szCs w:val="19"/>
              </w:rPr>
              <w:t xml:space="preserve">Encounters — observation prompt (all 9 pages)</w:t>
            </w:r>
          </w:p>
        </w:tc>
        <w:tc>
          <w:tcPr>
            <w:tcW w:type="dxa" w:w="2500"/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“Let your eyes stay here a moment longer. What do you notice first — and what do you notice only after?”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9"/>
                <w:szCs w:val="19"/>
              </w:rPr>
              <w:t xml:space="preserve">Fails the standard's own test verbatim: could appear on almost any reflective or wellness site. Generic noticing, not tied to a specific human situation.</w:t>
            </w:r>
          </w:p>
        </w:tc>
        <w:tc>
          <w:tcPr>
            <w:tcW w:type="dxa" w:w="2300"/>
            <w:vAlign w:val="center"/>
          </w:tcPr>
          <w:p>
            <w:r>
              <w:rPr>
                <w:sz w:val="19"/>
                <w:szCs w:val="19"/>
              </w:rPr>
              <w:t xml:space="preserve">A question specific to the image/story at hand — e.g., for Queen Ann: “Have you ever had to leave something before you were ready?”</w:t>
            </w:r>
          </w:p>
        </w:tc>
        <w:tc>
          <w:tcPr>
            <w:tcW w:type="dxa" w:w="900"/>
            <w:shd w:fill="FDE6E0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REWRITE</w:t>
            </w:r>
          </w:p>
        </w:tc>
      </w:tr>
      <w:tr>
        <w:tc>
          <w:tcPr>
            <w:tcW w:type="dxa" w:w="1750"/>
            <w:vAlign w:val="center"/>
          </w:tcPr>
          <w:p>
            <w:r>
              <w:rPr>
                <w:b/>
                <w:bCs/>
                <w:color w:val="1C2B3A"/>
                <w:sz w:val="19"/>
                <w:szCs w:val="19"/>
              </w:rPr>
              <w:t xml:space="preserve">Journal — territory descriptions (all 5, e.g. Thresholds)</w:t>
            </w:r>
          </w:p>
        </w:tc>
        <w:tc>
          <w:tcPr>
            <w:tcW w:type="dxa" w:w="2500"/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“Symbols associated with transition, crossing points, uncertainty, and movement between states or conditions.”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9"/>
                <w:szCs w:val="19"/>
              </w:rPr>
              <w:t xml:space="preserve">Institutional/encyclopedic register — no one would describe their own life this way. Makes the participant decode AwakenArts before they can use it.</w:t>
            </w:r>
          </w:p>
        </w:tc>
        <w:tc>
          <w:tcPr>
            <w:tcW w:type="dxa" w:w="2300"/>
            <w:vAlign w:val="center"/>
          </w:tcPr>
          <w:p>
            <w:r>
              <w:rPr>
                <w:sz w:val="19"/>
                <w:szCs w:val="19"/>
              </w:rPr>
              <w:t xml:space="preserve">“Moments when you're leaving one thing and haven't arrived at the next.”</w:t>
            </w:r>
          </w:p>
        </w:tc>
        <w:tc>
          <w:tcPr>
            <w:tcW w:type="dxa" w:w="900"/>
            <w:shd w:fill="FDE6E0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REWRITE</w:t>
            </w:r>
          </w:p>
        </w:tc>
      </w:tr>
      <w:tr>
        <w:tc>
          <w:tcPr>
            <w:tcW w:type="dxa" w:w="1750"/>
            <w:vAlign w:val="center"/>
          </w:tcPr>
          <w:p>
            <w:r>
              <w:rPr>
                <w:b/>
                <w:bCs/>
                <w:color w:val="1C2B3A"/>
                <w:sz w:val="19"/>
                <w:szCs w:val="19"/>
              </w:rPr>
              <w:t xml:space="preserve">Journal — entry orientations (e.g., The Doorway)</w:t>
            </w:r>
          </w:p>
        </w:tc>
        <w:tc>
          <w:tcPr>
            <w:tcW w:type="dxa" w:w="2500"/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“Doorways suggest thresholds, invitation, uncertainty, and movement into unfamiliar space.”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9"/>
                <w:szCs w:val="19"/>
              </w:rPr>
              <w:t xml:space="preserve">Defines the symbol instead of making it relatable — the “glossary object” pattern the Pass 2 audit already named, now visible as a language problem too: abstract noun-stacking, no human situation named.</w:t>
            </w:r>
          </w:p>
        </w:tc>
        <w:tc>
          <w:tcPr>
            <w:tcW w:type="dxa" w:w="2300"/>
            <w:vAlign w:val="center"/>
          </w:tcPr>
          <w:p>
            <w:r>
              <w:rPr>
                <w:sz w:val="19"/>
                <w:szCs w:val="19"/>
              </w:rPr>
              <w:t xml:space="preserve">“Doorways show up when you're about to do something you can't undo.”</w:t>
            </w:r>
          </w:p>
        </w:tc>
        <w:tc>
          <w:tcPr>
            <w:tcW w:type="dxa" w:w="900"/>
            <w:shd w:fill="FDE6E0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REWRITE</w:t>
            </w:r>
          </w:p>
        </w:tc>
      </w:tr>
      <w:tr>
        <w:tc>
          <w:tcPr>
            <w:tcW w:type="dxa" w:w="1750"/>
            <w:vAlign w:val="center"/>
          </w:tcPr>
          <w:p>
            <w:r>
              <w:rPr>
                <w:b/>
                <w:bCs/>
                <w:color w:val="1C2B3A"/>
                <w:sz w:val="19"/>
                <w:szCs w:val="19"/>
              </w:rPr>
              <w:t xml:space="preserve">Homepage — hero + “A Path of Recognition” section</w:t>
            </w:r>
          </w:p>
        </w:tc>
        <w:tc>
          <w:tcPr>
            <w:tcW w:type="dxa" w:w="2500"/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“AwakenArts helps you recognize the symbolic language already present in your life.”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9"/>
                <w:szCs w:val="19"/>
              </w:rPr>
              <w:t xml:space="preserve">Recognition is announced and labeled rather than experienced — the standard explicitly says this should usually happen without being named. Abstract for a first-time visitor with no context yet.</w:t>
            </w:r>
          </w:p>
        </w:tc>
        <w:tc>
          <w:tcPr>
            <w:tcW w:type="dxa" w:w="2300"/>
            <w:vAlign w:val="center"/>
          </w:tcPr>
          <w:p>
            <w:r>
              <w:rPr>
                <w:sz w:val="19"/>
                <w:szCs w:val="19"/>
              </w:rPr>
              <w:t xml:space="preserve">Name what a visitor actually leaves with, in plain terms — e.g., “AwakenArts helps you see what's really going on in your own life, through story and image, so you can decide what to do with it.”</w:t>
            </w:r>
          </w:p>
        </w:tc>
        <w:tc>
          <w:tcPr>
            <w:tcW w:type="dxa" w:w="900"/>
            <w:shd w:fill="FDE6E0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REWRITE</w:t>
            </w:r>
          </w:p>
        </w:tc>
      </w:tr>
      <w:tr>
        <w:tc>
          <w:tcPr>
            <w:tcW w:type="dxa" w:w="1750"/>
            <w:vAlign w:val="center"/>
          </w:tcPr>
          <w:p>
            <w:r>
              <w:rPr>
                <w:b/>
                <w:bCs/>
                <w:color w:val="1C2B3A"/>
                <w:sz w:val="19"/>
                <w:szCs w:val="19"/>
              </w:rPr>
              <w:t xml:space="preserve">The Path (/awakenarts-path) — on-page copy</w:t>
            </w:r>
          </w:p>
        </w:tc>
        <w:tc>
          <w:tcPr>
            <w:tcW w:type="dxa" w:w="2500"/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“Learn how an image invites attention, how a poem gives language to what is noticed, and how meaning can arrive through recognition rather than explanation.”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9"/>
                <w:szCs w:val="19"/>
              </w:rPr>
              <w:t xml:space="preserve">Abstract and self-referential about AwakenArts' own method, not about the participant's life. A visitor has to translate this before knowing whether it's for them.</w:t>
            </w:r>
          </w:p>
        </w:tc>
        <w:tc>
          <w:tcPr>
            <w:tcW w:type="dxa" w:w="2300"/>
            <w:vAlign w:val="center"/>
          </w:tcPr>
          <w:p>
            <w:r>
              <w:rPr>
                <w:sz w:val="19"/>
                <w:szCs w:val="19"/>
              </w:rPr>
              <w:t xml:space="preserve">Say what the visitor will actually be able to do — e.g., “A short introduction to how AwakenArts works — read it before your first Encounter or workshop.”</w:t>
            </w:r>
          </w:p>
        </w:tc>
        <w:tc>
          <w:tcPr>
            <w:tcW w:type="dxa" w:w="900"/>
            <w:shd w:fill="FDE6E0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REWRITE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C2B3A"/>
          <w:sz w:val="28"/>
          <w:szCs w:val="28"/>
        </w:rPr>
        <w:t xml:space="preserve">Applying the Six-Question Test — two examples</w:t>
      </w:r>
    </w:p>
    <w:p>
      <w:pPr>
        <w:spacing w:after="140" w:line="300"/>
      </w:pPr>
      <w:r>
        <w:rPr>
          <w:b/>
          <w:bCs/>
          <w:color w:val="1C2B3A"/>
          <w:sz w:val="22"/>
          <w:szCs w:val="22"/>
        </w:rPr>
        <w:t xml:space="preserve">Journal territory description (“Symbols associated with transition, crossing points...”): </w:t>
      </w:r>
      <w:r>
        <w:rPr>
          <w:sz w:val="22"/>
          <w:szCs w:val="22"/>
        </w:rPr>
        <w:t xml:space="preserve">Would a person say this in ordinary life? No. Does the participant immediately understand why it matters? No — it describes a category, not a stake. Could it appear on almost any reflective website? Yes, close to verbatim. Fails on three of six questions before considering tone at all.</w:t>
      </w:r>
    </w:p>
    <w:p>
      <w:pPr>
        <w:spacing w:after="200" w:line="300"/>
      </w:pPr>
      <w:r>
        <w:rPr>
          <w:b/>
          <w:bCs/>
          <w:color w:val="1C2B3A"/>
          <w:sz w:val="22"/>
          <w:szCs w:val="22"/>
        </w:rPr>
        <w:t xml:space="preserve">Homepage “A Path of Recognition”: </w:t>
      </w:r>
      <w:r>
        <w:rPr>
          <w:sz w:val="22"/>
          <w:szCs w:val="22"/>
        </w:rPr>
        <w:t xml:space="preserve">Does the wording make the participant decode AwakenArts before they can use it? Yes — “recognition,” “symbolic language,” and “path” are all AwakenArts' own internal vocabulary, asked of a visitor who hasn't yet been told what any of it means for them personally. Is the language doing useful work, or sounding like AwakenArts? Closer to the latter as written.</w:t>
      </w:r>
    </w:p>
    <w:p>
      <w:pPr>
        <w:pStyle w:val="Heading1"/>
        <w:spacing w:after="160" w:before="360"/>
      </w:pPr>
      <w:r>
        <w:rPr>
          <w:b/>
          <w:bCs/>
          <w:color w:val="1C2B3A"/>
          <w:sz w:val="28"/>
          <w:szCs w:val="28"/>
        </w:rPr>
        <w:t xml:space="preserve">Where This Leaves Things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The findings here don't change any decision from the Rework Pass 2 Audit — they sharpen the reasoning behind decisions already marked REWRITE (Encounters, Journal, Homepage, The Path) and give a concrete standard to write against.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 have not rewritten any live copy. The alternatives above are illustrative, meant to show the register shift, not to be pasted in as-is — several of these pages (especially Encounters) still need their own story written first, per the Pass 2 Audit's sequencing.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If you'd like, the next step I'd suggest is small and low-risk: rewrite the homepage hero/Path-of-Recognition lines and the Journal's five territory descriptions first (self-contained, no dependency on the still-unwritten Kingdom/King material), and hold the Encounters and Symbols rewrites until their underlying story work is done.</w:t>
      </w:r>
    </w:p>
    <w:p>
      <w:pPr>
        <w:spacing w:before="300"/>
      </w:pPr>
      <w:r>
        <w:rPr>
          <w:i/>
          <w:iCs/>
          <w:color w:val="999999"/>
          <w:sz w:val="20"/>
          <w:szCs w:val="20"/>
        </w:rPr>
        <w:t xml:space="preserve">Let me know if you'd like me to proceed with that first, contained batch of rewrites, or if you want to review this reasoning first.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2026-08-19T13:07:02.125Z</dcterms:created>
  <dcterms:modified xsi:type="dcterms:W3CDTF">2026-08-19T13:07:02.126Z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