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C2B3A"/>
          <w:sz w:val="36"/>
          <w:szCs w:val="36"/>
        </w:rPr>
        <w:t xml:space="preserve">AwakenArts Participant-Value Audit — Findings</w:t>
      </w:r>
    </w:p>
    <w:p>
      <w:pPr>
        <w:spacing w:after="40"/>
      </w:pPr>
      <w:r>
        <w:rPr>
          <w:i/>
          <w:iCs/>
          <w:color w:val="8B6914"/>
          <w:sz w:val="22"/>
          <w:szCs w:val="22"/>
        </w:rPr>
        <w:t xml:space="preserve">First pass against the AwakenArts Participant-Value Standard</w:t>
      </w:r>
    </w:p>
    <w:p>
      <w:pPr>
        <w:spacing w:after="300"/>
      </w:pPr>
      <w:r>
        <w:rPr>
          <w:color w:val="999999"/>
          <w:sz w:val="19"/>
          <w:szCs w:val="19"/>
        </w:rPr>
        <w:t xml:space="preserve">Prepared by Claude · Report only, per Section 10 ("Audit Before Expansion") — no broad site changes have been made.</w:t>
      </w:r>
    </w:p>
    <w:p>
      <w:pPr>
        <w:pStyle w:val="Heading1"/>
        <w:spacing w:after="160" w:before="360"/>
      </w:pPr>
      <w:r>
        <w:rPr>
          <w:b/>
          <w:bCs/>
          <w:color w:val="1C2B3A"/>
          <w:sz w:val="28"/>
          <w:szCs w:val="28"/>
        </w:rPr>
        <w:t xml:space="preserve">Executive Summary</w:t>
      </w:r>
    </w:p>
    <w:p>
      <w:pPr>
        <w:spacing w:after="160" w:line="300"/>
      </w:pPr>
      <w:r>
        <w:rPr>
          <w:sz w:val="21"/>
          <w:szCs w:val="21"/>
        </w:rPr>
        <w:t xml:space="preserve">The site has more genuinely substantive content than its navigation currently surfaces. The strongest material on AwakenArts — the Workshops page, the Foundation and About pages, the Dragon Edition's full reader experience, the Journal's 25 built entries — does real participant work and mostly avoids the traps the Standard warns against (overclaiming transformation, vague prompts, decoration without function). The weaker pattern isn't absence of good work; it's that the site's architecture has moved faster than its content connectivity. Several passes (most recently the August 18 "New Paradigm" shift to a Workshops-led structure) retired or repositioned pages without fully reconciling what links where, and a few prompts were templated across pages that the Standard explicitly asks to be written individually.</w:t>
      </w:r>
    </w:p>
    <w:p>
      <w:pPr>
        <w:spacing w:after="160" w:line="300"/>
      </w:pPr>
      <w:r>
        <w:rPr>
          <w:sz w:val="21"/>
          <w:szCs w:val="21"/>
        </w:rPr>
        <w:t xml:space="preserve">Two findings matter more than the rest:</w:t>
      </w:r>
    </w:p>
    <w:p>
      <w:pPr>
        <w:spacing w:after="140" w:line="300"/>
      </w:pPr>
      <w:r>
        <w:rPr>
          <w:b/>
          <w:bCs/>
          <w:color w:val="1C2B3A"/>
          <w:sz w:val="21"/>
          <w:szCs w:val="21"/>
        </w:rPr>
        <w:t xml:space="preserve">The Dragon reader is the best thing on the site, and nothing links to it. </w:t>
      </w:r>
      <w:r>
        <w:rPr>
          <w:sz w:val="21"/>
          <w:szCs w:val="21"/>
        </w:rPr>
        <w:t xml:space="preserve">/editions/dragon/read is the only place AwakenArts currently walks a participant through nearly the entire Standard Forward Path in one sustained experience — story, symbol, guided understanding, recognition, articulation, reflection, integration. I could not find a single link to it anywhere, including from Dragon's own detail page. This is the highest-value, lowest-effort fix available: add the door.</w:t>
      </w:r>
    </w:p>
    <w:p>
      <w:pPr>
        <w:spacing w:after="200" w:line="300"/>
      </w:pPr>
      <w:r>
        <w:rPr>
          <w:b/>
          <w:bCs/>
          <w:color w:val="1C2B3A"/>
          <w:sz w:val="21"/>
          <w:szCs w:val="21"/>
        </w:rPr>
        <w:t xml:space="preserve">The observation/reflection prompts on individual Encounters repeat verbatim. </w:t>
      </w:r>
      <w:r>
        <w:rPr>
          <w:sz w:val="21"/>
          <w:szCs w:val="21"/>
        </w:rPr>
        <w:t xml:space="preserve">Queen and Butterfly — the two I opened directly — use the exact same two prompts, swapping only the name, video, and scripture. This is precisely the pattern Section 5 names as something to reject: generic noticing language reused without a substantive path preparing the participant for it. Worth checking all nine Encounter pages, not just the two verified here.</w:t>
      </w:r>
    </w:p>
    <w:p>
      <w:pPr>
        <w:spacing w:after="160" w:line="300"/>
      </w:pPr>
      <w:r>
        <w:rPr>
          <w:sz w:val="21"/>
          <w:szCs w:val="21"/>
        </w:rPr>
        <w:t xml:space="preserve">Beyond those two, the recurring theme across Symbols and the Journal is thinness rather than dysfunction: both offer a real structure (a symbol name plus scripture, or an orientation plus a reflection prompt) but stop short of the story and guided understanding Section 4 asks for before a symbol or image is put to work. Neither is broken or misleading — they just currently ask the participant to supply meaning the site hasn't yet built the ground for, which Section 2 explicitly says participants shouldn't have to do alone.</w:t>
      </w:r>
    </w:p>
    <w:p>
      <w:pPr>
        <w:spacing w:after="160" w:line="300"/>
      </w:pPr>
      <w:r>
        <w:rPr>
          <w:sz w:val="21"/>
          <w:szCs w:val="21"/>
        </w:rPr>
        <w:t xml:space="preserve">Two pages — /method and /collection — are dead ends or dead code left over from earlier site structures; /sketchbook is your own work in progress and I've flagged it rather than judged it. None of these carry real participant risk today (they're noindexed or redirected), but they're worth a deliberate decision rather than quietly persisting.</w:t>
      </w:r>
    </w:p>
    <w:p>
      <w:pPr>
        <w:spacing w:after="160" w:line="300"/>
      </w:pPr>
      <w:r>
        <w:rPr>
          <w:sz w:val="21"/>
          <w:szCs w:val="21"/>
        </w:rPr>
        <w:t xml:space="preserve">Full findings, one row per page or section, follow below. Decision categories match the Standard's own vocabulary (Section 8): KEEP, STRENGTHEN, REPOSITION, CONNECT, REWRITE, REMOVE.</w:t>
      </w:r>
    </w:p>
    <w:p>
      <w:pPr>
        <w:pStyle w:val="Heading1"/>
        <w:spacing w:after="160" w:before="360"/>
      </w:pPr>
      <w:r>
        <w:rPr>
          <w:b/>
          <w:bCs/>
          <w:color w:val="1C2B3A"/>
          <w:sz w:val="28"/>
          <w:szCs w:val="28"/>
        </w:rPr>
        <w:t xml:space="preserve">Audit Worksheet</w:t>
      </w:r>
    </w:p>
    <w:tbl>
      <w:tblPr>
        <w:tblW w:type="dxa" w:w="12610"/>
        <w:tblBorders>
          <w:top w:val="single" w:color="auto" w:sz="4"/>
          <w:left w:val="single" w:color="auto" w:sz="4"/>
          <w:bottom w:val="single" w:color="auto" w:sz="4"/>
          <w:right w:val="single" w:color="auto" w:sz="4"/>
          <w:insideH w:val="single" w:color="auto" w:sz="4"/>
          <w:insideV w:val="single" w:color="auto" w:sz="4"/>
        </w:tblBorders>
      </w:tblPr>
      <w:tblGrid>
        <w:gridCol w:w="1500"/>
        <w:gridCol w:w="2350"/>
        <w:gridCol w:w="1250"/>
        <w:gridCol w:w="3900"/>
        <w:gridCol w:w="850"/>
        <w:gridCol w:w="2760"/>
      </w:tblGrid>
      <w:tr>
        <w:trPr>
          <w:tblHeader/>
        </w:trPr>
        <w:tc>
          <w:tcPr>
            <w:tcW w:type="dxa" w:w="1500"/>
            <w:shd w:fill="1C2B3A" w:val="clear"/>
            <w:vAlign w:val="center"/>
          </w:tcPr>
          <w:p>
            <w:r>
              <w:rPr>
                <w:b/>
                <w:bCs/>
                <w:color w:val="FFFFFF"/>
                <w:sz w:val="19"/>
                <w:szCs w:val="19"/>
              </w:rPr>
              <w:t xml:space="preserve">Element</w:t>
            </w:r>
          </w:p>
        </w:tc>
        <w:tc>
          <w:tcPr>
            <w:tcW w:type="dxa" w:w="2350"/>
            <w:shd w:fill="1C2B3A" w:val="clear"/>
            <w:vAlign w:val="center"/>
          </w:tcPr>
          <w:p>
            <w:r>
              <w:rPr>
                <w:b/>
                <w:bCs/>
                <w:color w:val="FFFFFF"/>
                <w:sz w:val="19"/>
                <w:szCs w:val="19"/>
              </w:rPr>
              <w:t xml:space="preserve">Current Job</w:t>
            </w:r>
          </w:p>
        </w:tc>
        <w:tc>
          <w:tcPr>
            <w:tcW w:type="dxa" w:w="1250"/>
            <w:shd w:fill="1C2B3A" w:val="clear"/>
            <w:vAlign w:val="center"/>
          </w:tcPr>
          <w:p>
            <w:r>
              <w:rPr>
                <w:b/>
                <w:bCs/>
                <w:color w:val="FFFFFF"/>
                <w:sz w:val="19"/>
                <w:szCs w:val="19"/>
              </w:rPr>
              <w:t xml:space="preserve">Path Stage</w:t>
            </w:r>
          </w:p>
        </w:tc>
        <w:tc>
          <w:tcPr>
            <w:tcW w:type="dxa" w:w="3900"/>
            <w:shd w:fill="1C2B3A" w:val="clear"/>
            <w:vAlign w:val="center"/>
          </w:tcPr>
          <w:p>
            <w:r>
              <w:rPr>
                <w:b/>
                <w:bCs/>
                <w:color w:val="FFFFFF"/>
                <w:sz w:val="19"/>
                <w:szCs w:val="19"/>
              </w:rPr>
              <w:t xml:space="preserve">Participant Value / Gap</w:t>
            </w:r>
          </w:p>
        </w:tc>
        <w:tc>
          <w:tcPr>
            <w:tcW w:type="dxa" w:w="850"/>
            <w:shd w:fill="1C2B3A" w:val="clear"/>
            <w:vAlign w:val="center"/>
          </w:tcPr>
          <w:p>
            <w:r>
              <w:rPr>
                <w:b/>
                <w:bCs/>
                <w:color w:val="FFFFFF"/>
                <w:sz w:val="19"/>
                <w:szCs w:val="19"/>
              </w:rPr>
              <w:t xml:space="preserve">Decision</w:t>
            </w:r>
          </w:p>
        </w:tc>
        <w:tc>
          <w:tcPr>
            <w:tcW w:type="dxa" w:w="2760"/>
            <w:shd w:fill="1C2B3A" w:val="clear"/>
            <w:vAlign w:val="center"/>
          </w:tcPr>
          <w:p>
            <w:r>
              <w:rPr>
                <w:b/>
                <w:bCs/>
                <w:color w:val="FFFFFF"/>
                <w:sz w:val="19"/>
                <w:szCs w:val="19"/>
              </w:rPr>
              <w:t xml:space="preserve">Required Improvement</w:t>
            </w:r>
          </w:p>
        </w:tc>
      </w:tr>
      <w:tr>
        <w:tc>
          <w:tcPr>
            <w:tcW w:type="dxa" w:w="1500"/>
            <w:vAlign w:val="center"/>
          </w:tcPr>
          <w:p>
            <w:r>
              <w:rPr>
                <w:b/>
                <w:bCs/>
                <w:color w:val="1C2B3A"/>
                <w:sz w:val="19"/>
                <w:szCs w:val="19"/>
              </w:rPr>
              <w:t xml:space="preserve">Homepage — Hero</w:t>
            </w:r>
          </w:p>
        </w:tc>
        <w:tc>
          <w:tcPr>
            <w:tcW w:type="dxa" w:w="2350"/>
            <w:vAlign w:val="center"/>
          </w:tcPr>
          <w:p>
            <w:r>
              <w:rPr>
                <w:sz w:val="19"/>
                <w:szCs w:val="19"/>
              </w:rPr>
              <w:t xml:space="preserve">First impression; single CTA into Workshops; states the core promise.</w:t>
            </w:r>
          </w:p>
        </w:tc>
        <w:tc>
          <w:tcPr>
            <w:tcW w:type="dxa" w:w="1250"/>
            <w:vAlign w:val="center"/>
          </w:tcPr>
          <w:p>
            <w:r>
              <w:rPr>
                <w:sz w:val="19"/>
                <w:szCs w:val="19"/>
              </w:rPr>
              <w:t xml:space="preserve">1. Human Experience (framing only)</w:t>
            </w:r>
          </w:p>
        </w:tc>
        <w:tc>
          <w:tcPr>
            <w:tcW w:type="dxa" w:w="3900"/>
            <w:vAlign w:val="center"/>
          </w:tcPr>
          <w:p>
            <w:r>
              <w:rPr>
                <w:sz w:val="19"/>
                <w:szCs w:val="19"/>
              </w:rPr>
              <w:t xml:space="preserve">Honest about scope — names image/poem/reflection/conversation without pretending the hero itself delivers them. One unambiguous next step (Explore Workshops).</w:t>
            </w:r>
          </w:p>
        </w:tc>
        <w:tc>
          <w:tcPr>
            <w:tcW w:type="dxa" w:w="850"/>
            <w:shd w:fill="DCE9DC" w:val="clear"/>
            <w:vAlign w:val="center"/>
          </w:tcPr>
          <w:p>
            <w:r>
              <w:rPr>
                <w:b/>
                <w:bCs/>
                <w:sz w:val="19"/>
                <w:szCs w:val="19"/>
              </w:rPr>
              <w:t xml:space="preserve">KEEP</w:t>
            </w:r>
          </w:p>
        </w:tc>
        <w:tc>
          <w:tcPr>
            <w:tcW w:type="dxa" w:w="2760"/>
            <w:vAlign w:val="center"/>
          </w:tcPr>
          <w:p>
            <w:r>
              <w:rPr>
                <w:sz w:val="19"/>
                <w:szCs w:val="19"/>
              </w:rPr>
              <w:t xml:space="preserve">None. Keep the single-CTA discipline as the site evolves.</w:t>
            </w:r>
          </w:p>
        </w:tc>
      </w:tr>
      <w:tr>
        <w:tc>
          <w:tcPr>
            <w:tcW w:type="dxa" w:w="1500"/>
            <w:vAlign w:val="center"/>
          </w:tcPr>
          <w:p>
            <w:r>
              <w:rPr>
                <w:b/>
                <w:bCs/>
                <w:color w:val="1C2B3A"/>
                <w:sz w:val="19"/>
                <w:szCs w:val="19"/>
              </w:rPr>
              <w:t xml:space="preserve">Homepage — "A Path of Recognition" section</w:t>
            </w:r>
          </w:p>
        </w:tc>
        <w:tc>
          <w:tcPr>
            <w:tcW w:type="dxa" w:w="2350"/>
            <w:vAlign w:val="center"/>
          </w:tcPr>
          <w:p>
            <w:r>
              <w:rPr>
                <w:sz w:val="19"/>
                <w:szCs w:val="19"/>
              </w:rPr>
              <w:t xml:space="preserve">Bridges to two downstream destinations: Encounters and Symbols.</w:t>
            </w:r>
          </w:p>
        </w:tc>
        <w:tc>
          <w:tcPr>
            <w:tcW w:type="dxa" w:w="1250"/>
            <w:vAlign w:val="center"/>
          </w:tcPr>
          <w:p>
            <w:r>
              <w:rPr>
                <w:sz w:val="19"/>
                <w:szCs w:val="19"/>
              </w:rPr>
              <w:t xml:space="preserve">1→2 transition</w:t>
            </w:r>
          </w:p>
        </w:tc>
        <w:tc>
          <w:tcPr>
            <w:tcW w:type="dxa" w:w="3900"/>
            <w:vAlign w:val="center"/>
          </w:tcPr>
          <w:p>
            <w:r>
              <w:rPr>
                <w:sz w:val="19"/>
                <w:szCs w:val="19"/>
              </w:rPr>
              <w:t xml:space="preserve">Copy is honest and doesn't overclaim. But it offers two parallel CTAs with no indication which is the intended first step — the site's own editorial-roles doctrine (Path=orientation, Encounters=experience) implies Encounters should lead, but nothing on the page says so.</w:t>
            </w:r>
          </w:p>
        </w:tc>
        <w:tc>
          <w:tcPr>
            <w:tcW w:type="dxa" w:w="850"/>
            <w:shd w:fill="FDF1D2" w:val="clear"/>
            <w:vAlign w:val="center"/>
          </w:tcPr>
          <w:p>
            <w:r>
              <w:rPr>
                <w:b/>
                <w:bCs/>
                <w:sz w:val="19"/>
                <w:szCs w:val="19"/>
              </w:rPr>
              <w:t xml:space="preserve">STRENGTHEN</w:t>
            </w:r>
          </w:p>
        </w:tc>
        <w:tc>
          <w:tcPr>
            <w:tcW w:type="dxa" w:w="2760"/>
            <w:vAlign w:val="center"/>
          </w:tcPr>
          <w:p>
            <w:r>
              <w:rPr>
                <w:sz w:val="19"/>
                <w:szCs w:val="19"/>
              </w:rPr>
              <w:t xml:space="preserve">Establish a visible primary/secondary hierarchy between the two CTAs, or add one sentence: "Begin with Encounters; browse Symbols anytime."</w:t>
            </w:r>
          </w:p>
        </w:tc>
      </w:tr>
      <w:tr>
        <w:tc>
          <w:tcPr>
            <w:tcW w:type="dxa" w:w="1500"/>
            <w:vAlign w:val="center"/>
          </w:tcPr>
          <w:p>
            <w:r>
              <w:rPr>
                <w:b/>
                <w:bCs/>
                <w:color w:val="1C2B3A"/>
                <w:sz w:val="19"/>
                <w:szCs w:val="19"/>
              </w:rPr>
              <w:t xml:space="preserve">Homepage — "Workshops" section (id="collection")</w:t>
            </w:r>
          </w:p>
        </w:tc>
        <w:tc>
          <w:tcPr>
            <w:tcW w:type="dxa" w:w="2350"/>
            <w:vAlign w:val="center"/>
          </w:tcPr>
          <w:p>
            <w:r>
              <w:rPr>
                <w:sz w:val="19"/>
                <w:szCs w:val="19"/>
              </w:rPr>
              <w:t xml:space="preserve">Names all six Figure Editions; pushes to Workshops.</w:t>
            </w:r>
          </w:p>
        </w:tc>
        <w:tc>
          <w:tcPr>
            <w:tcW w:type="dxa" w:w="1250"/>
            <w:vAlign w:val="center"/>
          </w:tcPr>
          <w:p>
            <w:r>
              <w:rPr>
                <w:sz w:val="19"/>
                <w:szCs w:val="19"/>
              </w:rPr>
              <w:t xml:space="preserve">2/3 teaser (Story/Symbol)</w:t>
            </w:r>
          </w:p>
        </w:tc>
        <w:tc>
          <w:tcPr>
            <w:tcW w:type="dxa" w:w="3900"/>
            <w:vAlign w:val="center"/>
          </w:tcPr>
          <w:p>
            <w:r>
              <w:rPr>
                <w:sz w:val="19"/>
                <w:szCs w:val="19"/>
              </w:rPr>
              <w:t xml:space="preserve">Functions fine for participants. But the markup still carries id="collection" and eyebrow "Figure Editions" though /collection is now a retired redirect — leftover naming from before the New Paradigm shift. Invisible to visitors, real risk for future edits.</w:t>
            </w:r>
          </w:p>
        </w:tc>
        <w:tc>
          <w:tcPr>
            <w:tcW w:type="dxa" w:w="850"/>
            <w:shd w:fill="FDE6E0" w:val="clear"/>
            <w:vAlign w:val="center"/>
          </w:tcPr>
          <w:p>
            <w:r>
              <w:rPr>
                <w:b/>
                <w:bCs/>
                <w:sz w:val="19"/>
                <w:szCs w:val="19"/>
              </w:rPr>
              <w:t xml:space="preserve">REWRITE</w:t>
            </w:r>
          </w:p>
        </w:tc>
        <w:tc>
          <w:tcPr>
            <w:tcW w:type="dxa" w:w="2760"/>
            <w:vAlign w:val="center"/>
          </w:tcPr>
          <w:p>
            <w:r>
              <w:rPr>
                <w:sz w:val="19"/>
                <w:szCs w:val="19"/>
              </w:rPr>
              <w:t xml:space="preserve">Rename the section id/class and reconcile the eyebrow so the code doesn't imply a Collection destination that no longer exists.</w:t>
            </w:r>
          </w:p>
        </w:tc>
      </w:tr>
      <w:tr>
        <w:tc>
          <w:tcPr>
            <w:tcW w:type="dxa" w:w="1500"/>
            <w:vAlign w:val="center"/>
          </w:tcPr>
          <w:p>
            <w:r>
              <w:rPr>
                <w:b/>
                <w:bCs/>
                <w:color w:val="1C2B3A"/>
                <w:sz w:val="19"/>
                <w:szCs w:val="19"/>
              </w:rPr>
              <w:t xml:space="preserve">Homepage — Foundation / Matthew 13:34 section</w:t>
            </w:r>
          </w:p>
        </w:tc>
        <w:tc>
          <w:tcPr>
            <w:tcW w:type="dxa" w:w="2350"/>
            <w:vAlign w:val="center"/>
          </w:tcPr>
          <w:p>
            <w:r>
              <w:rPr>
                <w:sz w:val="19"/>
                <w:szCs w:val="19"/>
              </w:rPr>
              <w:t xml:space="preserve">Closes the homepage on the site's Christian grounding; CTA to /foundation.</w:t>
            </w:r>
          </w:p>
        </w:tc>
        <w:tc>
          <w:tcPr>
            <w:tcW w:type="dxa" w:w="1250"/>
            <w:vAlign w:val="center"/>
          </w:tcPr>
          <w:p>
            <w:r>
              <w:rPr>
                <w:sz w:val="19"/>
                <w:szCs w:val="19"/>
              </w:rPr>
              <w:t xml:space="preserve">Credibility (adjacent to Stage 1)</w:t>
            </w:r>
          </w:p>
        </w:tc>
        <w:tc>
          <w:tcPr>
            <w:tcW w:type="dxa" w:w="3900"/>
            <w:vAlign w:val="center"/>
          </w:tcPr>
          <w:p>
            <w:r>
              <w:rPr>
                <w:sz w:val="19"/>
                <w:szCs w:val="19"/>
              </w:rPr>
              <w:t xml:space="preserve">Unhurried and undiluted — does real trust-building work distinct from a sales pitch. A visitor deciding whether this practice is "for them" gets a clear answer.</w:t>
            </w:r>
          </w:p>
        </w:tc>
        <w:tc>
          <w:tcPr>
            <w:tcW w:type="dxa" w:w="850"/>
            <w:shd w:fill="DCE9DC" w:val="clear"/>
            <w:vAlign w:val="center"/>
          </w:tcPr>
          <w:p>
            <w:r>
              <w:rPr>
                <w:b/>
                <w:bCs/>
                <w:sz w:val="19"/>
                <w:szCs w:val="19"/>
              </w:rPr>
              <w:t xml:space="preserve">KEEP</w:t>
            </w:r>
          </w:p>
        </w:tc>
        <w:tc>
          <w:tcPr>
            <w:tcW w:type="dxa" w:w="2760"/>
            <w:vAlign w:val="center"/>
          </w:tcPr>
          <w:p>
            <w:r>
              <w:rPr>
                <w:sz w:val="19"/>
                <w:szCs w:val="19"/>
              </w:rPr>
              <w:t xml:space="preserve">None.</w:t>
            </w:r>
          </w:p>
        </w:tc>
      </w:tr>
      <w:tr>
        <w:tc>
          <w:tcPr>
            <w:tcW w:type="dxa" w:w="1500"/>
            <w:vAlign w:val="center"/>
          </w:tcPr>
          <w:p>
            <w:r>
              <w:rPr>
                <w:b/>
                <w:bCs/>
                <w:color w:val="1C2B3A"/>
                <w:sz w:val="19"/>
                <w:szCs w:val="19"/>
              </w:rPr>
              <w:t xml:space="preserve">The AwakenArts Path (/awakenarts-path)</w:t>
            </w:r>
          </w:p>
        </w:tc>
        <w:tc>
          <w:tcPr>
            <w:tcW w:type="dxa" w:w="2350"/>
            <w:vAlign w:val="center"/>
          </w:tcPr>
          <w:p>
            <w:r>
              <w:rPr>
                <w:sz w:val="19"/>
                <w:szCs w:val="19"/>
              </w:rPr>
              <w:t xml:space="preserve">Orientation before Encounters — teaches the site's symbolic vocabulary.</w:t>
            </w:r>
          </w:p>
        </w:tc>
        <w:tc>
          <w:tcPr>
            <w:tcW w:type="dxa" w:w="1250"/>
            <w:vAlign w:val="center"/>
          </w:tcPr>
          <w:p>
            <w:r>
              <w:rPr>
                <w:sz w:val="19"/>
                <w:szCs w:val="19"/>
              </w:rPr>
              <w:t xml:space="preserve">1–4 (Human Experience → Guided Understanding)</w:t>
            </w:r>
          </w:p>
        </w:tc>
        <w:tc>
          <w:tcPr>
            <w:tcW w:type="dxa" w:w="3900"/>
            <w:vAlign w:val="center"/>
          </w:tcPr>
          <w:p>
            <w:r>
              <w:rPr>
                <w:sz w:val="19"/>
                <w:szCs w:val="19"/>
              </w:rPr>
              <w:t xml:space="preserve">The PDF itself is genuinely substantive and closely tracks the Standard (I read it in full: Why Symbols Matter, a real Seek·Find·Make framework, worked examples). But the live page offers only two generic paragraphs before asking for a click-and-open of a 10-page, 5.5MB file — the load-bearing content is one extra, easy-to-skip step away from where the participant already is.</w:t>
            </w:r>
          </w:p>
        </w:tc>
        <w:tc>
          <w:tcPr>
            <w:tcW w:type="dxa" w:w="850"/>
            <w:shd w:fill="FDF1D2" w:val="clear"/>
            <w:vAlign w:val="center"/>
          </w:tcPr>
          <w:p>
            <w:r>
              <w:rPr>
                <w:b/>
                <w:bCs/>
                <w:sz w:val="19"/>
                <w:szCs w:val="19"/>
              </w:rPr>
              <w:t xml:space="preserve">STRENGTHEN</w:t>
            </w:r>
          </w:p>
        </w:tc>
        <w:tc>
          <w:tcPr>
            <w:tcW w:type="dxa" w:w="2760"/>
            <w:vAlign w:val="center"/>
          </w:tcPr>
          <w:p>
            <w:r>
              <w:rPr>
                <w:sz w:val="19"/>
                <w:szCs w:val="19"/>
              </w:rPr>
              <w:t xml:space="preserve">Bring the Seek·Find·Make framework (PDF p.6) onto the page itself as real HTML — the one idea a participant needs before Encounters shouldn't live only inside the download.</w:t>
            </w:r>
          </w:p>
        </w:tc>
      </w:tr>
      <w:tr>
        <w:tc>
          <w:tcPr>
            <w:tcW w:type="dxa" w:w="1500"/>
            <w:vAlign w:val="center"/>
          </w:tcPr>
          <w:p>
            <w:r>
              <w:rPr>
                <w:b/>
                <w:bCs/>
                <w:color w:val="1C2B3A"/>
                <w:sz w:val="19"/>
                <w:szCs w:val="19"/>
              </w:rPr>
              <w:t xml:space="preserve">Encounters — index (/encounters)</w:t>
            </w:r>
          </w:p>
        </w:tc>
        <w:tc>
          <w:tcPr>
            <w:tcW w:type="dxa" w:w="2350"/>
            <w:vAlign w:val="center"/>
          </w:tcPr>
          <w:p>
            <w:r>
              <w:rPr>
                <w:sz w:val="19"/>
                <w:szCs w:val="19"/>
              </w:rPr>
              <w:t xml:space="preserve">Hub introducing the five-part sequence (Journey/Deep/Table/Word/Continue) plus a gated Encounter Journal PDF.</w:t>
            </w:r>
          </w:p>
        </w:tc>
        <w:tc>
          <w:tcPr>
            <w:tcW w:type="dxa" w:w="1250"/>
            <w:vAlign w:val="center"/>
          </w:tcPr>
          <w:p>
            <w:r>
              <w:rPr>
                <w:sz w:val="19"/>
                <w:szCs w:val="19"/>
              </w:rPr>
              <w:t xml:space="preserve">2–3 (Story/Symbol entry)</w:t>
            </w:r>
          </w:p>
        </w:tc>
        <w:tc>
          <w:tcPr>
            <w:tcW w:type="dxa" w:w="3900"/>
            <w:vAlign w:val="center"/>
          </w:tcPr>
          <w:p>
            <w:r>
              <w:rPr>
                <w:sz w:val="19"/>
                <w:szCs w:val="19"/>
              </w:rPr>
              <w:t xml:space="preserve">Well-scoped for the Standard's own "brief encounter" depth tier (Section 6) — creates attention, entry, and a meaningful question without implying the brief encounter itself is transformative. The five mantras are an economical, effective device.</w:t>
            </w:r>
          </w:p>
        </w:tc>
        <w:tc>
          <w:tcPr>
            <w:tcW w:type="dxa" w:w="850"/>
            <w:shd w:fill="DCE9DC" w:val="clear"/>
            <w:vAlign w:val="center"/>
          </w:tcPr>
          <w:p>
            <w:r>
              <w:rPr>
                <w:b/>
                <w:bCs/>
                <w:sz w:val="19"/>
                <w:szCs w:val="19"/>
              </w:rPr>
              <w:t xml:space="preserve">KEEP</w:t>
            </w:r>
          </w:p>
        </w:tc>
        <w:tc>
          <w:tcPr>
            <w:tcW w:type="dxa" w:w="2760"/>
            <w:vAlign w:val="center"/>
          </w:tcPr>
          <w:p>
            <w:r>
              <w:rPr>
                <w:sz w:val="19"/>
                <w:szCs w:val="19"/>
              </w:rPr>
              <w:t xml:space="preserve">None.</w:t>
            </w:r>
          </w:p>
        </w:tc>
      </w:tr>
      <w:tr>
        <w:tc>
          <w:tcPr>
            <w:tcW w:type="dxa" w:w="1500"/>
            <w:vAlign w:val="center"/>
          </w:tcPr>
          <w:p>
            <w:r>
              <w:rPr>
                <w:b/>
                <w:bCs/>
                <w:color w:val="1C2B3A"/>
                <w:sz w:val="19"/>
                <w:szCs w:val="19"/>
              </w:rPr>
              <w:t xml:space="preserve">Individual Encounters (9 pages: Journey/Deep/Table/Word/Continue + Queen/Butterfly/Dragon/Mermaid/Vase)</w:t>
            </w:r>
          </w:p>
        </w:tc>
        <w:tc>
          <w:tcPr>
            <w:tcW w:type="dxa" w:w="2350"/>
            <w:vAlign w:val="center"/>
          </w:tcPr>
          <w:p>
            <w:r>
              <w:rPr>
                <w:sz w:val="19"/>
                <w:szCs w:val="19"/>
              </w:rPr>
              <w:t xml:space="preserve">Video + scripture + a two-part observation/reflection prompt.</w:t>
            </w:r>
          </w:p>
        </w:tc>
        <w:tc>
          <w:tcPr>
            <w:tcW w:type="dxa" w:w="1250"/>
            <w:vAlign w:val="center"/>
          </w:tcPr>
          <w:p>
            <w:r>
              <w:rPr>
                <w:sz w:val="19"/>
                <w:szCs w:val="19"/>
              </w:rPr>
              <w:t xml:space="preserve">3–5 (Symbol → Recognition), appropriately stopping there</w:t>
            </w:r>
          </w:p>
        </w:tc>
        <w:tc>
          <w:tcPr>
            <w:tcW w:type="dxa" w:w="3900"/>
            <w:vAlign w:val="center"/>
          </w:tcPr>
          <w:p>
            <w:r>
              <w:rPr>
                <w:sz w:val="19"/>
                <w:szCs w:val="19"/>
              </w:rPr>
              <w:t xml:space="preserve">Direct violation of the Standard's own Prompt Standard (Section 5). Queen and Butterfly — verified directly — share the identical observation and reflection prompt, word for word; only the name, video, and scripture differ. No story or guided understanding precedes the prompt on the page itself, and Section 5 names this exact pattern ("What do you notice first...", "stay with whatever rises") as language to reject unless a substantive path has already prepared the participant.</w:t>
            </w:r>
          </w:p>
        </w:tc>
        <w:tc>
          <w:tcPr>
            <w:tcW w:type="dxa" w:w="850"/>
            <w:shd w:fill="FDE6E0" w:val="clear"/>
            <w:vAlign w:val="center"/>
          </w:tcPr>
          <w:p>
            <w:r>
              <w:rPr>
                <w:b/>
                <w:bCs/>
                <w:sz w:val="19"/>
                <w:szCs w:val="19"/>
              </w:rPr>
              <w:t xml:space="preserve">REWRITE</w:t>
            </w:r>
          </w:p>
        </w:tc>
        <w:tc>
          <w:tcPr>
            <w:tcW w:type="dxa" w:w="2760"/>
            <w:vAlign w:val="center"/>
          </w:tcPr>
          <w:p>
            <w:r>
              <w:rPr>
                <w:sz w:val="19"/>
                <w:szCs w:val="19"/>
              </w:rPr>
              <w:t xml:space="preserve">Write one observation and one reflection prompt per encounter that responds to its specific image/scripture pairing. Only 2 of 9 were opened directly for this pass — check the remaining seven for the same duplication before rewriting all of them.</w:t>
            </w:r>
          </w:p>
        </w:tc>
      </w:tr>
      <w:tr>
        <w:tc>
          <w:tcPr>
            <w:tcW w:type="dxa" w:w="1500"/>
            <w:vAlign w:val="center"/>
          </w:tcPr>
          <w:p>
            <w:r>
              <w:rPr>
                <w:b/>
                <w:bCs/>
                <w:color w:val="1C2B3A"/>
                <w:sz w:val="19"/>
                <w:szCs w:val="19"/>
              </w:rPr>
              <w:t xml:space="preserve">Symbols (/symbols index + [slug] template, 20 entries)</w:t>
            </w:r>
          </w:p>
        </w:tc>
        <w:tc>
          <w:tcPr>
            <w:tcW w:type="dxa" w:w="2350"/>
            <w:vAlign w:val="center"/>
          </w:tcPr>
          <w:p>
            <w:r>
              <w:rPr>
                <w:sz w:val="19"/>
                <w:szCs w:val="19"/>
              </w:rPr>
              <w:t xml:space="preserve">Catalog of 20 symbols; each gets 3 one-word "meanings" and a scripture reference. 8 of 20 have the finished interactive card treatment.</w:t>
            </w:r>
          </w:p>
        </w:tc>
        <w:tc>
          <w:tcPr>
            <w:tcW w:type="dxa" w:w="1250"/>
            <w:vAlign w:val="center"/>
          </w:tcPr>
          <w:p>
            <w:r>
              <w:rPr>
                <w:sz w:val="19"/>
                <w:szCs w:val="19"/>
              </w:rPr>
              <w:t xml:space="preserve">3 (Symbol), light Stage 4 via scripture only</w:t>
            </w:r>
          </w:p>
        </w:tc>
        <w:tc>
          <w:tcPr>
            <w:tcW w:type="dxa" w:w="3900"/>
            <w:vAlign w:val="center"/>
          </w:tcPr>
          <w:p>
            <w:r>
              <w:rPr>
                <w:sz w:val="19"/>
                <w:szCs w:val="19"/>
              </w:rPr>
              <w:t xml:space="preserve">Closer to a glossary than a developed encounter — no originating human experience, no narrative context, no guided understanding, which the Standard's Poem-to-Experience Development Standard (Section 4) requires before a symbol is used. This is the thinnest content on the site relative to how much territory (20 entries) it claims to cover. The 12 without card art degrade gracefully to plain text rather than breaking, which is the right fallback.</w:t>
            </w:r>
          </w:p>
        </w:tc>
        <w:tc>
          <w:tcPr>
            <w:tcW w:type="dxa" w:w="850"/>
            <w:shd w:fill="FDF1D2" w:val="clear"/>
            <w:vAlign w:val="center"/>
          </w:tcPr>
          <w:p>
            <w:r>
              <w:rPr>
                <w:b/>
                <w:bCs/>
                <w:sz w:val="19"/>
                <w:szCs w:val="19"/>
              </w:rPr>
              <w:t xml:space="preserve">STRENGTHEN</w:t>
            </w:r>
          </w:p>
        </w:tc>
        <w:tc>
          <w:tcPr>
            <w:tcW w:type="dxa" w:w="2760"/>
            <w:vAlign w:val="center"/>
          </w:tcPr>
          <w:p>
            <w:r>
              <w:rPr>
                <w:sz w:val="19"/>
                <w:szCs w:val="19"/>
              </w:rPr>
              <w:t xml:space="preserve">Add 2–3 sentences of narrative/guided-understanding per symbol before adding more card art — the missing depth matters more than the missing polish.</w:t>
            </w:r>
          </w:p>
        </w:tc>
      </w:tr>
      <w:tr>
        <w:tc>
          <w:tcPr>
            <w:tcW w:type="dxa" w:w="1500"/>
            <w:vAlign w:val="center"/>
          </w:tcPr>
          <w:p>
            <w:r>
              <w:rPr>
                <w:b/>
                <w:bCs/>
                <w:color w:val="1C2B3A"/>
                <w:sz w:val="19"/>
                <w:szCs w:val="19"/>
              </w:rPr>
              <w:t xml:space="preserve">Workshops (/workshops)</w:t>
            </w:r>
          </w:p>
        </w:tc>
        <w:tc>
          <w:tcPr>
            <w:tcW w:type="dxa" w:w="2350"/>
            <w:vAlign w:val="center"/>
          </w:tcPr>
          <w:p>
            <w:r>
              <w:rPr>
                <w:sz w:val="19"/>
                <w:szCs w:val="19"/>
              </w:rPr>
              <w:t xml:space="preserve">The site's primary destination: full description of the practice, six Editions, facilitator background, format flexibility, one inquiry CTA.</w:t>
            </w:r>
          </w:p>
        </w:tc>
        <w:tc>
          <w:tcPr>
            <w:tcW w:type="dxa" w:w="1250"/>
            <w:vAlign w:val="center"/>
          </w:tcPr>
          <w:p>
            <w:r>
              <w:rPr>
                <w:sz w:val="19"/>
                <w:szCs w:val="19"/>
              </w:rPr>
              <w:t xml:space="preserve">Spans nearly the full path (1–11) in prose</w:t>
            </w:r>
          </w:p>
        </w:tc>
        <w:tc>
          <w:tcPr>
            <w:tcW w:type="dxa" w:w="3900"/>
            <w:vAlign w:val="center"/>
          </w:tcPr>
          <w:p>
            <w:r>
              <w:rPr>
                <w:sz w:val="19"/>
                <w:szCs w:val="19"/>
              </w:rPr>
              <w:t xml:space="preserve">The strongest page on the site by the Standard's own measure. It doesn't gesture at the practice, it explains the actual mechanism — noticing, then story/poetry, then conversation, then something carried forward — without overclaiming (explicitly "not counseling or therapy"). One code-hygiene note, no participant impact: the file's own header comment still calls this an "Unlisted Page," though it has led primary Nav since the 2026-08-18 New Paradigm.</w:t>
            </w:r>
          </w:p>
        </w:tc>
        <w:tc>
          <w:tcPr>
            <w:tcW w:type="dxa" w:w="850"/>
            <w:shd w:fill="DCE9DC" w:val="clear"/>
            <w:vAlign w:val="center"/>
          </w:tcPr>
          <w:p>
            <w:r>
              <w:rPr>
                <w:b/>
                <w:bCs/>
                <w:sz w:val="19"/>
                <w:szCs w:val="19"/>
              </w:rPr>
              <w:t xml:space="preserve">KEEP</w:t>
            </w:r>
          </w:p>
        </w:tc>
        <w:tc>
          <w:tcPr>
            <w:tcW w:type="dxa" w:w="2760"/>
            <w:vAlign w:val="center"/>
          </w:tcPr>
          <w:p>
            <w:r>
              <w:rPr>
                <w:sz w:val="19"/>
                <w:szCs w:val="19"/>
              </w:rPr>
              <w:t xml:space="preserve">Update the stale internal "Unlisted Page" comment for future editors; no participant-facing change needed.</w:t>
            </w:r>
          </w:p>
        </w:tc>
      </w:tr>
      <w:tr>
        <w:tc>
          <w:tcPr>
            <w:tcW w:type="dxa" w:w="1500"/>
            <w:vAlign w:val="center"/>
          </w:tcPr>
          <w:p>
            <w:r>
              <w:rPr>
                <w:b/>
                <w:bCs/>
                <w:color w:val="1C2B3A"/>
                <w:sz w:val="19"/>
                <w:szCs w:val="19"/>
              </w:rPr>
              <w:t xml:space="preserve">Collection (/collection)</w:t>
            </w:r>
          </w:p>
        </w:tc>
        <w:tc>
          <w:tcPr>
            <w:tcW w:type="dxa" w:w="2350"/>
            <w:vAlign w:val="center"/>
          </w:tcPr>
          <w:p>
            <w:r>
              <w:rPr>
                <w:sz w:val="19"/>
                <w:szCs w:val="19"/>
              </w:rPr>
              <w:t xml:space="preserve">(Historical) an Editions showcase.</w:t>
            </w:r>
          </w:p>
        </w:tc>
        <w:tc>
          <w:tcPr>
            <w:tcW w:type="dxa" w:w="1250"/>
            <w:vAlign w:val="center"/>
          </w:tcPr>
          <w:p>
            <w:r>
              <w:rPr>
                <w:sz w:val="19"/>
                <w:szCs w:val="19"/>
              </w:rPr>
              <w:t xml:space="preserve">N/A — retired</w:t>
            </w:r>
          </w:p>
        </w:tc>
        <w:tc>
          <w:tcPr>
            <w:tcW w:type="dxa" w:w="3900"/>
            <w:vAlign w:val="center"/>
          </w:tcPr>
          <w:p>
            <w:r>
              <w:rPr>
                <w:sz w:val="19"/>
                <w:szCs w:val="19"/>
              </w:rPr>
              <w:t xml:space="preserve">Correctly and deliberately retired: next.config.js permanently redirects /collection → /workshops#current-workshops, consistent with "Editions are now presented inside the workshop landscape, not through a competing Collection center." No participant ever reaches the old page. Its page.tsx file, however, still exists in the repo as dead code — no live risk, but a maintenance trap.</w:t>
            </w:r>
          </w:p>
        </w:tc>
        <w:tc>
          <w:tcPr>
            <w:tcW w:type="dxa" w:w="850"/>
            <w:shd w:fill="F1D2D2" w:val="clear"/>
            <w:vAlign w:val="center"/>
          </w:tcPr>
          <w:p>
            <w:r>
              <w:rPr>
                <w:b/>
                <w:bCs/>
                <w:sz w:val="19"/>
                <w:szCs w:val="19"/>
              </w:rPr>
              <w:t xml:space="preserve">REMOVE</w:t>
            </w:r>
          </w:p>
        </w:tc>
        <w:tc>
          <w:tcPr>
            <w:tcW w:type="dxa" w:w="2760"/>
            <w:vAlign w:val="center"/>
          </w:tcPr>
          <w:p>
            <w:r>
              <w:rPr>
                <w:sz w:val="19"/>
                <w:szCs w:val="19"/>
              </w:rPr>
              <w:t xml:space="preserve">Delete src/app/collection/page.tsx now that the redirect fully supersedes it. Zero participant impact either way — this is repo hygiene only.</w:t>
            </w:r>
          </w:p>
        </w:tc>
      </w:tr>
      <w:tr>
        <w:tc>
          <w:tcPr>
            <w:tcW w:type="dxa" w:w="1500"/>
            <w:vAlign w:val="center"/>
          </w:tcPr>
          <w:p>
            <w:r>
              <w:rPr>
                <w:b/>
                <w:bCs/>
                <w:color w:val="1C2B3A"/>
                <w:sz w:val="19"/>
                <w:szCs w:val="19"/>
              </w:rPr>
              <w:t xml:space="preserve">Editions — detail template (/editions/[slug]) + the Dragon "reader" (/editions/dragon/read)</w:t>
            </w:r>
          </w:p>
        </w:tc>
        <w:tc>
          <w:tcPr>
            <w:tcW w:type="dxa" w:w="2350"/>
            <w:vAlign w:val="center"/>
          </w:tcPr>
          <w:p>
            <w:r>
              <w:rPr>
                <w:sz w:val="19"/>
                <w:szCs w:val="19"/>
              </w:rPr>
              <w:t xml:space="preserve">Detail template: an "about" paragraph + themes + inquiry CTA per Edition. Separately: Dragon alone has a fully built sequential reading experience (frontispiece → encounter → image → poem → recognition → larger story → reflection → journal → message-delivered → living-message → colophon).</w:t>
            </w:r>
          </w:p>
        </w:tc>
        <w:tc>
          <w:tcPr>
            <w:tcW w:type="dxa" w:w="1250"/>
            <w:vAlign w:val="center"/>
          </w:tcPr>
          <w:p>
            <w:r>
              <w:rPr>
                <w:sz w:val="19"/>
                <w:szCs w:val="19"/>
              </w:rPr>
              <w:t xml:space="preserve">Detail template = 2–3 (teaser). Dragon reader = essentially 1–11 in one offering.</w:t>
            </w:r>
          </w:p>
        </w:tc>
        <w:tc>
          <w:tcPr>
            <w:tcW w:type="dxa" w:w="3900"/>
            <w:vAlign w:val="center"/>
          </w:tcPr>
          <w:p>
            <w:r>
              <w:rPr>
                <w:sz w:val="19"/>
                <w:szCs w:val="19"/>
              </w:rPr>
              <w:t xml:space="preserve">The single most important finding in this audit. Dragon's reader is the most complete embodiment of the entire Standard AwakenArts Forward Path anywhere on the site — and no page links to it, including Dragon's own detail page. Only a direct URL reaches it. The other five Editions (Bowls, Ballerina, Grismere, Poppy, Queen Ann) don't have this content built yet (empty sections: []), so they're honestly limited to the thinner about+themes template — fine as far as it goes, but it means only 1 of 6 Editions has real depth, and that one is undiscoverable.</w:t>
            </w:r>
          </w:p>
        </w:tc>
        <w:tc>
          <w:tcPr>
            <w:tcW w:type="dxa" w:w="850"/>
            <w:shd w:fill="FBE3C8" w:val="clear"/>
            <w:vAlign w:val="center"/>
          </w:tcPr>
          <w:p>
            <w:r>
              <w:rPr>
                <w:b/>
                <w:bCs/>
                <w:sz w:val="19"/>
                <w:szCs w:val="19"/>
              </w:rPr>
              <w:t xml:space="preserve">CONNECT</w:t>
            </w:r>
          </w:p>
        </w:tc>
        <w:tc>
          <w:tcPr>
            <w:tcW w:type="dxa" w:w="2760"/>
            <w:vAlign w:val="center"/>
          </w:tcPr>
          <w:p>
            <w:r>
              <w:rPr>
                <w:sz w:val="19"/>
                <w:szCs w:val="19"/>
              </w:rPr>
              <w:t xml:space="preserve">Add a link from Dragon's own /editions/dragon page (and ideally its Workshops card) into /editions/dragon/read. Very likely the highest-leverage single fix available: real, finished, substantive content just needs a door.</w:t>
            </w:r>
          </w:p>
        </w:tc>
      </w:tr>
      <w:tr>
        <w:tc>
          <w:tcPr>
            <w:tcW w:type="dxa" w:w="1500"/>
            <w:vAlign w:val="center"/>
          </w:tcPr>
          <w:p>
            <w:r>
              <w:rPr>
                <w:b/>
                <w:bCs/>
                <w:color w:val="1C2B3A"/>
                <w:sz w:val="19"/>
                <w:szCs w:val="19"/>
              </w:rPr>
              <w:t xml:space="preserve">Journal (/journal index + 5 territory pages, 25 entries)</w:t>
            </w:r>
          </w:p>
        </w:tc>
        <w:tc>
          <w:tcPr>
            <w:tcW w:type="dxa" w:w="2350"/>
            <w:vAlign w:val="center"/>
          </w:tcPr>
          <w:p>
            <w:r>
              <w:rPr>
                <w:sz w:val="19"/>
                <w:szCs w:val="19"/>
              </w:rPr>
              <w:t xml:space="preserve">Each entry pairs a one-line symbolic orientation with a reflection prompt and an art-journal prompt, organized into five territories.</w:t>
            </w:r>
          </w:p>
        </w:tc>
        <w:tc>
          <w:tcPr>
            <w:tcW w:type="dxa" w:w="1250"/>
            <w:vAlign w:val="center"/>
          </w:tcPr>
          <w:p>
            <w:r>
              <w:rPr>
                <w:sz w:val="19"/>
                <w:szCs w:val="19"/>
              </w:rPr>
              <w:t xml:space="preserve">6–7 (Articulation, Reflection)</w:t>
            </w:r>
          </w:p>
        </w:tc>
        <w:tc>
          <w:tcPr>
            <w:tcW w:type="dxa" w:w="3900"/>
            <w:vAlign w:val="center"/>
          </w:tcPr>
          <w:p>
            <w:r>
              <w:rPr>
                <w:sz w:val="19"/>
                <w:szCs w:val="19"/>
              </w:rPr>
              <w:t xml:space="preserve">Structurally the right idea, and unlike Symbols, every built entry is complete — no placeholder rows currently live, even though the code was written to support them gracefully if some are still "planned." The reflection prompts themselves are genuinely open and well-written, not vague or therapy-coded. The gap: each "orientation" is a single generic-symbolism sentence ("Doorways suggest thresholds, invitation, uncertainty...") with no story or personal grounding before the reflection question — the same prepared-ground gap as Symbols, one layer deeper into the path.</w:t>
            </w:r>
          </w:p>
        </w:tc>
        <w:tc>
          <w:tcPr>
            <w:tcW w:type="dxa" w:w="850"/>
            <w:shd w:fill="FDF1D2" w:val="clear"/>
            <w:vAlign w:val="center"/>
          </w:tcPr>
          <w:p>
            <w:r>
              <w:rPr>
                <w:b/>
                <w:bCs/>
                <w:sz w:val="19"/>
                <w:szCs w:val="19"/>
              </w:rPr>
              <w:t xml:space="preserve">STRENGTHEN</w:t>
            </w:r>
          </w:p>
        </w:tc>
        <w:tc>
          <w:tcPr>
            <w:tcW w:type="dxa" w:w="2760"/>
            <w:vAlign w:val="center"/>
          </w:tcPr>
          <w:p>
            <w:r>
              <w:rPr>
                <w:sz w:val="19"/>
                <w:szCs w:val="19"/>
              </w:rPr>
              <w:t xml:space="preserve">Add 2–4 sentences of narrative/context per entry between the orientation line and the reflection prompt, per Section 4's "story / narrative context" requirement.</w:t>
            </w:r>
          </w:p>
        </w:tc>
      </w:tr>
      <w:tr>
        <w:tc>
          <w:tcPr>
            <w:tcW w:type="dxa" w:w="1500"/>
            <w:vAlign w:val="center"/>
          </w:tcPr>
          <w:p>
            <w:r>
              <w:rPr>
                <w:b/>
                <w:bCs/>
                <w:color w:val="1C2B3A"/>
                <w:sz w:val="19"/>
                <w:szCs w:val="19"/>
              </w:rPr>
              <w:t xml:space="preserve">Foundation (/foundation)</w:t>
            </w:r>
          </w:p>
        </w:tc>
        <w:tc>
          <w:tcPr>
            <w:tcW w:type="dxa" w:w="2350"/>
            <w:vAlign w:val="center"/>
          </w:tcPr>
          <w:p>
            <w:r>
              <w:rPr>
                <w:sz w:val="19"/>
                <w:szCs w:val="19"/>
              </w:rPr>
              <w:t xml:space="preserve">Susan's personal statement of the Christian grounding beneath AwakenArts.</w:t>
            </w:r>
          </w:p>
        </w:tc>
        <w:tc>
          <w:tcPr>
            <w:tcW w:type="dxa" w:w="1250"/>
            <w:vAlign w:val="center"/>
          </w:tcPr>
          <w:p>
            <w:r>
              <w:rPr>
                <w:sz w:val="19"/>
                <w:szCs w:val="19"/>
              </w:rPr>
              <w:t xml:space="preserve">Credibility / trust-building</w:t>
            </w:r>
          </w:p>
        </w:tc>
        <w:tc>
          <w:tcPr>
            <w:tcW w:type="dxa" w:w="3900"/>
            <w:vAlign w:val="center"/>
          </w:tcPr>
          <w:p>
            <w:r>
              <w:rPr>
                <w:sz w:val="19"/>
                <w:szCs w:val="19"/>
              </w:rPr>
              <w:t xml:space="preserve">Clear, restrained, does exactly one job and does it honestly — doesn't try to double as marketing copy. Genuinely useful for a visitor deciding whether this practice is compatible with their own commitments.</w:t>
            </w:r>
          </w:p>
        </w:tc>
        <w:tc>
          <w:tcPr>
            <w:tcW w:type="dxa" w:w="850"/>
            <w:shd w:fill="DCE9DC" w:val="clear"/>
            <w:vAlign w:val="center"/>
          </w:tcPr>
          <w:p>
            <w:r>
              <w:rPr>
                <w:b/>
                <w:bCs/>
                <w:sz w:val="19"/>
                <w:szCs w:val="19"/>
              </w:rPr>
              <w:t xml:space="preserve">KEEP</w:t>
            </w:r>
          </w:p>
        </w:tc>
        <w:tc>
          <w:tcPr>
            <w:tcW w:type="dxa" w:w="2760"/>
            <w:vAlign w:val="center"/>
          </w:tcPr>
          <w:p>
            <w:r>
              <w:rPr>
                <w:sz w:val="19"/>
                <w:szCs w:val="19"/>
              </w:rPr>
              <w:t xml:space="preserve">None.</w:t>
            </w:r>
          </w:p>
        </w:tc>
      </w:tr>
      <w:tr>
        <w:tc>
          <w:tcPr>
            <w:tcW w:type="dxa" w:w="1500"/>
            <w:vAlign w:val="center"/>
          </w:tcPr>
          <w:p>
            <w:r>
              <w:rPr>
                <w:b/>
                <w:bCs/>
                <w:color w:val="1C2B3A"/>
                <w:sz w:val="19"/>
                <w:szCs w:val="19"/>
              </w:rPr>
              <w:t xml:space="preserve">About (/about)</w:t>
            </w:r>
          </w:p>
        </w:tc>
        <w:tc>
          <w:tcPr>
            <w:tcW w:type="dxa" w:w="2350"/>
            <w:vAlign w:val="center"/>
          </w:tcPr>
          <w:p>
            <w:r>
              <w:rPr>
                <w:sz w:val="19"/>
                <w:szCs w:val="19"/>
              </w:rPr>
              <w:t xml:space="preserve">Susan's bio, credentials, and the account of how the work developed.</w:t>
            </w:r>
          </w:p>
        </w:tc>
        <w:tc>
          <w:tcPr>
            <w:tcW w:type="dxa" w:w="1250"/>
            <w:vAlign w:val="center"/>
          </w:tcPr>
          <w:p>
            <w:r>
              <w:rPr>
                <w:sz w:val="19"/>
                <w:szCs w:val="19"/>
              </w:rPr>
              <w:t xml:space="preserve">Credibility</w:t>
            </w:r>
          </w:p>
        </w:tc>
        <w:tc>
          <w:tcPr>
            <w:tcW w:type="dxa" w:w="3900"/>
            <w:vAlign w:val="center"/>
          </w:tcPr>
          <w:p>
            <w:r>
              <w:rPr>
                <w:sz w:val="19"/>
                <w:szCs w:val="19"/>
              </w:rPr>
              <w:t xml:space="preserve">Answers the real question ("who is leading this, and are they qualified") without overclaiming clinical authority — explicitly disclaims therapy/diagnosis, which matters given the MA Counseling credential is named. Necessary and well-scoped.</w:t>
            </w:r>
          </w:p>
        </w:tc>
        <w:tc>
          <w:tcPr>
            <w:tcW w:type="dxa" w:w="850"/>
            <w:shd w:fill="DCE9DC" w:val="clear"/>
            <w:vAlign w:val="center"/>
          </w:tcPr>
          <w:p>
            <w:r>
              <w:rPr>
                <w:b/>
                <w:bCs/>
                <w:sz w:val="19"/>
                <w:szCs w:val="19"/>
              </w:rPr>
              <w:t xml:space="preserve">KEEP</w:t>
            </w:r>
          </w:p>
        </w:tc>
        <w:tc>
          <w:tcPr>
            <w:tcW w:type="dxa" w:w="2760"/>
            <w:vAlign w:val="center"/>
          </w:tcPr>
          <w:p>
            <w:r>
              <w:rPr>
                <w:sz w:val="19"/>
                <w:szCs w:val="19"/>
              </w:rPr>
              <w:t xml:space="preserve">None.</w:t>
            </w:r>
          </w:p>
        </w:tc>
      </w:tr>
      <w:tr>
        <w:tc>
          <w:tcPr>
            <w:tcW w:type="dxa" w:w="1500"/>
            <w:vAlign w:val="center"/>
          </w:tcPr>
          <w:p>
            <w:r>
              <w:rPr>
                <w:b/>
                <w:bCs/>
                <w:color w:val="1C2B3A"/>
                <w:sz w:val="19"/>
                <w:szCs w:val="19"/>
              </w:rPr>
              <w:t xml:space="preserve">/method (orphaned duplicate)</w:t>
            </w:r>
          </w:p>
        </w:tc>
        <w:tc>
          <w:tcPr>
            <w:tcW w:type="dxa" w:w="2350"/>
            <w:vAlign w:val="center"/>
          </w:tcPr>
          <w:p>
            <w:r>
              <w:rPr>
                <w:sz w:val="19"/>
                <w:szCs w:val="19"/>
              </w:rPr>
              <w:t xml:space="preserve">(Historical) the original standalone "Method" orientation page, superseded by /awakenarts-path.</w:t>
            </w:r>
          </w:p>
        </w:tc>
        <w:tc>
          <w:tcPr>
            <w:tcW w:type="dxa" w:w="1250"/>
            <w:vAlign w:val="center"/>
          </w:tcPr>
          <w:p>
            <w:r>
              <w:rPr>
                <w:sz w:val="19"/>
                <w:szCs w:val="19"/>
              </w:rPr>
              <w:t xml:space="preserve">N/A — superseded</w:t>
            </w:r>
          </w:p>
        </w:tc>
        <w:tc>
          <w:tcPr>
            <w:tcW w:type="dxa" w:w="3900"/>
            <w:vAlign w:val="center"/>
          </w:tcPr>
          <w:p>
            <w:r>
              <w:rPr>
                <w:sz w:val="19"/>
                <w:szCs w:val="19"/>
              </w:rPr>
              <w:t xml:space="preserve">Zero inbound links anywhere in the codebase, and — unlike /primer, which received a permanent redirect — no redirect exists for /method either. Noindexed, so search engines won't surface it, but it's still a live, reachable URL carrying outdated framing (a different title, different structure than the current Path). A genuine dead end for anyone arriving via an old bookmark or shared link.</w:t>
            </w:r>
          </w:p>
        </w:tc>
        <w:tc>
          <w:tcPr>
            <w:tcW w:type="dxa" w:w="850"/>
            <w:shd w:fill="F1D2D2" w:val="clear"/>
            <w:vAlign w:val="center"/>
          </w:tcPr>
          <w:p>
            <w:r>
              <w:rPr>
                <w:b/>
                <w:bCs/>
                <w:sz w:val="19"/>
                <w:szCs w:val="19"/>
              </w:rPr>
              <w:t xml:space="preserve">REMOVE</w:t>
            </w:r>
          </w:p>
        </w:tc>
        <w:tc>
          <w:tcPr>
            <w:tcW w:type="dxa" w:w="2760"/>
            <w:vAlign w:val="center"/>
          </w:tcPr>
          <w:p>
            <w:r>
              <w:rPr>
                <w:sz w:val="19"/>
                <w:szCs w:val="19"/>
              </w:rPr>
              <w:t xml:space="preserve">Either delete the page or add the same permanent redirect /method → /awakenarts-path that /primer already received.</w:t>
            </w:r>
          </w:p>
        </w:tc>
      </w:tr>
      <w:tr>
        <w:tc>
          <w:tcPr>
            <w:tcW w:type="dxa" w:w="1500"/>
            <w:vAlign w:val="center"/>
          </w:tcPr>
          <w:p>
            <w:r>
              <w:rPr>
                <w:b/>
                <w:bCs/>
                <w:color w:val="1C2B3A"/>
                <w:sz w:val="19"/>
                <w:szCs w:val="19"/>
              </w:rPr>
              <w:t xml:space="preserve">/sketchbook (unfinished, unconnected)</w:t>
            </w:r>
          </w:p>
        </w:tc>
        <w:tc>
          <w:tcPr>
            <w:tcW w:type="dxa" w:w="2350"/>
            <w:vAlign w:val="center"/>
          </w:tcPr>
          <w:p>
            <w:r>
              <w:rPr>
                <w:sz w:val="19"/>
                <w:szCs w:val="19"/>
              </w:rPr>
              <w:t xml:space="preserve">"The Artist's Sketchbook" — unclear scope from the outside; noindexed, no inbound links, appears to be actively in progress.</w:t>
            </w:r>
          </w:p>
        </w:tc>
        <w:tc>
          <w:tcPr>
            <w:tcW w:type="dxa" w:w="1250"/>
            <w:vAlign w:val="center"/>
          </w:tcPr>
          <w:p>
            <w:r>
              <w:rPr>
                <w:sz w:val="19"/>
                <w:szCs w:val="19"/>
              </w:rPr>
              <w:t xml:space="preserve">Undetermined</w:t>
            </w:r>
          </w:p>
        </w:tc>
        <w:tc>
          <w:tcPr>
            <w:tcW w:type="dxa" w:w="3900"/>
            <w:vAlign w:val="center"/>
          </w:tcPr>
          <w:p>
            <w:r>
              <w:rPr>
                <w:sz w:val="19"/>
                <w:szCs w:val="19"/>
              </w:rPr>
              <w:t xml:space="preserve">Can't be assessed against the Standard yet since it isn't finished or connected to anything. Flagging for a decision rather than assigning REMOVE, since this appears to be your own active work in progress.</w:t>
            </w:r>
          </w:p>
        </w:tc>
        <w:tc>
          <w:tcPr>
            <w:tcW w:type="dxa" w:w="850"/>
            <w:shd w:fill="FBE3C8" w:val="clear"/>
            <w:vAlign w:val="center"/>
          </w:tcPr>
          <w:p>
            <w:r>
              <w:rPr>
                <w:b/>
                <w:bCs/>
                <w:sz w:val="19"/>
                <w:szCs w:val="19"/>
              </w:rPr>
              <w:t xml:space="preserve">CONNECT (pending)</w:t>
            </w:r>
          </w:p>
        </w:tc>
        <w:tc>
          <w:tcPr>
            <w:tcW w:type="dxa" w:w="2760"/>
            <w:vAlign w:val="center"/>
          </w:tcPr>
          <w:p>
            <w:r>
              <w:rPr>
                <w:sz w:val="19"/>
                <w:szCs w:val="19"/>
              </w:rPr>
              <w:t xml:space="preserve">Your call: finish and connect it once ready, or keep it explicitly out of the audited participant path until then, so it isn't judged as if it were a finished offering.</w:t>
            </w:r>
          </w:p>
        </w:tc>
      </w:tr>
      <w:tr>
        <w:tc>
          <w:tcPr>
            <w:tcW w:type="dxa" w:w="1500"/>
            <w:vAlign w:val="center"/>
          </w:tcPr>
          <w:p>
            <w:r>
              <w:rPr>
                <w:b/>
                <w:bCs/>
                <w:color w:val="1C2B3A"/>
                <w:sz w:val="19"/>
                <w:szCs w:val="19"/>
              </w:rPr>
              <w:t xml:space="preserve">Navigation layer — Nav / WayfindingBand / Footer</w:t>
            </w:r>
          </w:p>
        </w:tc>
        <w:tc>
          <w:tcPr>
            <w:tcW w:type="dxa" w:w="2350"/>
            <w:vAlign w:val="center"/>
          </w:tcPr>
          <w:p>
            <w:r>
              <w:rPr>
                <w:sz w:val="19"/>
                <w:szCs w:val="19"/>
              </w:rPr>
              <w:t xml:space="preserve">Repeats a consistent five-destination architecture (Workshops, The Path, Symbols, Journal, About) at the top and bottom of every page.</w:t>
            </w:r>
          </w:p>
        </w:tc>
        <w:tc>
          <w:tcPr>
            <w:tcW w:type="dxa" w:w="1250"/>
            <w:vAlign w:val="center"/>
          </w:tcPr>
          <w:p>
            <w:r>
              <w:rPr>
                <w:sz w:val="19"/>
                <w:szCs w:val="19"/>
              </w:rPr>
              <w:t xml:space="preserve">Navigation layer — supports all stages</w:t>
            </w:r>
          </w:p>
        </w:tc>
        <w:tc>
          <w:tcPr>
            <w:tcW w:type="dxa" w:w="3900"/>
            <w:vAlign w:val="center"/>
          </w:tcPr>
          <w:p>
            <w:r>
              <w:rPr>
                <w:sz w:val="19"/>
                <w:szCs w:val="19"/>
              </w:rPr>
              <w:t xml:space="preserve">The consistency itself is a real strength: a participant always knows where the five "front doors" are. The gap is what's missing: neither Nav nor WayfindingBand offers any way back to Encounters or the Dragon reader once a visitor leaves whichever page happened to link there — even though Encounters is, per your own editorial-roles documentation, the second stage of the whole path. Footer does carry Encounters and Gallery in its Explore column, so they're not fully unreachable, just one tier down from the primary five.</w:t>
            </w:r>
          </w:p>
        </w:tc>
        <w:tc>
          <w:tcPr>
            <w:tcW w:type="dxa" w:w="850"/>
            <w:shd w:fill="FDF1D2" w:val="clear"/>
            <w:vAlign w:val="center"/>
          </w:tcPr>
          <w:p>
            <w:r>
              <w:rPr>
                <w:b/>
                <w:bCs/>
                <w:sz w:val="19"/>
                <w:szCs w:val="19"/>
              </w:rPr>
              <w:t xml:space="preserve">STRENGTHEN</w:t>
            </w:r>
          </w:p>
        </w:tc>
        <w:tc>
          <w:tcPr>
            <w:tcW w:type="dxa" w:w="2760"/>
            <w:vAlign w:val="center"/>
          </w:tcPr>
          <w:p>
            <w:r>
              <w:rPr>
                <w:sz w:val="19"/>
                <w:szCs w:val="19"/>
              </w:rPr>
              <w:t xml:space="preserve">Decide deliberately whether Encounters belongs in the primary five now that Workshops leads. Right now it's reachable only via Footer or an in-page link, which undersells a stage your own documentation calls essential.</w:t>
            </w:r>
          </w:p>
        </w:tc>
      </w:tr>
    </w:tbl>
    <w:p>
      <w:pPr>
        <w:pStyle w:val="Heading1"/>
        <w:spacing w:after="160" w:before="360"/>
      </w:pPr>
      <w:r>
        <w:rPr>
          <w:b/>
          <w:bCs/>
          <w:color w:val="1C2B3A"/>
          <w:sz w:val="28"/>
          <w:szCs w:val="28"/>
        </w:rPr>
        <w:t xml:space="preserve">Suggested Order of Operations</w:t>
      </w:r>
    </w:p>
    <w:p>
      <w:pPr>
        <w:pStyle w:val="ListParagraph"/>
        <w:numPr>
          <w:ilvl w:val="0"/>
          <w:numId w:val="1"/>
        </w:numPr>
        <w:spacing w:after="100" w:line="280"/>
      </w:pPr>
      <w:r>
        <w:rPr>
          <w:sz w:val="21"/>
          <w:szCs w:val="21"/>
        </w:rPr>
        <w:t xml:space="preserve">Link the Dragon reader from Dragon's own Edition page — highest value, near-zero cost.</w:t>
      </w:r>
    </w:p>
    <w:p>
      <w:pPr>
        <w:pStyle w:val="ListParagraph"/>
        <w:numPr>
          <w:ilvl w:val="0"/>
          <w:numId w:val="1"/>
        </w:numPr>
        <w:spacing w:after="100" w:line="280"/>
      </w:pPr>
      <w:r>
        <w:rPr>
          <w:sz w:val="21"/>
          <w:szCs w:val="21"/>
        </w:rPr>
        <w:t xml:space="preserve">Check and, where needed, rewrite the remaining seven Encounter prompts so none of the nine repeat verbatim.</w:t>
      </w:r>
    </w:p>
    <w:p>
      <w:pPr>
        <w:pStyle w:val="ListParagraph"/>
        <w:numPr>
          <w:ilvl w:val="0"/>
          <w:numId w:val="1"/>
        </w:numPr>
        <w:spacing w:after="100" w:line="280"/>
      </w:pPr>
      <w:r>
        <w:rPr>
          <w:sz w:val="21"/>
          <w:szCs w:val="21"/>
        </w:rPr>
        <w:t xml:space="preserve">Decide /method and /sketchbook's fate (redirect/delete the former; connect or hold the latter).</w:t>
      </w:r>
    </w:p>
    <w:p>
      <w:pPr>
        <w:pStyle w:val="ListParagraph"/>
        <w:numPr>
          <w:ilvl w:val="0"/>
          <w:numId w:val="1"/>
        </w:numPr>
        <w:spacing w:after="100" w:line="280"/>
      </w:pPr>
      <w:r>
        <w:rPr>
          <w:sz w:val="21"/>
          <w:szCs w:val="21"/>
        </w:rPr>
        <w:t xml:space="preserve">Add narrative/guided-understanding sentences to Symbols and Journal entries — Symbols first, since it's thinner relative to its 20-entry scope.</w:t>
      </w:r>
    </w:p>
    <w:p>
      <w:pPr>
        <w:pStyle w:val="ListParagraph"/>
        <w:numPr>
          <w:ilvl w:val="0"/>
          <w:numId w:val="1"/>
        </w:numPr>
        <w:spacing w:after="100" w:line="280"/>
      </w:pPr>
      <w:r>
        <w:rPr>
          <w:sz w:val="21"/>
          <w:szCs w:val="21"/>
        </w:rPr>
        <w:t xml:space="preserve">Reconcile the homepage's leftover "collection" id/eyebrow and the Workshops page's stale "Unlisted Page" comment — low-urgency code hygiene.</w:t>
      </w:r>
    </w:p>
    <w:p>
      <w:pPr>
        <w:pStyle w:val="ListParagraph"/>
        <w:numPr>
          <w:ilvl w:val="0"/>
          <w:numId w:val="1"/>
        </w:numPr>
        <w:spacing w:after="100" w:line="280"/>
      </w:pPr>
      <w:r>
        <w:rPr>
          <w:sz w:val="21"/>
          <w:szCs w:val="21"/>
        </w:rPr>
        <w:t xml:space="preserve">Revisit whether Encounters deserves a primary-nav slot now that Workshops leads the site.</w:t>
      </w:r>
    </w:p>
    <w:p>
      <w:pPr>
        <w:spacing w:before="300"/>
      </w:pPr>
      <w:r>
        <w:rPr>
          <w:i/>
          <w:iCs/>
          <w:color w:val="999999"/>
          <w:sz w:val="19"/>
          <w:szCs w:val="19"/>
        </w:rPr>
        <w:t xml:space="preserve">This is a first pass, not a complete inventory — the Encounters, Journal, and Symbols categories each contain more individual entries than I opened directly (I sampled representative pages and verified structural claims like inbound-link counts and redirects directly against the code). Flag anything here that doesn't match what you're seeing, and I'll dig into that specific page before we touch it.</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2026-08-19T12:44:55.540Z</dcterms:created>
  <dcterms:modified xsi:type="dcterms:W3CDTF">2026-08-19T12:44:55.540Z</dcterms:modified>
</cp:coreProperties>
</file>

<file path=docProps/custom.xml><?xml version="1.0" encoding="utf-8"?>
<Properties xmlns="http://schemas.openxmlformats.org/officeDocument/2006/custom-properties" xmlns:vt="http://schemas.openxmlformats.org/officeDocument/2006/docPropsVTypes"/>
</file>