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C2B3A"/>
          <w:sz w:val="36"/>
          <w:szCs w:val="36"/>
        </w:rPr>
        <w:t xml:space="preserve">AwakenArts — Rework Pass 2 Audit</w:t>
      </w:r>
    </w:p>
    <w:p>
      <w:pPr>
        <w:spacing w:after="40"/>
      </w:pPr>
      <w:r>
        <w:rPr>
          <w:i/>
          <w:iCs/>
          <w:color w:val="8B6914"/>
          <w:sz w:val="22"/>
          <w:szCs w:val="22"/>
        </w:rPr>
        <w:t xml:space="preserve">From Recognition to Practiced Forward Movement — re-audit against the Pass 2 Growth Path</w:t>
      </w:r>
    </w:p>
    <w:p>
      <w:pPr>
        <w:spacing w:after="300"/>
      </w:pPr>
      <w:r>
        <w:rPr>
          <w:color w:val="999999"/>
          <w:sz w:val="19"/>
          <w:szCs w:val="19"/>
        </w:rPr>
        <w:t xml:space="preserve">Prepared by Claude · Per the Pass 2 directive: audit first, do not polish copy. No copy or code has been changed.</w:t>
      </w:r>
    </w:p>
    <w:p>
      <w:pPr>
        <w:pStyle w:val="Heading1"/>
        <w:spacing w:after="160" w:before="360"/>
      </w:pPr>
      <w:r>
        <w:rPr>
          <w:b/>
          <w:bCs/>
          <w:color w:val="1C2B3A"/>
          <w:sz w:val="28"/>
          <w:szCs w:val="28"/>
        </w:rPr>
        <w:t xml:space="preserve">Executive Summary</w:t>
      </w:r>
    </w:p>
    <w:p>
      <w:pPr>
        <w:spacing w:after="160" w:line="300"/>
      </w:pPr>
      <w:r>
        <w:rPr>
          <w:sz w:val="21"/>
          <w:szCs w:val="21"/>
        </w:rPr>
        <w:t xml:space="preserve">Re-reading the existing site against the Pass 2 standard changes very little about what I found weak in Pass 1, but it changes why it's weak, and it raises the bar on what fixing it requires. Pass 1 mostly asked whether something did meaningful work at all. Pass 2 asks whether it moves a participant somewhere — into a story, into a pattern they can name, into a perspective they didn't have, into something they can rehearse and carry out the door. Almost nothing on the site currently reaches that far. Even Dragon's reader, the strongest single piece of content I found in Pass 1, stops at reflection and journaling; it never asks the participant to rehearse a different response or come back later to check what changed. That's not a criticism unique to Dragon — it's the honest ceiling of what exists anywhere on AwakenArts today.</w:t>
      </w:r>
    </w:p>
    <w:p>
      <w:pPr>
        <w:spacing w:after="160" w:line="300"/>
      </w:pPr>
      <w:r>
        <w:rPr>
          <w:sz w:val="21"/>
          <w:szCs w:val="21"/>
        </w:rPr>
        <w:t xml:space="preserve">Your note that this isn't about you, it's about the participant, is the right correction and it shows up concretely in this audit: the pages that are genuinely about you — Foundation, About — are appropriately about you, for credibility, and I've kept them that way. Everywhere else, the standard I applied was whether the participant is the one doing the moving. Recognition-only prompts fail that test even when they're beautifully written, because recognition is something that happens to a participant, not something they carry forward and do something with.</w:t>
      </w:r>
    </w:p>
    <w:p>
      <w:pPr>
        <w:spacing w:after="160" w:line="300"/>
      </w:pPr>
      <w:r>
        <w:rPr>
          <w:sz w:val="21"/>
          <w:szCs w:val="21"/>
        </w:rPr>
        <w:t xml:space="preserve">The largest single implication of this directive is the "Application to Where You Stand" content plan. I want to be direct about its size: of the eleven movements it names, only Queen Ann has real existing material to build from — an actual poem, a built Encounter, homepage presence, and edition theme language already pointing at this exact conflict. Everything else — Kings &amp; Queens, What Happens Between Us, A Different Point of View, King above all, The World We Share, Finding Strength, Opposing Sides, the closing movement — does not exist yet in any form. King in particular is a single placeholder name in the Journal data with no poem, page, or content behind it, and a new symbolic figure and poem is exactly the kind of authorship AwakenArts' own standing rule reserves for you, not for AI generation. I can architect the sequence, write the reflective scaffolding and prompts once source material exists, and design how "return" actually works as a web interaction — but the Kingdom narrative and the King poem itself need to come from you.</w:t>
      </w:r>
    </w:p>
    <w:p>
      <w:pPr>
        <w:spacing w:after="160" w:line="300"/>
      </w:pPr>
      <w:r>
        <w:rPr>
          <w:sz w:val="21"/>
          <w:szCs w:val="21"/>
        </w:rPr>
        <w:t xml:space="preserve">My recommendation is to prove the Pass 2 model once, cheaply, before rebuilding anything at scale: take the one Edition with real existing material (Queen Ann) and the one built reader that already goes furthest (Dragon), close their gaps first — rehearsal, practice, return — and use whichever works better as the template for the other twenty-four Journal entries and five remaining Editions, rather than rewriting all of them against a standard that hasn't been tested yet.</w:t>
      </w:r>
    </w:p>
    <w:p>
      <w:pPr>
        <w:pStyle w:val="Heading1"/>
        <w:spacing w:after="160" w:before="360"/>
      </w:pPr>
      <w:r>
        <w:rPr>
          <w:b/>
          <w:bCs/>
          <w:color w:val="1C2B3A"/>
          <w:sz w:val="28"/>
          <w:szCs w:val="28"/>
        </w:rPr>
        <w:t xml:space="preserve">Element Audit — Pass 2 Standard</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1450"/>
        <w:gridCol w:w="800"/>
        <w:gridCol w:w="1750"/>
        <w:gridCol w:w="2450"/>
        <w:gridCol w:w="1950"/>
        <w:gridCol w:w="2450"/>
        <w:gridCol w:w="1050"/>
      </w:tblGrid>
      <w:tr>
        <w:trPr>
          <w:tblHeader/>
        </w:trPr>
        <w:tc>
          <w:tcPr>
            <w:tcW w:type="dxa" w:w="1450"/>
            <w:shd w:fill="1C2B3A" w:val="clear"/>
            <w:vAlign w:val="center"/>
          </w:tcPr>
          <w:p>
            <w:r>
              <w:rPr>
                <w:b/>
                <w:bCs/>
                <w:color w:val="FFFFFF"/>
                <w:sz w:val="18"/>
                <w:szCs w:val="18"/>
              </w:rPr>
              <w:t xml:space="preserve">Element</w:t>
            </w:r>
          </w:p>
        </w:tc>
        <w:tc>
          <w:tcPr>
            <w:tcW w:type="dxa" w:w="800"/>
            <w:shd w:fill="1C2B3A" w:val="clear"/>
            <w:vAlign w:val="center"/>
          </w:tcPr>
          <w:p>
            <w:r>
              <w:rPr>
                <w:b/>
                <w:bCs/>
                <w:color w:val="FFFFFF"/>
                <w:sz w:val="18"/>
                <w:szCs w:val="18"/>
              </w:rPr>
              <w:t xml:space="preserve">Decision</w:t>
            </w:r>
          </w:p>
        </w:tc>
        <w:tc>
          <w:tcPr>
            <w:tcW w:type="dxa" w:w="1750"/>
            <w:shd w:fill="1C2B3A" w:val="clear"/>
            <w:vAlign w:val="center"/>
          </w:tcPr>
          <w:p>
            <w:r>
              <w:rPr>
                <w:b/>
                <w:bCs/>
                <w:color w:val="FFFFFF"/>
                <w:sz w:val="18"/>
                <w:szCs w:val="18"/>
              </w:rPr>
              <w:t xml:space="preserve">Human Purpose</w:t>
            </w:r>
          </w:p>
        </w:tc>
        <w:tc>
          <w:tcPr>
            <w:tcW w:type="dxa" w:w="2450"/>
            <w:shd w:fill="1C2B3A" w:val="clear"/>
            <w:vAlign w:val="center"/>
          </w:tcPr>
          <w:p>
            <w:r>
              <w:rPr>
                <w:b/>
                <w:bCs/>
                <w:color w:val="FFFFFF"/>
                <w:sz w:val="18"/>
                <w:szCs w:val="18"/>
              </w:rPr>
              <w:t xml:space="preserve">Current Weakness (Pass 2 standard)</w:t>
            </w:r>
          </w:p>
        </w:tc>
        <w:tc>
          <w:tcPr>
            <w:tcW w:type="dxa" w:w="1950"/>
            <w:shd w:fill="1C2B3A" w:val="clear"/>
            <w:vAlign w:val="center"/>
          </w:tcPr>
          <w:p>
            <w:r>
              <w:rPr>
                <w:b/>
                <w:bCs/>
                <w:color w:val="FFFFFF"/>
                <w:sz w:val="18"/>
                <w:szCs w:val="18"/>
              </w:rPr>
              <w:t xml:space="preserve">Developmental Function Added</w:t>
            </w:r>
          </w:p>
        </w:tc>
        <w:tc>
          <w:tcPr>
            <w:tcW w:type="dxa" w:w="2450"/>
            <w:shd w:fill="1C2B3A" w:val="clear"/>
            <w:vAlign w:val="center"/>
          </w:tcPr>
          <w:p>
            <w:r>
              <w:rPr>
                <w:b/>
                <w:bCs/>
                <w:color w:val="FFFFFF"/>
                <w:sz w:val="18"/>
                <w:szCs w:val="18"/>
              </w:rPr>
              <w:t xml:space="preserve">Minimum Effective Change</w:t>
            </w:r>
          </w:p>
        </w:tc>
        <w:tc>
          <w:tcPr>
            <w:tcW w:type="dxa" w:w="1050"/>
            <w:shd w:fill="1C2B3A" w:val="clear"/>
            <w:vAlign w:val="center"/>
          </w:tcPr>
          <w:p>
            <w:r>
              <w:rPr>
                <w:b/>
                <w:bCs/>
                <w:color w:val="FFFFFF"/>
                <w:sz w:val="18"/>
                <w:szCs w:val="18"/>
              </w:rPr>
              <w:t xml:space="preserve">Belongs In</w:t>
            </w:r>
          </w:p>
        </w:tc>
      </w:tr>
      <w:tr>
        <w:tc>
          <w:tcPr>
            <w:tcW w:type="dxa" w:w="1450"/>
            <w:vAlign w:val="center"/>
          </w:tcPr>
          <w:p>
            <w:r>
              <w:rPr>
                <w:b/>
                <w:bCs/>
                <w:color w:val="1C2B3A"/>
                <w:sz w:val="18"/>
                <w:szCs w:val="18"/>
              </w:rPr>
              <w:t xml:space="preserve">System-level: does a full Pass 2 sequence exist anywhere?</w:t>
            </w:r>
          </w:p>
        </w:tc>
        <w:tc>
          <w:tcPr>
            <w:tcW w:type="dxa" w:w="800"/>
            <w:shd w:fill="D9E7F5" w:val="clear"/>
            <w:vAlign w:val="center"/>
          </w:tcPr>
          <w:p>
            <w:r>
              <w:rPr>
                <w:b/>
                <w:bCs/>
                <w:sz w:val="18"/>
                <w:szCs w:val="18"/>
              </w:rPr>
              <w:t xml:space="preserve">DEEPEN</w:t>
            </w:r>
          </w:p>
        </w:tc>
        <w:tc>
          <w:tcPr>
            <w:tcW w:type="dxa" w:w="1750"/>
            <w:vAlign w:val="center"/>
          </w:tcPr>
          <w:p>
            <w:r>
              <w:rPr>
                <w:sz w:val="18"/>
                <w:szCs w:val="18"/>
              </w:rPr>
              <w:t xml:space="preserve">Determine whether any single experience already carries a participant from awareness through rehearsal, practice, and return.</w:t>
            </w:r>
          </w:p>
        </w:tc>
        <w:tc>
          <w:tcPr>
            <w:tcW w:type="dxa" w:w="2450"/>
            <w:vAlign w:val="center"/>
          </w:tcPr>
          <w:p>
            <w:r>
              <w:rPr>
                <w:sz w:val="18"/>
                <w:szCs w:val="18"/>
              </w:rPr>
              <w:t xml:space="preserve">Only the Dragon Edition reader (unlinked — see Pass 1) approaches this, and even it stops after reflection/journal; no rehearsal, practice, or return beat exists there or anywhere else on the site.</w:t>
            </w:r>
          </w:p>
        </w:tc>
        <w:tc>
          <w:tcPr>
            <w:tcW w:type="dxa" w:w="1950"/>
            <w:vAlign w:val="center"/>
          </w:tcPr>
          <w:p>
            <w:r>
              <w:rPr>
                <w:sz w:val="18"/>
                <w:szCs w:val="18"/>
              </w:rPr>
              <w:t xml:space="preserve">Stages 9–11: Rehearsal, Practice/Application, Return/Review.</w:t>
            </w:r>
          </w:p>
        </w:tc>
        <w:tc>
          <w:tcPr>
            <w:tcW w:type="dxa" w:w="2450"/>
            <w:vAlign w:val="center"/>
          </w:tcPr>
          <w:p>
            <w:r>
              <w:rPr>
                <w:sz w:val="18"/>
                <w:szCs w:val="18"/>
              </w:rPr>
              <w:t xml:space="preserve">Add explicit rehearsal + carry-forward + return prompts to Dragon's reader before building new sequences elsewhere — proves the model once, cheaply, before scaling it.</w:t>
            </w:r>
          </w:p>
        </w:tc>
        <w:tc>
          <w:tcPr>
            <w:tcW w:type="dxa" w:w="1050"/>
            <w:vAlign w:val="center"/>
          </w:tcPr>
          <w:p>
            <w:r>
              <w:rPr>
                <w:sz w:val="18"/>
                <w:szCs w:val="18"/>
              </w:rPr>
              <w:t xml:space="preserve">Journal + Workshop</w:t>
            </w:r>
          </w:p>
        </w:tc>
      </w:tr>
      <w:tr>
        <w:tc>
          <w:tcPr>
            <w:tcW w:type="dxa" w:w="1450"/>
            <w:vAlign w:val="center"/>
          </w:tcPr>
          <w:p>
            <w:r>
              <w:rPr>
                <w:b/>
                <w:bCs/>
                <w:color w:val="1C2B3A"/>
                <w:sz w:val="18"/>
                <w:szCs w:val="18"/>
              </w:rPr>
              <w:t xml:space="preserve">Individual Encounters (9 pages)</w:t>
            </w:r>
          </w:p>
        </w:tc>
        <w:tc>
          <w:tcPr>
            <w:tcW w:type="dxa" w:w="800"/>
            <w:shd w:fill="FDE6E0" w:val="clear"/>
            <w:vAlign w:val="center"/>
          </w:tcPr>
          <w:p>
            <w:r>
              <w:rPr>
                <w:b/>
                <w:bCs/>
                <w:sz w:val="18"/>
                <w:szCs w:val="18"/>
              </w:rPr>
              <w:t xml:space="preserve">REWRITE</w:t>
            </w:r>
          </w:p>
        </w:tc>
        <w:tc>
          <w:tcPr>
            <w:tcW w:type="dxa" w:w="1750"/>
            <w:vAlign w:val="center"/>
          </w:tcPr>
          <w:p>
            <w:r>
              <w:rPr>
                <w:sz w:val="18"/>
                <w:szCs w:val="18"/>
              </w:rPr>
              <w:t xml:space="preserve">Give a participant a specific, relatable human situation to enter — not a generic invitation to notice an image.</w:t>
            </w:r>
          </w:p>
        </w:tc>
        <w:tc>
          <w:tcPr>
            <w:tcW w:type="dxa" w:w="2450"/>
            <w:vAlign w:val="center"/>
          </w:tcPr>
          <w:p>
            <w:r>
              <w:rPr>
                <w:sz w:val="18"/>
                <w:szCs w:val="18"/>
              </w:rPr>
              <w:t xml:space="preserve">Confirmed in Pass 1: Queen and Butterfly share verbatim observation/reflection prompts. No story, no named human concern, no pattern, no perspective — the experience stops at Stage 3–4 and goes no further, for any of the nine.</w:t>
            </w:r>
          </w:p>
        </w:tc>
        <w:tc>
          <w:tcPr>
            <w:tcW w:type="dxa" w:w="1950"/>
            <w:vAlign w:val="center"/>
          </w:tcPr>
          <w:p>
            <w:r>
              <w:rPr>
                <w:sz w:val="18"/>
                <w:szCs w:val="18"/>
              </w:rPr>
              <w:t xml:space="preserve">Stage 1 (name the human concern), Stage 2 (minimal story), Stage 6 (pattern-aware reflection).</w:t>
            </w:r>
          </w:p>
        </w:tc>
        <w:tc>
          <w:tcPr>
            <w:tcW w:type="dxa" w:w="2450"/>
            <w:vAlign w:val="center"/>
          </w:tcPr>
          <w:p>
            <w:r>
              <w:rPr>
                <w:sz w:val="18"/>
                <w:szCs w:val="18"/>
              </w:rPr>
              <w:t xml:space="preserve">Replace the shared two-prompt template with one unique observation + reflection prompt per encounter, each naming or implying that encounter's specific human concern (Queen Ann → departure/self-preservation, per the content plan below).</w:t>
            </w:r>
          </w:p>
        </w:tc>
        <w:tc>
          <w:tcPr>
            <w:tcW w:type="dxa" w:w="1050"/>
            <w:vAlign w:val="center"/>
          </w:tcPr>
          <w:p>
            <w:r>
              <w:rPr>
                <w:sz w:val="18"/>
                <w:szCs w:val="18"/>
              </w:rPr>
              <w:t xml:space="preserve">Website</w:t>
            </w:r>
          </w:p>
        </w:tc>
      </w:tr>
      <w:tr>
        <w:tc>
          <w:tcPr>
            <w:tcW w:type="dxa" w:w="1450"/>
            <w:vAlign w:val="center"/>
          </w:tcPr>
          <w:p>
            <w:r>
              <w:rPr>
                <w:b/>
                <w:bCs/>
                <w:color w:val="1C2B3A"/>
                <w:sz w:val="18"/>
                <w:szCs w:val="18"/>
              </w:rPr>
              <w:t xml:space="preserve">Symbols (20 entries)</w:t>
            </w:r>
          </w:p>
        </w:tc>
        <w:tc>
          <w:tcPr>
            <w:tcW w:type="dxa" w:w="800"/>
            <w:shd w:fill="F1D2D2" w:val="clear"/>
            <w:vAlign w:val="center"/>
          </w:tcPr>
          <w:p>
            <w:r>
              <w:rPr>
                <w:b/>
                <w:bCs/>
                <w:sz w:val="18"/>
                <w:szCs w:val="18"/>
              </w:rPr>
              <w:t xml:space="preserve">REBUILD (selected) / KEEP (rest, relabeled)</w:t>
            </w:r>
          </w:p>
        </w:tc>
        <w:tc>
          <w:tcPr>
            <w:tcW w:type="dxa" w:w="1750"/>
            <w:vAlign w:val="center"/>
          </w:tcPr>
          <w:p>
            <w:r>
              <w:rPr>
                <w:sz w:val="18"/>
                <w:szCs w:val="18"/>
              </w:rPr>
              <w:t xml:space="preserve">Let a participant recognize a symbol as a way into a real human tension, not memorize a definition.</w:t>
            </w:r>
          </w:p>
        </w:tc>
        <w:tc>
          <w:tcPr>
            <w:tcW w:type="dxa" w:w="2450"/>
            <w:vAlign w:val="center"/>
          </w:tcPr>
          <w:p>
            <w:r>
              <w:rPr>
                <w:sz w:val="18"/>
                <w:szCs w:val="18"/>
              </w:rPr>
              <w:t xml:space="preserve">20 entries are three meanings + a scripture reference — exactly the "glossary object" failure mode Pass 2 names directly.</w:t>
            </w:r>
          </w:p>
        </w:tc>
        <w:tc>
          <w:tcPr>
            <w:tcW w:type="dxa" w:w="1950"/>
            <w:vAlign w:val="center"/>
          </w:tcPr>
          <w:p>
            <w:r>
              <w:rPr>
                <w:sz w:val="18"/>
                <w:szCs w:val="18"/>
              </w:rPr>
              <w:t xml:space="preserve">Story/human tension (Stage 1–2), guided understanding (reliable knowledge, not just a citation).</w:t>
            </w:r>
          </w:p>
        </w:tc>
        <w:tc>
          <w:tcPr>
            <w:tcW w:type="dxa" w:w="2450"/>
            <w:vAlign w:val="center"/>
          </w:tcPr>
          <w:p>
            <w:r>
              <w:rPr>
                <w:sz w:val="18"/>
                <w:szCs w:val="18"/>
              </w:rPr>
              <w:t xml:space="preserve">Per Pass 2's own instruction, don't deepen all 20 at once. Choose 3–5 (ideally ones already tied to a Workshop Edition) and develop each into a short human-tension narrative; explicitly relabel the rest as a lighter reference layer rather than implying equal depth.</w:t>
            </w:r>
          </w:p>
        </w:tc>
        <w:tc>
          <w:tcPr>
            <w:tcW w:type="dxa" w:w="1050"/>
            <w:vAlign w:val="center"/>
          </w:tcPr>
          <w:p>
            <w:r>
              <w:rPr>
                <w:sz w:val="18"/>
                <w:szCs w:val="18"/>
              </w:rPr>
              <w:t xml:space="preserve">Website</w:t>
            </w:r>
          </w:p>
        </w:tc>
      </w:tr>
      <w:tr>
        <w:tc>
          <w:tcPr>
            <w:tcW w:type="dxa" w:w="1450"/>
            <w:vAlign w:val="center"/>
          </w:tcPr>
          <w:p>
            <w:r>
              <w:rPr>
                <w:b/>
                <w:bCs/>
                <w:color w:val="1C2B3A"/>
                <w:sz w:val="18"/>
                <w:szCs w:val="18"/>
              </w:rPr>
              <w:t xml:space="preserve">Journal entries (25, across 5 territories)</w:t>
            </w:r>
          </w:p>
        </w:tc>
        <w:tc>
          <w:tcPr>
            <w:tcW w:type="dxa" w:w="800"/>
            <w:shd w:fill="F1D2D2" w:val="clear"/>
            <w:vAlign w:val="center"/>
          </w:tcPr>
          <w:p>
            <w:r>
              <w:rPr>
                <w:b/>
                <w:bCs/>
                <w:sz w:val="18"/>
                <w:szCs w:val="18"/>
              </w:rPr>
              <w:t xml:space="preserve">REBUILD (new sequence) / DEEPEN (existing 25)</w:t>
            </w:r>
          </w:p>
        </w:tc>
        <w:tc>
          <w:tcPr>
            <w:tcW w:type="dxa" w:w="1750"/>
            <w:vAlign w:val="center"/>
          </w:tcPr>
          <w:p>
            <w:r>
              <w:rPr>
                <w:sz w:val="18"/>
                <w:szCs w:val="18"/>
              </w:rPr>
              <w:t xml:space="preserve">Give each entry enough story and guided understanding that the reflection prompt has real ground to stand on.</w:t>
            </w:r>
          </w:p>
        </w:tc>
        <w:tc>
          <w:tcPr>
            <w:tcW w:type="dxa" w:w="2450"/>
            <w:vAlign w:val="center"/>
          </w:tcPr>
          <w:p>
            <w:r>
              <w:rPr>
                <w:sz w:val="18"/>
                <w:szCs w:val="18"/>
              </w:rPr>
              <w:t xml:space="preserve">One-sentence generic orientation + reflection question, no story, no pattern, no perspective, no rehearsal, no return. Every entry stops at Stage 4–5 at best, and each is an isolated card, not a sequence.</w:t>
            </w:r>
          </w:p>
        </w:tc>
        <w:tc>
          <w:tcPr>
            <w:tcW w:type="dxa" w:w="1950"/>
            <w:vAlign w:val="center"/>
          </w:tcPr>
          <w:p>
            <w:r>
              <w:rPr>
                <w:sz w:val="18"/>
                <w:szCs w:val="18"/>
              </w:rPr>
              <w:t xml:space="preserve">Story (2), Pattern (6), Perspective (7), and — new to Pass 2 — Rehearsal/Practice/Return (9–11), which the current one-card-per-symbol structure has no place for at all.</w:t>
            </w:r>
          </w:p>
        </w:tc>
        <w:tc>
          <w:tcPr>
            <w:tcW w:type="dxa" w:w="2450"/>
            <w:vAlign w:val="center"/>
          </w:tcPr>
          <w:p>
            <w:r>
              <w:rPr>
                <w:sz w:val="18"/>
                <w:szCs w:val="18"/>
              </w:rPr>
              <w:t xml:space="preserve">Don't retrofit all 25 at once. Build the Kingdom/Queen Ann/King arc (see dedicated section below) as one complete proof-of-concept sequence first, then use it as the template for reworking the rest.</w:t>
            </w:r>
          </w:p>
        </w:tc>
        <w:tc>
          <w:tcPr>
            <w:tcW w:type="dxa" w:w="1050"/>
            <w:vAlign w:val="center"/>
          </w:tcPr>
          <w:p>
            <w:r>
              <w:rPr>
                <w:sz w:val="18"/>
                <w:szCs w:val="18"/>
              </w:rPr>
              <w:t xml:space="preserve">Journal</w:t>
            </w:r>
          </w:p>
        </w:tc>
      </w:tr>
      <w:tr>
        <w:tc>
          <w:tcPr>
            <w:tcW w:type="dxa" w:w="1450"/>
            <w:vAlign w:val="center"/>
          </w:tcPr>
          <w:p>
            <w:r>
              <w:rPr>
                <w:b/>
                <w:bCs/>
                <w:color w:val="1C2B3A"/>
                <w:sz w:val="18"/>
                <w:szCs w:val="18"/>
              </w:rPr>
              <w:t xml:space="preserve">Workshops / Editions (6 Editions)</w:t>
            </w:r>
          </w:p>
        </w:tc>
        <w:tc>
          <w:tcPr>
            <w:tcW w:type="dxa" w:w="800"/>
            <w:shd w:fill="F1D2D2" w:val="clear"/>
            <w:vAlign w:val="center"/>
          </w:tcPr>
          <w:p>
            <w:r>
              <w:rPr>
                <w:b/>
                <w:bCs/>
                <w:sz w:val="18"/>
                <w:szCs w:val="18"/>
              </w:rPr>
              <w:t xml:space="preserve">REBUILD (Queen Ann) / DEEPEN (Dragon) / STRENGTHEN (other 4)</w:t>
            </w:r>
          </w:p>
        </w:tc>
        <w:tc>
          <w:tcPr>
            <w:tcW w:type="dxa" w:w="1750"/>
            <w:vAlign w:val="center"/>
          </w:tcPr>
          <w:p>
            <w:r>
              <w:rPr>
                <w:sz w:val="18"/>
                <w:szCs w:val="18"/>
              </w:rPr>
              <w:t xml:space="preserve">Structure each Edition around a human conflict, not just a symbolic "world."</w:t>
            </w:r>
          </w:p>
        </w:tc>
        <w:tc>
          <w:tcPr>
            <w:tcW w:type="dxa" w:w="2450"/>
            <w:vAlign w:val="center"/>
          </w:tcPr>
          <w:p>
            <w:r>
              <w:rPr>
                <w:sz w:val="18"/>
                <w:szCs w:val="18"/>
              </w:rPr>
              <w:t xml:space="preserve">Only Dragon has built reader sections (and Pass 1 found it's unlinked from anywhere). Queen Ann's own theme list already names "The Kingdom Beyond the One That Ends" but the edition data itself says "Not yet built — Phase 5."</w:t>
            </w:r>
          </w:p>
        </w:tc>
        <w:tc>
          <w:tcPr>
            <w:tcW w:type="dxa" w:w="1950"/>
            <w:vAlign w:val="center"/>
          </w:tcPr>
          <w:p>
            <w:r>
              <w:rPr>
                <w:sz w:val="18"/>
                <w:szCs w:val="18"/>
              </w:rPr>
              <w:t xml:space="preserve">The full Stage 1–11 sequence, via the specific content plan below.</w:t>
            </w:r>
          </w:p>
        </w:tc>
        <w:tc>
          <w:tcPr>
            <w:tcW w:type="dxa" w:w="2450"/>
            <w:vAlign w:val="center"/>
          </w:tcPr>
          <w:p>
            <w:r>
              <w:rPr>
                <w:sz w:val="18"/>
                <w:szCs w:val="18"/>
              </w:rPr>
              <w:t xml:space="preserve">This is the single largest build implied by this whole directive. Recommend building the Kingdom/Queen Ann/King arc as a Journal sequence first (lower production cost, text-forward), then adapting it into Queen Ann's Phase 5 Edition reader once proven — mirroring how Dragon's reader already works.</w:t>
            </w:r>
          </w:p>
        </w:tc>
        <w:tc>
          <w:tcPr>
            <w:tcW w:type="dxa" w:w="1050"/>
            <w:vAlign w:val="center"/>
          </w:tcPr>
          <w:p>
            <w:r>
              <w:rPr>
                <w:sz w:val="18"/>
                <w:szCs w:val="18"/>
              </w:rPr>
              <w:t xml:space="preserve">Journal, then Workshop</w:t>
            </w:r>
          </w:p>
        </w:tc>
      </w:tr>
      <w:tr>
        <w:tc>
          <w:tcPr>
            <w:tcW w:type="dxa" w:w="1450"/>
            <w:vAlign w:val="center"/>
          </w:tcPr>
          <w:p>
            <w:r>
              <w:rPr>
                <w:b/>
                <w:bCs/>
                <w:color w:val="1C2B3A"/>
                <w:sz w:val="18"/>
                <w:szCs w:val="18"/>
              </w:rPr>
              <w:t xml:space="preserve">Homepage</w:t>
            </w:r>
          </w:p>
        </w:tc>
        <w:tc>
          <w:tcPr>
            <w:tcW w:type="dxa" w:w="800"/>
            <w:shd w:fill="FDE6E0" w:val="clear"/>
            <w:vAlign w:val="center"/>
          </w:tcPr>
          <w:p>
            <w:r>
              <w:rPr>
                <w:b/>
                <w:bCs/>
                <w:sz w:val="18"/>
                <w:szCs w:val="18"/>
              </w:rPr>
              <w:t xml:space="preserve">REWRITE</w:t>
            </w:r>
          </w:p>
        </w:tc>
        <w:tc>
          <w:tcPr>
            <w:tcW w:type="dxa" w:w="1750"/>
            <w:vAlign w:val="center"/>
          </w:tcPr>
          <w:p>
            <w:r>
              <w:rPr>
                <w:sz w:val="18"/>
                <w:szCs w:val="18"/>
              </w:rPr>
              <w:t xml:space="preserve">"Communicate a consequential participant path, not a menu of beautiful experiences" — Pass 2's own homepage requirement.</w:t>
            </w:r>
          </w:p>
        </w:tc>
        <w:tc>
          <w:tcPr>
            <w:tcW w:type="dxa" w:w="2450"/>
            <w:vAlign w:val="center"/>
          </w:tcPr>
          <w:p>
            <w:r>
              <w:rPr>
                <w:sz w:val="18"/>
                <w:szCs w:val="18"/>
              </w:rPr>
              <w:t xml:space="preserve">Pass 1 found the homepage honest and well-scoped, which still holds. But Pass 2's bar is higher: it currently describes what AwakenArts contains more than what a participant moves through and carries out. "Recognition" still does most of the interpretive work in the hero and "A Path of Recognition" section — exactly the language Pass 2 demotes.</w:t>
            </w:r>
          </w:p>
        </w:tc>
        <w:tc>
          <w:tcPr>
            <w:tcW w:type="dxa" w:w="1950"/>
            <w:vAlign w:val="center"/>
          </w:tcPr>
          <w:p>
            <w:r>
              <w:rPr>
                <w:sz w:val="18"/>
                <w:szCs w:val="18"/>
              </w:rPr>
              <w:t xml:space="preserve">Forward-movement language: what becomes possible, not just what is offered.</w:t>
            </w:r>
          </w:p>
        </w:tc>
        <w:tc>
          <w:tcPr>
            <w:tcW w:type="dxa" w:w="2450"/>
            <w:vAlign w:val="center"/>
          </w:tcPr>
          <w:p>
            <w:r>
              <w:rPr>
                <w:sz w:val="18"/>
                <w:szCs w:val="18"/>
              </w:rPr>
              <w:t xml:space="preserve">Revise 1–2 lines only (the hero mission line and/or the Path of Recognition statement) to name a consequential concern and a forward outcome. A small, high-leverage rewrite, not a redesign.</w:t>
            </w:r>
          </w:p>
        </w:tc>
        <w:tc>
          <w:tcPr>
            <w:tcW w:type="dxa" w:w="1050"/>
            <w:vAlign w:val="center"/>
          </w:tcPr>
          <w:p>
            <w:r>
              <w:rPr>
                <w:sz w:val="18"/>
                <w:szCs w:val="18"/>
              </w:rPr>
              <w:t xml:space="preserve">Website</w:t>
            </w:r>
          </w:p>
        </w:tc>
      </w:tr>
      <w:tr>
        <w:tc>
          <w:tcPr>
            <w:tcW w:type="dxa" w:w="1450"/>
            <w:vAlign w:val="center"/>
          </w:tcPr>
          <w:p>
            <w:r>
              <w:rPr>
                <w:b/>
                <w:bCs/>
                <w:color w:val="1C2B3A"/>
                <w:sz w:val="18"/>
                <w:szCs w:val="18"/>
              </w:rPr>
              <w:t xml:space="preserve">Calls to action, site-wide</w:t>
            </w:r>
          </w:p>
        </w:tc>
        <w:tc>
          <w:tcPr>
            <w:tcW w:type="dxa" w:w="800"/>
            <w:shd w:fill="DCE9DC" w:val="clear"/>
            <w:vAlign w:val="center"/>
          </w:tcPr>
          <w:p>
            <w:r>
              <w:rPr>
                <w:b/>
                <w:bCs/>
                <w:sz w:val="18"/>
                <w:szCs w:val="18"/>
              </w:rPr>
              <w:t xml:space="preserve">KEEP (mostly) / REWRITE (Encounters "forward" control)</w:t>
            </w:r>
          </w:p>
        </w:tc>
        <w:tc>
          <w:tcPr>
            <w:tcW w:type="dxa" w:w="1750"/>
            <w:vAlign w:val="center"/>
          </w:tcPr>
          <w:p>
            <w:r>
              <w:rPr>
                <w:sz w:val="18"/>
                <w:szCs w:val="18"/>
              </w:rPr>
              <w:t xml:space="preserve">"Describe the next meaningful experience, not merely 'continue,' 'notice,' or 'explore.'"</w:t>
            </w:r>
          </w:p>
        </w:tc>
        <w:tc>
          <w:tcPr>
            <w:tcW w:type="dxa" w:w="2450"/>
            <w:vAlign w:val="center"/>
          </w:tcPr>
          <w:p>
            <w:r>
              <w:rPr>
                <w:sz w:val="18"/>
                <w:szCs w:val="18"/>
              </w:rPr>
              <w:t xml:space="preserve">Most CTAs already name a real destination with light context ("Explore Workshops," "Experience the Encounters") — genuinely past the failure mode Pass 2 warns against. The one exception found in Pass 1: the Encounter pages' internal "forward" control is a bare, unlabeled arrow.</w:t>
            </w:r>
          </w:p>
        </w:tc>
        <w:tc>
          <w:tcPr>
            <w:tcW w:type="dxa" w:w="1950"/>
            <w:vAlign w:val="center"/>
          </w:tcPr>
          <w:p>
            <w:r>
              <w:rPr>
                <w:sz w:val="18"/>
                <w:szCs w:val="18"/>
              </w:rPr>
              <w:t xml:space="preserve">N/A for most CTAs — already sound.</w:t>
            </w:r>
          </w:p>
        </w:tc>
        <w:tc>
          <w:tcPr>
            <w:tcW w:type="dxa" w:w="2450"/>
            <w:vAlign w:val="center"/>
          </w:tcPr>
          <w:p>
            <w:r>
              <w:rPr>
                <w:sz w:val="18"/>
                <w:szCs w:val="18"/>
              </w:rPr>
              <w:t xml:space="preserve">Once individual Encounter prompts are rewritten, give the "forward" control a real label tied to what's next.</w:t>
            </w:r>
          </w:p>
        </w:tc>
        <w:tc>
          <w:tcPr>
            <w:tcW w:type="dxa" w:w="1050"/>
            <w:vAlign w:val="center"/>
          </w:tcPr>
          <w:p>
            <w:r>
              <w:rPr>
                <w:sz w:val="18"/>
                <w:szCs w:val="18"/>
              </w:rPr>
              <w:t xml:space="preserve">Website</w:t>
            </w:r>
          </w:p>
        </w:tc>
      </w:tr>
      <w:tr>
        <w:tc>
          <w:tcPr>
            <w:tcW w:type="dxa" w:w="1450"/>
            <w:vAlign w:val="center"/>
          </w:tcPr>
          <w:p>
            <w:r>
              <w:rPr>
                <w:b/>
                <w:bCs/>
                <w:color w:val="1C2B3A"/>
                <w:sz w:val="18"/>
                <w:szCs w:val="18"/>
              </w:rPr>
              <w:t xml:space="preserve">Therapeutic/clinical claim boundary</w:t>
            </w:r>
          </w:p>
        </w:tc>
        <w:tc>
          <w:tcPr>
            <w:tcW w:type="dxa" w:w="800"/>
            <w:shd w:fill="DCE9DC" w:val="clear"/>
            <w:vAlign w:val="center"/>
          </w:tcPr>
          <w:p>
            <w:r>
              <w:rPr>
                <w:b/>
                <w:bCs/>
                <w:sz w:val="18"/>
                <w:szCs w:val="18"/>
              </w:rPr>
              <w:t xml:space="preserve">KEEP</w:t>
            </w:r>
          </w:p>
        </w:tc>
        <w:tc>
          <w:tcPr>
            <w:tcW w:type="dxa" w:w="1750"/>
            <w:vAlign w:val="center"/>
          </w:tcPr>
          <w:p>
            <w:r>
              <w:rPr>
                <w:sz w:val="18"/>
                <w:szCs w:val="18"/>
              </w:rPr>
              <w:t xml:space="preserve">"Do not make clinical or therapeutic efficacy claims that the offering has not established."</w:t>
            </w:r>
          </w:p>
        </w:tc>
        <w:tc>
          <w:tcPr>
            <w:tcW w:type="dxa" w:w="2450"/>
            <w:vAlign w:val="center"/>
          </w:tcPr>
          <w:p>
            <w:r>
              <w:rPr>
                <w:sz w:val="18"/>
                <w:szCs w:val="18"/>
              </w:rPr>
              <w:t xml:space="preserve">None found. About and Workshops already explicitly disclaim therapy/counseling despite the MA Counseling credential — genuinely careful language already in place.</w:t>
            </w:r>
          </w:p>
        </w:tc>
        <w:tc>
          <w:tcPr>
            <w:tcW w:type="dxa" w:w="1950"/>
            <w:vAlign w:val="center"/>
          </w:tcPr>
          <w:p>
            <w:r>
              <w:rPr>
                <w:sz w:val="18"/>
                <w:szCs w:val="18"/>
              </w:rPr>
              <w:t xml:space="preserve">N/A.</w:t>
            </w:r>
          </w:p>
        </w:tc>
        <w:tc>
          <w:tcPr>
            <w:tcW w:type="dxa" w:w="2450"/>
            <w:vAlign w:val="center"/>
          </w:tcPr>
          <w:p>
            <w:r>
              <w:rPr>
                <w:sz w:val="18"/>
                <w:szCs w:val="18"/>
              </w:rPr>
              <w:t xml:space="preserve">No change to current copy. Flag as a drafting guardrail for the new rehearsal/practice language below, since habit-change territory is exactly where overclaiming risk rises.</w:t>
            </w:r>
          </w:p>
        </w:tc>
        <w:tc>
          <w:tcPr>
            <w:tcW w:type="dxa" w:w="1050"/>
            <w:vAlign w:val="center"/>
          </w:tcPr>
          <w:p>
            <w:r>
              <w:rPr>
                <w:sz w:val="18"/>
                <w:szCs w:val="18"/>
              </w:rPr>
              <w:t xml:space="preserve">System-wide</w:t>
            </w:r>
          </w:p>
        </w:tc>
      </w:tr>
    </w:tbl>
    <w:p>
      <w:pPr>
        <w:pStyle w:val="Heading1"/>
        <w:spacing w:after="160" w:before="360"/>
      </w:pPr>
      <w:r>
        <w:rPr>
          <w:b/>
          <w:bCs/>
          <w:color w:val="1C2B3A"/>
          <w:sz w:val="28"/>
          <w:szCs w:val="28"/>
        </w:rPr>
        <w:t xml:space="preserve">Application to Where You Stand — The Kingdom / Queen Ann / King Sequence</w:t>
      </w:r>
    </w:p>
    <w:p>
      <w:pPr>
        <w:spacing w:after="160" w:line="300"/>
      </w:pPr>
      <w:r>
        <w:rPr>
          <w:sz w:val="21"/>
          <w:szCs w:val="21"/>
        </w:rPr>
        <w:t xml:space="preserve">The content plan's own eleven movements, assessed against what currently exists on the site. Decision categories match the Pass 2 Decision Standard.</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900"/>
        <w:gridCol w:w="2100"/>
        <w:gridCol w:w="900"/>
      </w:tblGrid>
      <w:tr>
        <w:trPr>
          <w:tblHeader/>
        </w:trPr>
        <w:tc>
          <w:tcPr>
            <w:tcW w:type="dxa" w:w="1500"/>
            <w:shd w:fill="1C2B3A" w:val="clear"/>
            <w:vAlign w:val="center"/>
          </w:tcPr>
          <w:p>
            <w:r>
              <w:rPr>
                <w:b/>
                <w:bCs/>
                <w:color w:val="FFFFFF"/>
                <w:sz w:val="18"/>
                <w:szCs w:val="18"/>
              </w:rPr>
              <w:t xml:space="preserve">Movement</w:t>
            </w:r>
          </w:p>
        </w:tc>
        <w:tc>
          <w:tcPr>
            <w:tcW w:type="dxa" w:w="2700"/>
            <w:shd w:fill="1C2B3A" w:val="clear"/>
            <w:vAlign w:val="center"/>
          </w:tcPr>
          <w:p>
            <w:r>
              <w:rPr>
                <w:b/>
                <w:bCs/>
                <w:color w:val="FFFFFF"/>
                <w:sz w:val="18"/>
                <w:szCs w:val="18"/>
              </w:rPr>
              <w:t xml:space="preserve">What Exists Today</w:t>
            </w:r>
          </w:p>
        </w:tc>
        <w:tc>
          <w:tcPr>
            <w:tcW w:type="dxa" w:w="2900"/>
            <w:shd w:fill="1C2B3A" w:val="clear"/>
            <w:vAlign w:val="center"/>
          </w:tcPr>
          <w:p>
            <w:r>
              <w:rPr>
                <w:b/>
                <w:bCs/>
                <w:color w:val="FFFFFF"/>
                <w:sz w:val="18"/>
                <w:szCs w:val="18"/>
              </w:rPr>
              <w:t xml:space="preserve">What's Needed</w:t>
            </w:r>
          </w:p>
        </w:tc>
        <w:tc>
          <w:tcPr>
            <w:tcW w:type="dxa" w:w="2100"/>
            <w:shd w:fill="1C2B3A" w:val="clear"/>
            <w:vAlign w:val="center"/>
          </w:tcPr>
          <w:p>
            <w:r>
              <w:rPr>
                <w:b/>
                <w:bCs/>
                <w:color w:val="FFFFFF"/>
                <w:sz w:val="18"/>
                <w:szCs w:val="18"/>
              </w:rPr>
              <w:t xml:space="preserve">Whose Work</w:t>
            </w:r>
          </w:p>
        </w:tc>
        <w:tc>
          <w:tcPr>
            <w:tcW w:type="dxa" w:w="900"/>
            <w:shd w:fill="1C2B3A" w:val="clear"/>
            <w:vAlign w:val="center"/>
          </w:tcPr>
          <w:p>
            <w:r>
              <w:rPr>
                <w:b/>
                <w:bCs/>
                <w:color w:val="FFFFFF"/>
                <w:sz w:val="18"/>
                <w:szCs w:val="18"/>
              </w:rPr>
              <w:t xml:space="preserve">Decision</w:t>
            </w:r>
          </w:p>
        </w:tc>
      </w:tr>
      <w:tr>
        <w:tc>
          <w:tcPr>
            <w:tcW w:type="dxa" w:w="1500"/>
            <w:vAlign w:val="center"/>
          </w:tcPr>
          <w:p>
            <w:r>
              <w:rPr>
                <w:b/>
                <w:bCs/>
                <w:color w:val="1C2B3A"/>
                <w:sz w:val="18"/>
                <w:szCs w:val="18"/>
              </w:rPr>
              <w:t xml:space="preserve">The Kingdom</w:t>
            </w:r>
          </w:p>
        </w:tc>
        <w:tc>
          <w:tcPr>
            <w:tcW w:type="dxa" w:w="2700"/>
            <w:vAlign w:val="center"/>
          </w:tcPr>
          <w:p>
            <w:r>
              <w:rPr>
                <w:sz w:val="18"/>
                <w:szCs w:val="18"/>
              </w:rPr>
              <w:t xml:space="preserve">Only the phrase "There is a Kingdom beyond the one that ends" (Queen Ann's tagline / edition theme). No people, shared world, or distance established anywhere.</w:t>
            </w:r>
          </w:p>
        </w:tc>
        <w:tc>
          <w:tcPr>
            <w:tcW w:type="dxa" w:w="2900"/>
            <w:vAlign w:val="center"/>
          </w:tcPr>
          <w:p>
            <w:r>
              <w:rPr>
                <w:sz w:val="18"/>
                <w:szCs w:val="18"/>
              </w:rPr>
              <w:t xml:space="preserve">The narrative anchor itself — who these two people are, their shared world, what has grown distant between them, and why it matters. Everything else in this sequence depends on this existing first.</w:t>
            </w:r>
          </w:p>
        </w:tc>
        <w:tc>
          <w:tcPr>
            <w:tcW w:type="dxa" w:w="2100"/>
            <w:vAlign w:val="center"/>
          </w:tcPr>
          <w:p>
            <w:r>
              <w:rPr>
                <w:sz w:val="18"/>
                <w:szCs w:val="18"/>
              </w:rPr>
              <w:t xml:space="preserve">Susan — new narrative writing</w:t>
            </w:r>
          </w:p>
        </w:tc>
        <w:tc>
          <w:tcPr>
            <w:tcW w:type="dxa" w:w="900"/>
            <w:shd w:fill="F1D2D2" w:val="clear"/>
            <w:vAlign w:val="center"/>
          </w:tcPr>
          <w:p>
            <w:r>
              <w:rPr>
                <w:b/>
                <w:bCs/>
                <w:sz w:val="18"/>
                <w:szCs w:val="18"/>
              </w:rPr>
              <w:t xml:space="preserve">REBUILD</w:t>
            </w:r>
          </w:p>
        </w:tc>
      </w:tr>
      <w:tr>
        <w:tc>
          <w:tcPr>
            <w:tcW w:type="dxa" w:w="1500"/>
            <w:vAlign w:val="center"/>
          </w:tcPr>
          <w:p>
            <w:r>
              <w:rPr>
                <w:b/>
                <w:bCs/>
                <w:color w:val="1C2B3A"/>
                <w:sz w:val="18"/>
                <w:szCs w:val="18"/>
              </w:rPr>
              <w:t xml:space="preserve">Kings &amp; Queens</w:t>
            </w:r>
          </w:p>
        </w:tc>
        <w:tc>
          <w:tcPr>
            <w:tcW w:type="dxa" w:w="2700"/>
            <w:vAlign w:val="center"/>
          </w:tcPr>
          <w:p>
            <w:r>
              <w:rPr>
                <w:sz w:val="18"/>
                <w:szCs w:val="18"/>
              </w:rPr>
              <w:t xml:space="preserve">Nothing beyond the existing chess-piece visual motif already used in the Queen Ann artwork.</w:t>
            </w:r>
          </w:p>
        </w:tc>
        <w:tc>
          <w:tcPr>
            <w:tcW w:type="dxa" w:w="2900"/>
            <w:vAlign w:val="center"/>
          </w:tcPr>
          <w:p>
            <w:r>
              <w:rPr>
                <w:sz w:val="18"/>
                <w:szCs w:val="18"/>
              </w:rPr>
              <w:t xml:space="preserve">A piece showing both positions within the relationship without requiring symbolic decoding, per the plan's own instruction.</w:t>
            </w:r>
          </w:p>
        </w:tc>
        <w:tc>
          <w:tcPr>
            <w:tcW w:type="dxa" w:w="2100"/>
            <w:vAlign w:val="center"/>
          </w:tcPr>
          <w:p>
            <w:r>
              <w:rPr>
                <w:sz w:val="18"/>
                <w:szCs w:val="18"/>
              </w:rPr>
              <w:t xml:space="preserve">Susan</w:t>
            </w:r>
          </w:p>
        </w:tc>
        <w:tc>
          <w:tcPr>
            <w:tcW w:type="dxa" w:w="900"/>
            <w:shd w:fill="F1D2D2" w:val="clear"/>
            <w:vAlign w:val="center"/>
          </w:tcPr>
          <w:p>
            <w:r>
              <w:rPr>
                <w:b/>
                <w:bCs/>
                <w:sz w:val="18"/>
                <w:szCs w:val="18"/>
              </w:rPr>
              <w:t xml:space="preserve">REBUILD</w:t>
            </w:r>
          </w:p>
        </w:tc>
      </w:tr>
      <w:tr>
        <w:tc>
          <w:tcPr>
            <w:tcW w:type="dxa" w:w="1500"/>
            <w:vAlign w:val="center"/>
          </w:tcPr>
          <w:p>
            <w:r>
              <w:rPr>
                <w:b/>
                <w:bCs/>
                <w:color w:val="1C2B3A"/>
                <w:sz w:val="18"/>
                <w:szCs w:val="18"/>
              </w:rPr>
              <w:t xml:space="preserve">What Happens Between Us</w:t>
            </w:r>
          </w:p>
        </w:tc>
        <w:tc>
          <w:tcPr>
            <w:tcW w:type="dxa" w:w="2700"/>
            <w:vAlign w:val="center"/>
          </w:tcPr>
          <w:p>
            <w:r>
              <w:rPr>
                <w:sz w:val="18"/>
                <w:szCs w:val="18"/>
              </w:rPr>
              <w:t xml:space="preserve">Nothing.</w:t>
            </w:r>
          </w:p>
        </w:tc>
        <w:tc>
          <w:tcPr>
            <w:tcW w:type="dxa" w:w="2900"/>
            <w:vAlign w:val="center"/>
          </w:tcPr>
          <w:p>
            <w:r>
              <w:rPr>
                <w:sz w:val="18"/>
                <w:szCs w:val="18"/>
              </w:rPr>
              <w:t xml:space="preserve">The hinge piece — moves from the fictional couple toward the participant's own experience of relational pattern. This is where Stage 4–5 (Relatability / Personal Correspondence) actually happens.</w:t>
            </w:r>
          </w:p>
        </w:tc>
        <w:tc>
          <w:tcPr>
            <w:tcW w:type="dxa" w:w="2100"/>
            <w:vAlign w:val="center"/>
          </w:tcPr>
          <w:p>
            <w:r>
              <w:rPr>
                <w:sz w:val="18"/>
                <w:szCs w:val="18"/>
              </w:rPr>
              <w:t xml:space="preserve">Susan (narrative) + Claude (reflective scaffolding once it exists)</w:t>
            </w:r>
          </w:p>
        </w:tc>
        <w:tc>
          <w:tcPr>
            <w:tcW w:type="dxa" w:w="900"/>
            <w:shd w:fill="F1D2D2" w:val="clear"/>
            <w:vAlign w:val="center"/>
          </w:tcPr>
          <w:p>
            <w:r>
              <w:rPr>
                <w:b/>
                <w:bCs/>
                <w:sz w:val="18"/>
                <w:szCs w:val="18"/>
              </w:rPr>
              <w:t xml:space="preserve">REBUILD</w:t>
            </w:r>
          </w:p>
        </w:tc>
      </w:tr>
      <w:tr>
        <w:tc>
          <w:tcPr>
            <w:tcW w:type="dxa" w:w="1500"/>
            <w:vAlign w:val="center"/>
          </w:tcPr>
          <w:p>
            <w:r>
              <w:rPr>
                <w:b/>
                <w:bCs/>
                <w:color w:val="1C2B3A"/>
                <w:sz w:val="18"/>
                <w:szCs w:val="18"/>
              </w:rPr>
              <w:t xml:space="preserve">A Different Point of View</w:t>
            </w:r>
          </w:p>
        </w:tc>
        <w:tc>
          <w:tcPr>
            <w:tcW w:type="dxa" w:w="2700"/>
            <w:vAlign w:val="center"/>
          </w:tcPr>
          <w:p>
            <w:r>
              <w:rPr>
                <w:sz w:val="18"/>
                <w:szCs w:val="18"/>
              </w:rPr>
              <w:t xml:space="preserve">Nothing dedicated, though "perspective" already exists as a named function elsewhere (Symbols, Journal).</w:t>
            </w:r>
          </w:p>
        </w:tc>
        <w:tc>
          <w:tcPr>
            <w:tcW w:type="dxa" w:w="2900"/>
            <w:vAlign w:val="center"/>
          </w:tcPr>
          <w:p>
            <w:r>
              <w:rPr>
                <w:sz w:val="18"/>
                <w:szCs w:val="18"/>
              </w:rPr>
              <w:t xml:space="preserve">A piece specifically depolarizing — the same relationship experienced from a different position.</w:t>
            </w:r>
          </w:p>
        </w:tc>
        <w:tc>
          <w:tcPr>
            <w:tcW w:type="dxa" w:w="2100"/>
            <w:vAlign w:val="center"/>
          </w:tcPr>
          <w:p>
            <w:r>
              <w:rPr>
                <w:sz w:val="18"/>
                <w:szCs w:val="18"/>
              </w:rPr>
              <w:t xml:space="preserve">Susan (narrative) + Claude (framing)</w:t>
            </w:r>
          </w:p>
        </w:tc>
        <w:tc>
          <w:tcPr>
            <w:tcW w:type="dxa" w:w="900"/>
            <w:shd w:fill="F1D2D2" w:val="clear"/>
            <w:vAlign w:val="center"/>
          </w:tcPr>
          <w:p>
            <w:r>
              <w:rPr>
                <w:b/>
                <w:bCs/>
                <w:sz w:val="18"/>
                <w:szCs w:val="18"/>
              </w:rPr>
              <w:t xml:space="preserve">REBUILD</w:t>
            </w:r>
          </w:p>
        </w:tc>
      </w:tr>
      <w:tr>
        <w:tc>
          <w:tcPr>
            <w:tcW w:type="dxa" w:w="1500"/>
            <w:vAlign w:val="center"/>
          </w:tcPr>
          <w:p>
            <w:r>
              <w:rPr>
                <w:b/>
                <w:bCs/>
                <w:color w:val="1C2B3A"/>
                <w:sz w:val="18"/>
                <w:szCs w:val="18"/>
              </w:rPr>
              <w:t xml:space="preserve">Queen Ann</w:t>
            </w:r>
          </w:p>
        </w:tc>
        <w:tc>
          <w:tcPr>
            <w:tcW w:type="dxa" w:w="2700"/>
            <w:vAlign w:val="center"/>
          </w:tcPr>
          <w:p>
            <w:r>
              <w:rPr>
                <w:sz w:val="18"/>
                <w:szCs w:val="18"/>
              </w:rPr>
              <w:t xml:space="preserve">The most-developed asset in this entire plan: an existing poem, a built Encounter page, a homepage section, and edition theme language ("Transition and Relinquishment," "Trust Beyond Possession").</w:t>
            </w:r>
          </w:p>
        </w:tc>
        <w:tc>
          <w:tcPr>
            <w:tcW w:type="dxa" w:w="2900"/>
            <w:vAlign w:val="center"/>
          </w:tcPr>
          <w:p>
            <w:r>
              <w:rPr>
                <w:sz w:val="18"/>
                <w:szCs w:val="18"/>
              </w:rPr>
              <w:t xml:space="preserve">Expansion of departure, grief, self-preservation, and loss as fully human rather than archetypal — the plan's own instruction. The existing poem is compressed/symbolic; this asks for narrative development around it, not a replacement.</w:t>
            </w:r>
          </w:p>
        </w:tc>
        <w:tc>
          <w:tcPr>
            <w:tcW w:type="dxa" w:w="2100"/>
            <w:vAlign w:val="center"/>
          </w:tcPr>
          <w:p>
            <w:r>
              <w:rPr>
                <w:sz w:val="18"/>
                <w:szCs w:val="18"/>
              </w:rPr>
              <w:t xml:space="preserve">Susan (expand her own poem into story) + Claude (sequence it)</w:t>
            </w:r>
          </w:p>
        </w:tc>
        <w:tc>
          <w:tcPr>
            <w:tcW w:type="dxa" w:w="900"/>
            <w:shd w:fill="D9E7F5" w:val="clear"/>
            <w:vAlign w:val="center"/>
          </w:tcPr>
          <w:p>
            <w:r>
              <w:rPr>
                <w:b/>
                <w:bCs/>
                <w:sz w:val="18"/>
                <w:szCs w:val="18"/>
              </w:rPr>
              <w:t xml:space="preserve">DEEPEN</w:t>
            </w:r>
          </w:p>
        </w:tc>
      </w:tr>
      <w:tr>
        <w:tc>
          <w:tcPr>
            <w:tcW w:type="dxa" w:w="1500"/>
            <w:vAlign w:val="center"/>
          </w:tcPr>
          <w:p>
            <w:r>
              <w:rPr>
                <w:b/>
                <w:bCs/>
                <w:color w:val="1C2B3A"/>
                <w:sz w:val="18"/>
                <w:szCs w:val="18"/>
              </w:rPr>
              <w:t xml:space="preserve">King</w:t>
            </w:r>
          </w:p>
        </w:tc>
        <w:tc>
          <w:tcPr>
            <w:tcW w:type="dxa" w:w="2700"/>
            <w:vAlign w:val="center"/>
          </w:tcPr>
          <w:p>
            <w:r>
              <w:rPr>
                <w:sz w:val="18"/>
                <w:szCs w:val="18"/>
              </w:rPr>
              <w:t xml:space="preserve">A single placeholder name ("The King") in the Journal's Power &amp; Identity territory — no poem, no page, no content.</w:t>
            </w:r>
          </w:p>
        </w:tc>
        <w:tc>
          <w:tcPr>
            <w:tcW w:type="dxa" w:w="2900"/>
            <w:vAlign w:val="center"/>
          </w:tcPr>
          <w:p>
            <w:r>
              <w:rPr>
                <w:sz w:val="18"/>
                <w:szCs w:val="18"/>
              </w:rPr>
              <w:t xml:space="preserve">A full companion piece making the other position understandable rather than merely opposing. Currently the single largest content gap in this whole plan.</w:t>
            </w:r>
          </w:p>
        </w:tc>
        <w:tc>
          <w:tcPr>
            <w:tcW w:type="dxa" w:w="2100"/>
            <w:vAlign w:val="center"/>
          </w:tcPr>
          <w:p>
            <w:r>
              <w:rPr>
                <w:sz w:val="18"/>
                <w:szCs w:val="18"/>
              </w:rPr>
              <w:t xml:space="preserve">Susan — new symbolic figure/poem (falls under the site's standing rule against AI-generated symbolic figures and poems)</w:t>
            </w:r>
          </w:p>
        </w:tc>
        <w:tc>
          <w:tcPr>
            <w:tcW w:type="dxa" w:w="900"/>
            <w:shd w:fill="F1D2D2" w:val="clear"/>
            <w:vAlign w:val="center"/>
          </w:tcPr>
          <w:p>
            <w:r>
              <w:rPr>
                <w:b/>
                <w:bCs/>
                <w:sz w:val="18"/>
                <w:szCs w:val="18"/>
              </w:rPr>
              <w:t xml:space="preserve">REBUILD</w:t>
            </w:r>
          </w:p>
        </w:tc>
      </w:tr>
      <w:tr>
        <w:tc>
          <w:tcPr>
            <w:tcW w:type="dxa" w:w="1500"/>
            <w:vAlign w:val="center"/>
          </w:tcPr>
          <w:p>
            <w:r>
              <w:rPr>
                <w:b/>
                <w:bCs/>
                <w:color w:val="1C2B3A"/>
                <w:sz w:val="18"/>
                <w:szCs w:val="18"/>
              </w:rPr>
              <w:t xml:space="preserve">The World We Share</w:t>
            </w:r>
          </w:p>
        </w:tc>
        <w:tc>
          <w:tcPr>
            <w:tcW w:type="dxa" w:w="2700"/>
            <w:vAlign w:val="center"/>
          </w:tcPr>
          <w:p>
            <w:r>
              <w:rPr>
                <w:sz w:val="18"/>
                <w:szCs w:val="18"/>
              </w:rPr>
              <w:t xml:space="preserve">Nothing.</w:t>
            </w:r>
          </w:p>
        </w:tc>
        <w:tc>
          <w:tcPr>
            <w:tcW w:type="dxa" w:w="2900"/>
            <w:vAlign w:val="center"/>
          </w:tcPr>
          <w:p>
            <w:r>
              <w:rPr>
                <w:sz w:val="18"/>
                <w:szCs w:val="18"/>
              </w:rPr>
              <w:t xml:space="preserve">A piece establishing that difference itself is inevitable — what grows around it is the real, consequential issue.</w:t>
            </w:r>
          </w:p>
        </w:tc>
        <w:tc>
          <w:tcPr>
            <w:tcW w:type="dxa" w:w="2100"/>
            <w:vAlign w:val="center"/>
          </w:tcPr>
          <w:p>
            <w:r>
              <w:rPr>
                <w:sz w:val="18"/>
                <w:szCs w:val="18"/>
              </w:rPr>
              <w:t xml:space="preserve">Susan + Claude</w:t>
            </w:r>
          </w:p>
        </w:tc>
        <w:tc>
          <w:tcPr>
            <w:tcW w:type="dxa" w:w="900"/>
            <w:shd w:fill="F1D2D2" w:val="clear"/>
            <w:vAlign w:val="center"/>
          </w:tcPr>
          <w:p>
            <w:r>
              <w:rPr>
                <w:b/>
                <w:bCs/>
                <w:sz w:val="18"/>
                <w:szCs w:val="18"/>
              </w:rPr>
              <w:t xml:space="preserve">REBUILD</w:t>
            </w:r>
          </w:p>
        </w:tc>
      </w:tr>
      <w:tr>
        <w:tc>
          <w:tcPr>
            <w:tcW w:type="dxa" w:w="1500"/>
            <w:vAlign w:val="center"/>
          </w:tcPr>
          <w:p>
            <w:r>
              <w:rPr>
                <w:b/>
                <w:bCs/>
                <w:color w:val="1C2B3A"/>
                <w:sz w:val="18"/>
                <w:szCs w:val="18"/>
              </w:rPr>
              <w:t xml:space="preserve">Finding Strength</w:t>
            </w:r>
          </w:p>
        </w:tc>
        <w:tc>
          <w:tcPr>
            <w:tcW w:type="dxa" w:w="2700"/>
            <w:vAlign w:val="center"/>
          </w:tcPr>
          <w:p>
            <w:r>
              <w:rPr>
                <w:sz w:val="18"/>
                <w:szCs w:val="18"/>
              </w:rPr>
              <w:t xml:space="preserve">Nothing dedicated to this arc.</w:t>
            </w:r>
          </w:p>
        </w:tc>
        <w:tc>
          <w:tcPr>
            <w:tcW w:type="dxa" w:w="2900"/>
            <w:vAlign w:val="center"/>
          </w:tcPr>
          <w:p>
            <w:r>
              <w:rPr>
                <w:sz w:val="18"/>
                <w:szCs w:val="18"/>
              </w:rPr>
              <w:t xml:space="preserve">Connects strength to how the participant wants to respond to difference and distance — Stage 8, Desired Possibility. Recommend grounding this in credible relational-conflict research (not pop-psychology language), per Pass 2's own research boundary.</w:t>
            </w:r>
          </w:p>
        </w:tc>
        <w:tc>
          <w:tcPr>
            <w:tcW w:type="dxa" w:w="2100"/>
            <w:vAlign w:val="center"/>
          </w:tcPr>
          <w:p>
            <w:r>
              <w:rPr>
                <w:sz w:val="18"/>
                <w:szCs w:val="18"/>
              </w:rPr>
              <w:t xml:space="preserve">Claude can draft once Susan's narrative pieces above exist — reflective framing, not new symbolic authorship</w:t>
            </w:r>
          </w:p>
        </w:tc>
        <w:tc>
          <w:tcPr>
            <w:tcW w:type="dxa" w:w="900"/>
            <w:shd w:fill="F1D2D2" w:val="clear"/>
            <w:vAlign w:val="center"/>
          </w:tcPr>
          <w:p>
            <w:r>
              <w:rPr>
                <w:b/>
                <w:bCs/>
                <w:sz w:val="18"/>
                <w:szCs w:val="18"/>
              </w:rPr>
              <w:t xml:space="preserve">REBUILD</w:t>
            </w:r>
          </w:p>
        </w:tc>
      </w:tr>
      <w:tr>
        <w:tc>
          <w:tcPr>
            <w:tcW w:type="dxa" w:w="1500"/>
            <w:vAlign w:val="center"/>
          </w:tcPr>
          <w:p>
            <w:r>
              <w:rPr>
                <w:b/>
                <w:bCs/>
                <w:color w:val="1C2B3A"/>
                <w:sz w:val="18"/>
                <w:szCs w:val="18"/>
              </w:rPr>
              <w:t xml:space="preserve">Opposing Sides</w:t>
            </w:r>
          </w:p>
        </w:tc>
        <w:tc>
          <w:tcPr>
            <w:tcW w:type="dxa" w:w="2700"/>
            <w:vAlign w:val="center"/>
          </w:tcPr>
          <w:p>
            <w:r>
              <w:rPr>
                <w:sz w:val="18"/>
                <w:szCs w:val="18"/>
              </w:rPr>
              <w:t xml:space="preserve">Nothing dedicated.</w:t>
            </w:r>
          </w:p>
        </w:tc>
        <w:tc>
          <w:tcPr>
            <w:tcW w:type="dxa" w:w="2900"/>
            <w:vAlign w:val="center"/>
          </w:tcPr>
          <w:p>
            <w:r>
              <w:rPr>
                <w:sz w:val="18"/>
                <w:szCs w:val="18"/>
              </w:rPr>
              <w:t xml:space="preserve">Names/examines the old polarized pattern near the end — Stage 6 revisited as Stage 11 (Return).</w:t>
            </w:r>
          </w:p>
        </w:tc>
        <w:tc>
          <w:tcPr>
            <w:tcW w:type="dxa" w:w="2100"/>
            <w:vAlign w:val="center"/>
          </w:tcPr>
          <w:p>
            <w:r>
              <w:rPr>
                <w:sz w:val="18"/>
                <w:szCs w:val="18"/>
              </w:rPr>
              <w:t xml:space="preserve">Claude (reflective framing) once the narrative exists</w:t>
            </w:r>
          </w:p>
        </w:tc>
        <w:tc>
          <w:tcPr>
            <w:tcW w:type="dxa" w:w="900"/>
            <w:shd w:fill="F1D2D2" w:val="clear"/>
            <w:vAlign w:val="center"/>
          </w:tcPr>
          <w:p>
            <w:r>
              <w:rPr>
                <w:b/>
                <w:bCs/>
                <w:sz w:val="18"/>
                <w:szCs w:val="18"/>
              </w:rPr>
              <w:t xml:space="preserve">REBUILD</w:t>
            </w:r>
          </w:p>
        </w:tc>
      </w:tr>
      <w:tr>
        <w:tc>
          <w:tcPr>
            <w:tcW w:type="dxa" w:w="1500"/>
            <w:vAlign w:val="center"/>
          </w:tcPr>
          <w:p>
            <w:r>
              <w:rPr>
                <w:b/>
                <w:bCs/>
                <w:color w:val="1C2B3A"/>
                <w:sz w:val="18"/>
                <w:szCs w:val="18"/>
              </w:rPr>
              <w:t xml:space="preserve">From Where You Stand / Possibility</w:t>
            </w:r>
          </w:p>
        </w:tc>
        <w:tc>
          <w:tcPr>
            <w:tcW w:type="dxa" w:w="2700"/>
            <w:vAlign w:val="center"/>
          </w:tcPr>
          <w:p>
            <w:r>
              <w:rPr>
                <w:sz w:val="18"/>
                <w:szCs w:val="18"/>
              </w:rPr>
              <w:t xml:space="preserve">Nothing — this phrase doesn't appear anywhere on the current site.</w:t>
            </w:r>
          </w:p>
        </w:tc>
        <w:tc>
          <w:tcPr>
            <w:tcW w:type="dxa" w:w="2900"/>
            <w:vAlign w:val="center"/>
          </w:tcPr>
          <w:p>
            <w:r>
              <w:rPr>
                <w:sz w:val="18"/>
                <w:szCs w:val="18"/>
              </w:rPr>
              <w:t xml:space="preserve">The forward-movement close: what can be understood, chosen, practiced, accepted, or carried forward. Must explicitly avoid promising relationship repair or healing, per the plan's own guardrail.</w:t>
            </w:r>
          </w:p>
        </w:tc>
        <w:tc>
          <w:tcPr>
            <w:tcW w:type="dxa" w:w="2100"/>
            <w:vAlign w:val="center"/>
          </w:tcPr>
          <w:p>
            <w:r>
              <w:rPr>
                <w:sz w:val="18"/>
                <w:szCs w:val="18"/>
              </w:rPr>
              <w:t xml:space="preserve">Claude — careful boundary language</w:t>
            </w:r>
          </w:p>
        </w:tc>
        <w:tc>
          <w:tcPr>
            <w:tcW w:type="dxa" w:w="900"/>
            <w:shd w:fill="F1D2D2" w:val="clear"/>
            <w:vAlign w:val="center"/>
          </w:tcPr>
          <w:p>
            <w:r>
              <w:rPr>
                <w:b/>
                <w:bCs/>
                <w:sz w:val="18"/>
                <w:szCs w:val="18"/>
              </w:rPr>
              <w:t xml:space="preserve">REBUILD</w:t>
            </w:r>
          </w:p>
        </w:tc>
      </w:tr>
      <w:tr>
        <w:tc>
          <w:tcPr>
            <w:tcW w:type="dxa" w:w="1500"/>
            <w:vAlign w:val="center"/>
          </w:tcPr>
          <w:p>
            <w:r>
              <w:rPr>
                <w:b/>
                <w:bCs/>
                <w:color w:val="1C2B3A"/>
                <w:sz w:val="18"/>
                <w:szCs w:val="18"/>
              </w:rPr>
              <w:t xml:space="preserve">Closing / Return</w:t>
            </w:r>
          </w:p>
        </w:tc>
        <w:tc>
          <w:tcPr>
            <w:tcW w:type="dxa" w:w="2700"/>
            <w:vAlign w:val="center"/>
          </w:tcPr>
          <w:p>
            <w:r>
              <w:rPr>
                <w:sz w:val="18"/>
                <w:szCs w:val="18"/>
              </w:rPr>
              <w:t xml:space="preserve">No return/review mechanic exists anywhere in the Journal today — every entry is a standalone card (confirmed in Pass 1).</w:t>
            </w:r>
          </w:p>
        </w:tc>
        <w:tc>
          <w:tcPr>
            <w:tcW w:type="dxa" w:w="2900"/>
            <w:vAlign w:val="center"/>
          </w:tcPr>
          <w:p>
            <w:r>
              <w:rPr>
                <w:sz w:val="18"/>
                <w:szCs w:val="18"/>
              </w:rPr>
              <w:t xml:space="preserve">A later point the participant can revisit to ask what's seen differently now. This needs a UX/product decision (how does "return" work in a static web journal — a revisit prompt, a dated reminder?), not just new copy.</w:t>
            </w:r>
          </w:p>
        </w:tc>
        <w:tc>
          <w:tcPr>
            <w:tcW w:type="dxa" w:w="2100"/>
            <w:vAlign w:val="center"/>
          </w:tcPr>
          <w:p>
            <w:r>
              <w:rPr>
                <w:sz w:val="18"/>
                <w:szCs w:val="18"/>
              </w:rPr>
              <w:t xml:space="preserve">Claude (structural pattern) + Susan (the return question's wording)</w:t>
            </w:r>
          </w:p>
        </w:tc>
        <w:tc>
          <w:tcPr>
            <w:tcW w:type="dxa" w:w="900"/>
            <w:shd w:fill="F1D2D2" w:val="clear"/>
            <w:vAlign w:val="center"/>
          </w:tcPr>
          <w:p>
            <w:r>
              <w:rPr>
                <w:b/>
                <w:bCs/>
                <w:sz w:val="18"/>
                <w:szCs w:val="18"/>
              </w:rPr>
              <w:t xml:space="preserve">REBUILD</w:t>
            </w:r>
          </w:p>
        </w:tc>
      </w:tr>
    </w:tbl>
    <w:p>
      <w:pPr>
        <w:pStyle w:val="Heading1"/>
        <w:spacing w:after="160" w:before="360"/>
      </w:pPr>
      <w:r>
        <w:rPr>
          <w:b/>
          <w:bCs/>
          <w:color w:val="1C2B3A"/>
          <w:sz w:val="28"/>
          <w:szCs w:val="28"/>
        </w:rPr>
        <w:t xml:space="preserve">Suggested Order of Operations</w:t>
      </w:r>
    </w:p>
    <w:p>
      <w:pPr>
        <w:pStyle w:val="ListParagraph"/>
        <w:numPr>
          <w:ilvl w:val="0"/>
          <w:numId w:val="1"/>
        </w:numPr>
        <w:spacing w:after="100" w:line="280"/>
      </w:pPr>
      <w:r>
        <w:rPr>
          <w:sz w:val="21"/>
          <w:szCs w:val="21"/>
        </w:rPr>
        <w:t xml:space="preserve">Write The Kingdom and King first — nothing downstream of them can be built until the shared world and the second figure exist. This is the one piece of this whole pass that only you can do.</w:t>
      </w:r>
    </w:p>
    <w:p>
      <w:pPr>
        <w:pStyle w:val="ListParagraph"/>
        <w:numPr>
          <w:ilvl w:val="0"/>
          <w:numId w:val="1"/>
        </w:numPr>
        <w:spacing w:after="100" w:line="280"/>
      </w:pPr>
      <w:r>
        <w:rPr>
          <w:sz w:val="21"/>
          <w:szCs w:val="21"/>
        </w:rPr>
        <w:t xml:space="preserve">Once a first draft of the Kingdom/Queen Ann/King narrative exists, I can architect the Journal sequence around it (movements, prompts, rehearsal, and a return mechanic) as the Pass 2 proof-of-concept.</w:t>
      </w:r>
    </w:p>
    <w:p>
      <w:pPr>
        <w:pStyle w:val="ListParagraph"/>
        <w:numPr>
          <w:ilvl w:val="0"/>
          <w:numId w:val="1"/>
        </w:numPr>
        <w:spacing w:after="100" w:line="280"/>
      </w:pPr>
      <w:r>
        <w:rPr>
          <w:sz w:val="21"/>
          <w:szCs w:val="21"/>
        </w:rPr>
        <w:t xml:space="preserve">In parallel, and lower cost: add rehearsal, practice, and return beats to Dragon's reader — it's already built and already the closest thing on the site to a complete Pass 2 sequence.</w:t>
      </w:r>
    </w:p>
    <w:p>
      <w:pPr>
        <w:pStyle w:val="ListParagraph"/>
        <w:numPr>
          <w:ilvl w:val="0"/>
          <w:numId w:val="1"/>
        </w:numPr>
        <w:spacing w:after="100" w:line="280"/>
      </w:pPr>
      <w:r>
        <w:rPr>
          <w:sz w:val="21"/>
          <w:szCs w:val="21"/>
        </w:rPr>
        <w:t xml:space="preserve">Rewrite the nine Encounter prompts so none repeat verbatim, each naming its own specific human concern (still pending from Pass 1).</w:t>
      </w:r>
    </w:p>
    <w:p>
      <w:pPr>
        <w:pStyle w:val="ListParagraph"/>
        <w:numPr>
          <w:ilvl w:val="0"/>
          <w:numId w:val="1"/>
        </w:numPr>
        <w:spacing w:after="100" w:line="280"/>
      </w:pPr>
      <w:r>
        <w:rPr>
          <w:sz w:val="21"/>
          <w:szCs w:val="21"/>
        </w:rPr>
        <w:t xml:space="preserve">Hold off on Symbols and the other 24 Journal entries until the Kingdom sequence proves the model — then use it as the template rather than guessing twice.</w:t>
      </w:r>
    </w:p>
    <w:p>
      <w:pPr>
        <w:pStyle w:val="ListParagraph"/>
        <w:numPr>
          <w:ilvl w:val="0"/>
          <w:numId w:val="1"/>
        </w:numPr>
        <w:spacing w:after="100" w:line="280"/>
      </w:pPr>
      <w:r>
        <w:rPr>
          <w:sz w:val="21"/>
          <w:szCs w:val="21"/>
        </w:rPr>
        <w:t xml:space="preserve">Small, immediate homepage rewrite (1–2 lines) to shift from "recognize" toward forward-movement language, independent of the larger content build.</w:t>
      </w:r>
    </w:p>
    <w:p>
      <w:pPr>
        <w:spacing w:before="300"/>
      </w:pPr>
      <w:r>
        <w:rPr>
          <w:i/>
          <w:iCs/>
          <w:color w:val="999999"/>
          <w:sz w:val="19"/>
          <w:szCs w:val="19"/>
        </w:rPr>
        <w:t xml:space="preserve">This is an audit, not an implementation — consistent with the directive not to begin by polishing copy. Nothing on the live site has changed. The next concrete step is yours: a first draft of the Kingdom and King, whenever you're ready to write it.</w:t>
      </w:r>
    </w:p>
    <w:sectPr>
      <w:pgSz w:w="15840" w:h="12240"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2026-08-19T13:03:30.864Z</dcterms:created>
  <dcterms:modified xsi:type="dcterms:W3CDTF">2026-08-19T13:03:30.864Z</dcterms:modified>
</cp:coreProperties>
</file>

<file path=docProps/custom.xml><?xml version="1.0" encoding="utf-8"?>
<Properties xmlns="http://schemas.openxmlformats.org/officeDocument/2006/custom-properties" xmlns:vt="http://schemas.openxmlformats.org/officeDocument/2006/docPropsVTypes"/>
</file>