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mbria" w:hAnsi="Cambria"/>
          <w:b/>
          <w:i w:val="0"/>
          <w:color w:val="8B6914"/>
          <w:sz w:val="22"/>
        </w:rPr>
        <w:t>AWAKENARTS</w:t>
      </w:r>
    </w:p>
    <w:p>
      <w:pPr>
        <w:spacing w:after="80"/>
        <w:jc w:val="center"/>
      </w:pPr>
      <w:r>
        <w:rPr>
          <w:rFonts w:ascii="Cambria" w:hAnsi="Cambria"/>
          <w:b/>
          <w:i w:val="0"/>
          <w:color w:val="1C2B3A"/>
          <w:sz w:val="48"/>
        </w:rPr>
        <w:t>Symbolic Facilitation Workshop Curriculum</w:t>
      </w:r>
    </w:p>
    <w:p>
      <w:pPr>
        <w:spacing w:after="80"/>
        <w:jc w:val="center"/>
      </w:pPr>
      <w:r>
        <w:rPr>
          <w:rFonts w:ascii="Cambria" w:hAnsi="Cambria"/>
          <w:b w:val="0"/>
          <w:i/>
          <w:color w:val="8B6914"/>
          <w:sz w:val="26"/>
        </w:rPr>
        <w:t>A Six-Session Introductory Series, Built on the Series One Editions</w:t>
      </w:r>
    </w:p>
    <w:p>
      <w:pPr>
        <w:spacing w:after="400"/>
        <w:jc w:val="center"/>
      </w:pPr>
      <w:r>
        <w:rPr>
          <w:rFonts w:ascii="Cambria" w:hAnsi="Cambria"/>
          <w:b w:val="0"/>
          <w:i/>
          <w:color w:val="5A5550"/>
          <w:sz w:val="22"/>
        </w:rPr>
        <w:t>A companion to The AwakenArts Guide to Symbolic Facilitation</w:t>
      </w:r>
    </w:p>
    <w:p>
      <w:pPr>
        <w:pBdr>
          <w:bottom w:val="single" w:sz="6" w:space="1" w:color="8B6914"/>
        </w:pBdr>
        <w:spacing w:after="40"/>
      </w:pPr>
    </w:p>
    <w:p>
      <w:pPr>
        <w:pStyle w:val="Heading1"/>
      </w:pPr>
      <w:r>
        <w:t>Overview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This curriculum turns the practice taught in the Guide into a runnable series. It is a starting structure, not a fixed script — the Recognition Model (Encounter → Recognition → Reflection → Integration) is a lens, not a staircase, and this sequence can be reordered, shortened, or rebuilt around other completed Editions as the Collection grows.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Three ways to run it: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Full series — six weekly or biweekly sessions, one Edition per session, building from a gentle entry point toward more demanding material (detailed below).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Taster session — a single 90-minute introduction using one accessible Edition, useful as an open house or sampler before participants commit to the full series (see “A Shorter Taster Format”).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Ongoing group — once a group has completed the series, return sessions revisit a figure already encountered, using the Return Session format from the Guide's Appendix B.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Each session follows the same four-movement shape participants will recognize from the Guide: an unhurried Encounter with the figure and poem, a Recognition phase where personal meaning starts to surface, guided Reflection through discussion and journaling, and a closing gesture toward Integration that participants carry out of the room.</w:t>
      </w:r>
    </w:p>
    <w:p>
      <w:pPr>
        <w:pStyle w:val="Heading1"/>
      </w:pPr>
      <w:r>
        <w:t>Series at a Glance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The sequence below moves from gentler, more approachable entry points toward material that asks more of participants, closing on a figure of transition — consistent with the Guide's own sequencing guidance in Chapter Ten. Adjust the order to fit a particular group's pace; this is a suggested arc, not a required 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fill="1C2B3A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3312"/>
            <w:shd w:val="clear" w:fill="1C2B3A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2592"/>
            <w:shd w:val="clear" w:fill="1C2B3A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Core Theme</w:t>
            </w:r>
          </w:p>
        </w:tc>
        <w:tc>
          <w:tcPr>
            <w:tcW w:type="dxa" w:w="3888"/>
            <w:shd w:val="clear" w:fill="1C2B3A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Recognition Model Emphasis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1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Poppy — “Her Mother's Hands”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Love &amp; inheritance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Encounter: building trust in noticing, low-stakes entry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2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Bowls — “Two Forms, One Light”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Balance &amp; belonging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Recognition: meeting without competing or comparing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3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Ballerina — “The Many Become One”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Playfulness &amp; becoming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Reflection: performance vs. authentic self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4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Dragon — “The Dragon”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Identity &amp; wholeness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Recognition: integrating what feels like opposites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5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Grismere — “A Lure Toward the Depths”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Longing &amp; mystery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Reflection: sitting with what resists easy meaning</w:t>
            </w:r>
          </w:p>
        </w:tc>
      </w:tr>
      <w:tr>
        <w:tc>
          <w:tcPr>
            <w:tcW w:type="dxa" w:w="100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6</w:t>
            </w:r>
          </w:p>
        </w:tc>
        <w:tc>
          <w:tcPr>
            <w:tcW w:type="dxa" w:w="331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Queen Ann — “Between Two Kingdoms”</w:t>
            </w:r>
          </w:p>
        </w:tc>
        <w:tc>
          <w:tcPr>
            <w:tcW w:type="dxa" w:w="2592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Threshold &amp; becoming</w:t>
            </w:r>
          </w:p>
        </w:tc>
        <w:tc>
          <w:tcPr>
            <w:tcW w:type="dxa" w:w="3888"/>
            <w:shd w:val="clear" w:fill="FAF7F2"/>
          </w:tcPr>
          <w:p>
            <w:r>
              <w:rPr>
                <w:rFonts w:ascii="Cambria" w:hAnsi="Cambria"/>
                <w:color w:val="2A2A28"/>
                <w:sz w:val="20"/>
              </w:rPr>
              <w:t>Integration: carrying recognition into what's next</w:t>
            </w:r>
          </w:p>
        </w:tc>
      </w:tr>
    </w:tbl>
    <w:p>
      <w:r>
        <w:br w:type="page"/>
      </w:r>
    </w:p>
    <w:p>
      <w:pPr>
        <w:pStyle w:val="Heading1"/>
      </w:pPr>
      <w:r>
        <w:t>Session-by-Session Guide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Each session below assumes a group of four to ten participants and the 75–90 minute structure from the Guide's Appendix B (Group Session). Adjust timing for a smaller or more reflective group, and see “Adapting the Series” for one-on-one and return-session versions.</w:t>
      </w:r>
    </w:p>
    <w:p>
      <w:pPr>
        <w:pStyle w:val="Heading2"/>
      </w:pPr>
      <w:r>
        <w:t>Session 1 — Poppy — Her Mother's Hands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Love &amp; Inheritance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An approachable entry point: a warm, relational image that asks little priming before it opens, letting participants build trust in their own noticing before sitting with harder material (Guide, Ch. 10).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Poppy Edition (printed or digital) for each participant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Comfortable seating arranged so everyone can see their own copy without crowding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Journals or notebooks for individual reflection time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“What's the first thing your eye went to?”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Inheritance and family material can surface grief or complicated family feeling. Let it be present without steering the group toward resolution (Ch. 7).</w:t>
      </w:r>
    </w:p>
    <w:p>
      <w:r>
        <w:br w:type="page"/>
      </w:r>
    </w:p>
    <w:p>
      <w:pPr>
        <w:pStyle w:val="Heading2"/>
      </w:pPr>
      <w:r>
        <w:t>Session 2 — Bowls — Two Forms, One Light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Balance &amp; Belonging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Two forms sharing the same light, neither one waiting for permission to be there — a gentle way into questions of comparison, rivalry, and enough-ness without naming them directly.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Bowls Edition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A few extra minutes built into silence before discussion — this image rewards a slower entry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“Where did your attention go first — and where did it go second?”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Comparison themes (siblings, colleagues, self vs. others) may surface. Resist the urge to resolve the comparison for someone; let them sit with both forms as equally valid (Ch. 6).</w:t>
      </w:r>
    </w:p>
    <w:p>
      <w:r>
        <w:br w:type="page"/>
      </w:r>
    </w:p>
    <w:p>
      <w:pPr>
        <w:pStyle w:val="Heading2"/>
      </w:pPr>
      <w:r>
        <w:t>Session 3 — Ballerina — The Many Become One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Playfulness &amp; Becoming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A lighter, more playful figure placed mid-series intentionally — after two introspective sessions, this Edition gives the group room to laugh and move before the next, more demanding sitting.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Ballerina Edition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Permission, stated aloud, that lightness is allowed: this session doesn't need to land on something heavy to be valuable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“What does this image want you to notice about effort versus ease?”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Performance and self-presentation themes can surface real anxiety about being seen. Keep the tone warm; this is a place curiosity should outpace certainty (Ch. 3).</w:t>
      </w:r>
    </w:p>
    <w:p>
      <w:r>
        <w:br w:type="page"/>
      </w:r>
    </w:p>
    <w:p>
      <w:pPr>
        <w:pStyle w:val="Heading2"/>
      </w:pPr>
      <w:r>
        <w:t>Session 4 — Dragon — The Dragon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Identity &amp; Wholeness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A figure whose meaning is more layered: a creature that can't tell where its tail ends and its head begins. By session four, the group has enough trust in the process to sit with real ambiguity.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Dragon Edition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Extra silence time before the round of observations — this image asks for more looking than talking at first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“What in this image resists being one simple thing?”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Identity-integration material (parts of self that feel at odds with each other) can run deep. This is squarely Recognition Model territory, not a problem to fix (Ch. 2, Ch. 11).</w:t>
      </w:r>
    </w:p>
    <w:p>
      <w:r>
        <w:br w:type="page"/>
      </w:r>
    </w:p>
    <w:p>
      <w:pPr>
        <w:pStyle w:val="Heading2"/>
      </w:pPr>
      <w:r>
        <w:t>Session 5 — Grismere — A Lure Toward the Depths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Longing &amp; Mystery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The most resistant-to-easy-meaning figure in the sequence, placed second-to-last once the group has built real skill at sitting with discomfort and silence (Ch. 7).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Grismere Edition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A clear, calm restatement of the container's confidentiality and pacing — longing material can feel exposing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“What does this image make you want, that you can't quite name?”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Longing often arrives with loss alongside it. If material surfaces that's beyond this method's scope, see Ch. 11 and Appendix D before the next session.</w:t>
      </w:r>
    </w:p>
    <w:p>
      <w:r>
        <w:br w:type="page"/>
      </w:r>
    </w:p>
    <w:p>
      <w:pPr>
        <w:pStyle w:val="Heading2"/>
      </w:pPr>
      <w:r>
        <w:t>Session 6 — Queen Ann — Between Two Kingdoms</w:t>
      </w:r>
    </w:p>
    <w:p>
      <w:pPr>
        <w:spacing w:after="120"/>
      </w:pPr>
      <w:r>
        <w:rPr>
          <w:rFonts w:ascii="Cambria" w:hAnsi="Cambria"/>
          <w:b/>
          <w:i w:val="0"/>
          <w:color w:val="5A5550"/>
          <w:sz w:val="22"/>
        </w:rPr>
        <w:t>Theme: Threshold &amp; Becoming</w:t>
      </w:r>
    </w:p>
    <w:p>
      <w:pPr>
        <w:spacing w:after="200"/>
      </w:pPr>
      <w:r>
        <w:rPr>
          <w:rFonts w:ascii="Cambria" w:hAnsi="Cambria"/>
          <w:b w:val="0"/>
          <w:i w:val="0"/>
          <w:sz w:val="22"/>
        </w:rPr>
        <w:t>A deliberate closing figure: a queen standing between an ending kingdom and one not yet fully seen — the natural image for a group reaching the end of its own six-session threshold.</w:t>
      </w:r>
    </w:p>
    <w:p>
      <w:pPr>
        <w:pStyle w:val="Heading3"/>
      </w:pPr>
      <w:r>
        <w:t>Before the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Copies of the Queen Ann Edition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Extra time at the end of this session for closing and documentation (Ch. 13) — this is not a session to rush out of</w:t>
      </w:r>
    </w:p>
    <w:p>
      <w:pPr>
        <w:pStyle w:val="Heading3"/>
      </w:pPr>
      <w:r>
        <w:t>Session Structure (≈90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Arrival &amp; centering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Opening / container-setting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5–10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Silent encounter with figure &amp; poem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Round of observations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10–15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Open discussion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25–35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Individual reflection / journaling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  <w:tr>
        <w:tc>
          <w:tcPr>
            <w:tcW w:type="dxa" w:w="6480"/>
          </w:tcPr>
          <w:p>
            <w:r>
              <w:rPr>
                <w:rFonts w:ascii="Cambria" w:hAnsi="Cambria"/>
                <w:color w:val="2A2A28"/>
                <w:sz w:val="20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rFonts w:ascii="Cambria" w:hAnsi="Cambria"/>
                <w:i/>
                <w:color w:val="2A2A28"/>
                <w:sz w:val="20"/>
              </w:rPr>
              <w:t>10 min</w:t>
            </w:r>
          </w:p>
        </w:tc>
      </w:tr>
    </w:tbl>
    <w:p>
      <w:pPr>
        <w:pStyle w:val="Heading3"/>
      </w:pPr>
      <w:r>
        <w:t>Suggested Opening Question</w:t>
      </w:r>
    </w:p>
    <w:p>
      <w:pPr>
        <w:spacing w:after="200"/>
      </w:pPr>
      <w:r>
        <w:rPr>
          <w:rFonts w:ascii="Cambria" w:hAnsi="Cambria"/>
          <w:b w:val="0"/>
          <w:i/>
          <w:color w:val="8B6914"/>
          <w:sz w:val="22"/>
        </w:rPr>
        <w:t>“What feels like it's ending for you right now, and what feels like it hasn't fully arrived yet?”</w:t>
      </w:r>
    </w:p>
    <w:p>
      <w:pPr>
        <w:pStyle w:val="Heading3"/>
      </w:pPr>
      <w:r>
        <w:t>Facilitator Notes / Watch For</w:t>
      </w:r>
    </w:p>
    <w:p>
      <w:pPr>
        <w:spacing w:after="80"/>
      </w:pPr>
      <w:r>
        <w:rPr>
          <w:rFonts w:ascii="Cambria" w:hAnsi="Cambria"/>
          <w:b w:val="0"/>
          <w:i w:val="0"/>
          <w:sz w:val="22"/>
        </w:rPr>
        <w:t>Expect this session to surface feelings about the series itself ending, not just the figure. Name that openly in the closing round.</w:t>
      </w:r>
    </w:p>
    <w:p>
      <w:pPr>
        <w:pStyle w:val="Heading1"/>
      </w:pPr>
      <w:r>
        <w:t>Between Sessions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Integration has no deadline (Ch. 12), so resist the urge to fill the gap between sessions with assigned homework. A light, optional invitation works better than a requirement: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“If this week's figure comes back to mind before we meet again, jot down when and what was happening — no need to explain it to yourself yet.”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Encourage participants to keep their journal from the series, not turn it in.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Space sessions weekly or biweekly; either works, but avoid compressing the series into back-to-back days, which crowds out the integration phase entirely.</w:t>
      </w:r>
    </w:p>
    <w:p>
      <w:pPr>
        <w:pStyle w:val="Heading1"/>
      </w:pPr>
      <w:r>
        <w:t>Adapting the Series</w:t>
      </w:r>
    </w:p>
    <w:p>
      <w:pPr>
        <w:pStyle w:val="Heading2"/>
      </w:pPr>
      <w:r>
        <w:t>For Solo Practitioners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An individual can run this same six-session arc alone, translating each group structure into the self-directed disciplines from Chapter Nine: setting a real start and end time, resisting the urge to rush past silence, and journaling in place of the round of observations and group discussion.</w:t>
      </w:r>
    </w:p>
    <w:p>
      <w:pPr>
        <w:pStyle w:val="Heading2"/>
      </w:pPr>
      <w:r>
        <w:t>For One-on-One Facilitation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Use the Individual Session format from the Guide's Appendix B (45–60 minutes) in place of the 90-minute group structure above — the same six Editions and sequence apply; only the discussion phase shortens and personalizes.</w:t>
      </w:r>
    </w:p>
    <w:p>
      <w:pPr>
        <w:pStyle w:val="Heading2"/>
      </w:pPr>
      <w:r>
        <w:t>For an Ongoing or Return Group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Once a group has completed all six sessions, return sessions can revisit any figure using the Return Session, Same Figure format from Appendix B — a brief check-in, a silent re-encounter, and discussion focused specifically on what's different this time.</w:t>
      </w:r>
    </w:p>
    <w:p>
      <w:pPr>
        <w:pStyle w:val="Heading1"/>
      </w:pPr>
      <w:r>
        <w:t>A Shorter “Taster” Format</w:t>
      </w:r>
    </w:p>
    <w:p>
      <w:pPr>
        <w:spacing w:after="160"/>
      </w:pPr>
      <w:r>
        <w:rPr>
          <w:rFonts w:ascii="Cambria" w:hAnsi="Cambria"/>
          <w:b w:val="0"/>
          <w:i w:val="0"/>
          <w:sz w:val="22"/>
        </w:rPr>
        <w:t>For an open house, info session, or marketing event where attendees haven't committed to the full series, run a single 90-minute session using one accessible Edition — Poppy or Bowls both work well as a first encounter for people new to this kind of work.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Open with a short (5-minute) framing of what symbolic facilitation is and isn't, drawing on the Guide's Introduction.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Run one full encounter cycle using Session 1's structure above, compressed slightly if needed.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Close by naming that this is a sample of a longer practice, and describe the six-session series for anyone who wants to go further.</w:t>
      </w:r>
    </w:p>
    <w:p>
      <w:pPr>
        <w:pStyle w:val="Heading1"/>
      </w:pPr>
      <w:r>
        <w:t>Materials Checklist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Edition copies (printed or digital) for each figure used in the series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Facilitator's Orientation / Quick-Reference handout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Participant Recognition Model card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Session worksheets (individual, group, and return-session formats)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Journals or notebooks for participants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Intake / consent form, reviewed before the first session</w:t>
      </w:r>
    </w:p>
    <w:p>
      <w:pPr>
        <w:pStyle w:val="ListBullet"/>
        <w:spacing w:after="80"/>
      </w:pPr>
      <w:r>
        <w:rPr>
          <w:rFonts w:ascii="Cambria" w:hAnsi="Cambria"/>
          <w:color w:val="2A2A28"/>
          <w:sz w:val="22"/>
        </w:rPr>
        <w:t>Feedback form, distributed after the final session or at series midpoint</w:t>
      </w:r>
    </w:p>
    <w:p>
      <w:pPr>
        <w:pBdr>
          <w:bottom w:val="single" w:sz="6" w:space="1" w:color="8B6914"/>
        </w:pBdr>
        <w:spacing w:after="40"/>
      </w:pPr>
    </w:p>
    <w:p>
      <w:pPr>
        <w:spacing w:after="0"/>
        <w:jc w:val="center"/>
      </w:pPr>
      <w:r>
        <w:rPr>
          <w:rFonts w:ascii="Cambria" w:hAnsi="Cambria"/>
          <w:b w:val="0"/>
          <w:i/>
          <w:color w:val="5A5550"/>
          <w:sz w:val="18"/>
        </w:rPr>
        <w:t>The AwakenArts Guide to Symbolic Facilitation — Workshop Curriculum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A2A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mbria" w:hAnsi="Cambria"/>
      <w:b/>
      <w:bCs/>
      <w:color w:val="1C2B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8B691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i/>
      <w:color w:val="1C2B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